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lineRule="exact" w:line="240"/>
        <w:jc w:val="start"/>
        <w:rPr>
          <w:rFonts w:ascii="Times New Roman" w:hAnsi="Times New Roman"/>
        </w:rPr>
      </w:pPr>
      <w:r>
        <w:rPr>
          <w:rFonts w:ascii="Times New Roman" w:hAnsi="Times New Roman"/>
        </w:rPr>
      </w:r>
    </w:p>
    <w:p>
      <w:pPr>
        <w:pStyle w:val="Heading2"/>
        <w:bidi w:val="0"/>
        <w:spacing w:lineRule="exact" w:line="240"/>
        <w:jc w:val="start"/>
        <w:rPr>
          <w:rFonts w:ascii="Times New Roman" w:hAnsi="Times New Roman"/>
        </w:rPr>
      </w:pPr>
      <w:r>
        <w:rPr>
          <w:rFonts w:ascii="Times New Roman" w:hAnsi="Times New Roman"/>
        </w:rPr>
      </w:r>
    </w:p>
    <w:p>
      <w:pPr>
        <w:pStyle w:val="Heading2"/>
        <w:bidi w:val="0"/>
        <w:spacing w:lineRule="exact" w:line="240"/>
        <w:jc w:val="start"/>
        <w:rPr>
          <w:rFonts w:ascii="Times New Roman" w:hAnsi="Times New Roman"/>
        </w:rPr>
      </w:pPr>
      <w:r>
        <w:rPr>
          <w:rFonts w:ascii="Times New Roman" w:hAnsi="Times New Roman"/>
        </w:rPr>
        <w:t xml:space="preserve">April 11, 2000 </w:t>
      </w:r>
    </w:p>
    <w:p>
      <w:pPr>
        <w:pStyle w:val="Normal"/>
        <w:bidi w:val="0"/>
        <w:ind w:hanging="0" w:start="360"/>
        <w:jc w:val="start"/>
        <w:rPr>
          <w:rFonts w:ascii="Times New Roman" w:hAnsi="Times New Roman"/>
          <w:sz w:val="24"/>
        </w:rPr>
      </w:pPr>
      <w:r>
        <w:rPr>
          <w:rFonts w:ascii="Times New Roman" w:hAnsi="Times New Roman"/>
          <w:sz w:val="24"/>
        </w:rPr>
      </w:r>
    </w:p>
    <w:p>
      <w:pPr>
        <w:pStyle w:val="Normal"/>
        <w:bidi w:val="0"/>
        <w:ind w:hanging="0" w:start="360"/>
        <w:jc w:val="start"/>
        <w:rPr>
          <w:rFonts w:ascii="Times New Roman" w:hAnsi="Times New Roman"/>
        </w:rPr>
      </w:pPr>
      <w:r>
        <w:rPr>
          <w:rFonts w:ascii="Times New Roman" w:hAnsi="Times New Roman"/>
        </w:rPr>
      </w:r>
    </w:p>
    <w:p>
      <w:pPr>
        <w:pStyle w:val="Normal"/>
        <w:bidi w:val="0"/>
        <w:ind w:hanging="0" w:start="360"/>
        <w:jc w:val="start"/>
        <w:rPr>
          <w:rFonts w:ascii="Times New Roman" w:hAnsi="Times New Roman"/>
          <w:b/>
          <w:sz w:val="24"/>
        </w:rPr>
      </w:pPr>
      <w:r>
        <w:rPr>
          <w:rFonts w:ascii="Times New Roman" w:hAnsi="Times New Roman"/>
          <w:b/>
          <w:sz w:val="24"/>
        </w:rPr>
        <w:t xml:space="preserve">COMPRESSOR MONETIZATION PROPOSAL HIGHLIGHTS </w:t>
      </w:r>
    </w:p>
    <w:p>
      <w:pPr>
        <w:pStyle w:val="Normal"/>
        <w:bidi w:val="0"/>
        <w:ind w:hanging="0" w:start="360"/>
        <w:jc w:val="start"/>
        <w:rPr>
          <w:rFonts w:ascii="Times New Roman" w:hAnsi="Times New Roman"/>
          <w:sz w:val="24"/>
        </w:rPr>
      </w:pPr>
      <w:r>
        <w:rPr>
          <w:rFonts w:ascii="Times New Roman" w:hAnsi="Times New Roman"/>
          <w:sz w:val="24"/>
        </w:rPr>
      </w:r>
    </w:p>
    <w:p>
      <w:pPr>
        <w:pStyle w:val="Normal"/>
        <w:bidi w:val="0"/>
        <w:ind w:hanging="0" w:start="360"/>
        <w:jc w:val="start"/>
        <w:rPr>
          <w:rFonts w:ascii="Times New Roman" w:hAnsi="Times New Roman"/>
          <w:sz w:val="24"/>
        </w:rPr>
      </w:pPr>
      <w:r>
        <w:rPr>
          <w:rFonts w:ascii="Times New Roman" w:hAnsi="Times New Roman"/>
          <w:sz w:val="24"/>
        </w:rPr>
        <w:t xml:space="preserve">Transwestern proposes to abandon by sale 8 (eight) compression stations (CS) located on 5 (five) laterals on Transwestern's West Texas System in Texas and New Mexico ("The Facilities").    Buyer will own and operate the facilities at Transwestern’s direction.    Transwestern will also review and approve all facility modifications prior to construction in accordance with existing FERC Rules and Regulations. </w:t>
      </w:r>
    </w:p>
    <w:p>
      <w:pPr>
        <w:pStyle w:val="Normal"/>
        <w:bidi w:val="0"/>
        <w:ind w:hanging="0" w:start="360"/>
        <w:jc w:val="start"/>
        <w:rPr>
          <w:rFonts w:ascii="Times New Roman" w:hAnsi="Times New Roman"/>
          <w:sz w:val="24"/>
        </w:rPr>
      </w:pPr>
      <w:r>
        <w:rPr>
          <w:rFonts w:ascii="Times New Roman" w:hAnsi="Times New Roman"/>
          <w:sz w:val="24"/>
        </w:rPr>
      </w:r>
    </w:p>
    <w:p>
      <w:pPr>
        <w:pStyle w:val="Normal"/>
        <w:bidi w:val="0"/>
        <w:ind w:hanging="0" w:start="360"/>
        <w:jc w:val="start"/>
        <w:rPr>
          <w:rFonts w:ascii="Times New Roman" w:hAnsi="Times New Roman"/>
          <w:sz w:val="24"/>
          <w:u w:val="single"/>
        </w:rPr>
      </w:pPr>
      <w:r>
        <w:rPr>
          <w:rFonts w:ascii="Times New Roman" w:hAnsi="Times New Roman"/>
          <w:sz w:val="24"/>
          <w:u w:val="single"/>
        </w:rPr>
      </w:r>
    </w:p>
    <w:p>
      <w:pPr>
        <w:pStyle w:val="Normal"/>
        <w:bidi w:val="0"/>
        <w:ind w:hanging="0" w:start="360"/>
        <w:jc w:val="start"/>
        <w:rPr>
          <w:rFonts w:ascii="Times New Roman" w:hAnsi="Times New Roman"/>
          <w:sz w:val="24"/>
          <w:u w:val="single"/>
        </w:rPr>
      </w:pPr>
      <w:r>
        <w:rPr>
          <w:rFonts w:ascii="Times New Roman" w:hAnsi="Times New Roman"/>
          <w:sz w:val="24"/>
          <w:u w:val="single"/>
        </w:rPr>
        <w:t xml:space="preserve">BENEFITS: </w:t>
      </w:r>
    </w:p>
    <w:p>
      <w:pPr>
        <w:pStyle w:val="Normal"/>
        <w:bidi w:val="0"/>
        <w:ind w:hanging="0" w:start="360"/>
        <w:jc w:val="start"/>
        <w:rPr>
          <w:rFonts w:ascii="Times New Roman" w:hAnsi="Times New Roman"/>
          <w:sz w:val="24"/>
        </w:rPr>
      </w:pPr>
      <w:r>
        <w:rPr>
          <w:rFonts w:ascii="Times New Roman" w:hAnsi="Times New Roman"/>
          <w:sz w:val="24"/>
        </w:rPr>
        <w:t xml:space="preserve">1.    Allows Transwestern, as contemplated in its Global Settlement (Docket No. RP95-271, et.al.), to offset the loss of revenue from the turnback of capacity. </w:t>
      </w:r>
    </w:p>
    <w:p>
      <w:pPr>
        <w:pStyle w:val="Normal"/>
        <w:bidi w:val="0"/>
        <w:ind w:hanging="0" w:start="360"/>
        <w:jc w:val="start"/>
        <w:rPr>
          <w:rFonts w:ascii="Times New Roman" w:hAnsi="Times New Roman"/>
          <w:sz w:val="24"/>
        </w:rPr>
      </w:pPr>
      <w:r>
        <w:rPr>
          <w:rFonts w:ascii="Times New Roman" w:hAnsi="Times New Roman"/>
          <w:sz w:val="24"/>
        </w:rPr>
        <w:t>2.    Allows Transwestern to utilize the cash value of the facilities for possible capital improvements to its system and to pursue strategic investment opportunities that may arise from time to time in the future.</w:t>
      </w:r>
    </w:p>
    <w:p>
      <w:pPr>
        <w:pStyle w:val="Normal"/>
        <w:numPr>
          <w:ilvl w:val="0"/>
          <w:numId w:val="1"/>
        </w:numPr>
        <w:tabs>
          <w:tab w:val="left" w:pos="720" w:leader="none"/>
        </w:tabs>
        <w:bidi w:val="0"/>
        <w:ind w:hanging="360" w:start="720"/>
        <w:jc w:val="start"/>
        <w:rPr>
          <w:rFonts w:ascii="Times New Roman" w:hAnsi="Times New Roman"/>
          <w:sz w:val="24"/>
        </w:rPr>
      </w:pPr>
      <w:r>
        <w:rPr>
          <w:rFonts w:ascii="Times New Roman" w:hAnsi="Times New Roman"/>
          <w:sz w:val="24"/>
        </w:rPr>
        <w:t>Allows Transwestern to lower O&amp;M costs.</w:t>
      </w:r>
    </w:p>
    <w:p>
      <w:pPr>
        <w:pStyle w:val="Normal"/>
        <w:numPr>
          <w:ilvl w:val="0"/>
          <w:numId w:val="1"/>
        </w:numPr>
        <w:tabs>
          <w:tab w:val="left" w:pos="720" w:leader="none"/>
        </w:tabs>
        <w:bidi w:val="0"/>
        <w:ind w:hanging="360" w:start="720"/>
        <w:jc w:val="start"/>
        <w:rPr>
          <w:rFonts w:ascii="Times New Roman" w:hAnsi="Times New Roman"/>
          <w:sz w:val="24"/>
        </w:rPr>
      </w:pPr>
      <w:r>
        <w:rPr>
          <w:rFonts w:ascii="Times New Roman" w:hAnsi="Times New Roman"/>
          <w:sz w:val="24"/>
        </w:rPr>
        <w:t>Transparent to the customer’s operations as no interruption to flow will occur.</w:t>
      </w:r>
    </w:p>
    <w:p>
      <w:pPr>
        <w:pStyle w:val="Normal"/>
        <w:numPr>
          <w:ilvl w:val="0"/>
          <w:numId w:val="1"/>
        </w:numPr>
        <w:tabs>
          <w:tab w:val="left" w:pos="720" w:leader="none"/>
        </w:tabs>
        <w:bidi w:val="0"/>
        <w:ind w:hanging="360" w:start="720"/>
        <w:jc w:val="start"/>
        <w:rPr>
          <w:rFonts w:ascii="Times New Roman" w:hAnsi="Times New Roman"/>
          <w:sz w:val="24"/>
        </w:rPr>
      </w:pPr>
      <w:r>
        <w:rPr>
          <w:rFonts w:ascii="Times New Roman" w:hAnsi="Times New Roman"/>
          <w:sz w:val="24"/>
        </w:rPr>
        <w:t>FERC retains “jurisdiction” via Transwestern’s right to review and approve all facility modifications, if any.</w:t>
      </w:r>
    </w:p>
    <w:p>
      <w:pPr>
        <w:pStyle w:val="Normal"/>
        <w:bidi w:val="0"/>
        <w:ind w:hanging="0" w:start="360"/>
        <w:jc w:val="start"/>
        <w:rPr>
          <w:rFonts w:ascii="Times New Roman" w:hAnsi="Times New Roman"/>
          <w:sz w:val="24"/>
        </w:rPr>
      </w:pPr>
      <w:r>
        <w:rPr>
          <w:rFonts w:ascii="Times New Roman" w:hAnsi="Times New Roman"/>
          <w:sz w:val="24"/>
        </w:rPr>
      </w:r>
    </w:p>
    <w:p>
      <w:pPr>
        <w:pStyle w:val="Normal"/>
        <w:bidi w:val="0"/>
        <w:ind w:hanging="0" w:start="360"/>
        <w:jc w:val="start"/>
        <w:rPr>
          <w:rFonts w:ascii="Times New Roman" w:hAnsi="Times New Roman"/>
          <w:sz w:val="24"/>
          <w:u w:val="single"/>
        </w:rPr>
      </w:pPr>
      <w:r>
        <w:rPr>
          <w:rFonts w:ascii="Times New Roman" w:hAnsi="Times New Roman"/>
          <w:sz w:val="24"/>
          <w:u w:val="single"/>
        </w:rPr>
      </w:r>
    </w:p>
    <w:p>
      <w:pPr>
        <w:pStyle w:val="Normal"/>
        <w:bidi w:val="0"/>
        <w:ind w:hanging="0" w:start="360"/>
        <w:jc w:val="start"/>
        <w:rPr>
          <w:rFonts w:ascii="Times New Roman" w:hAnsi="Times New Roman"/>
          <w:sz w:val="24"/>
          <w:u w:val="single"/>
        </w:rPr>
      </w:pPr>
      <w:r>
        <w:rPr>
          <w:rFonts w:ascii="Times New Roman" w:hAnsi="Times New Roman"/>
          <w:sz w:val="24"/>
          <w:u w:val="single"/>
        </w:rPr>
        <w:t xml:space="preserve">ISSUE: </w:t>
      </w:r>
    </w:p>
    <w:p>
      <w:pPr>
        <w:pStyle w:val="Normal"/>
        <w:bidi w:val="0"/>
        <w:ind w:hanging="0" w:start="360"/>
        <w:jc w:val="start"/>
        <w:rPr>
          <w:rFonts w:ascii="Times New Roman" w:hAnsi="Times New Roman"/>
          <w:sz w:val="24"/>
        </w:rPr>
      </w:pPr>
      <w:r>
        <w:rPr>
          <w:rFonts w:ascii="Times New Roman" w:hAnsi="Times New Roman"/>
          <w:sz w:val="24"/>
        </w:rPr>
        <w:t xml:space="preserve">BUYER intends to seek a declaratory order exempting the Facilities from commission jurisdiction.    These facilities will “bridge” Transwestern’s jurisdictional facilities upstream and downstream pipeline of the subject compressors, consistent with </w:t>
      </w:r>
      <w:r>
        <w:rPr>
          <w:rFonts w:ascii="Times New Roman" w:hAnsi="Times New Roman"/>
          <w:sz w:val="24"/>
          <w:u w:val="single"/>
        </w:rPr>
        <w:t>KN Wattenburg Transmission Limited Liability Company</w:t>
      </w:r>
      <w:r>
        <w:rPr>
          <w:rFonts w:ascii="Times New Roman" w:hAnsi="Times New Roman"/>
          <w:sz w:val="24"/>
        </w:rPr>
        <w:t xml:space="preserve"> (March 29, 2000). </w:t>
      </w:r>
    </w:p>
    <w:p>
      <w:pPr>
        <w:pStyle w:val="Normal"/>
        <w:bidi w:val="0"/>
        <w:ind w:hanging="0" w:start="360"/>
        <w:jc w:val="start"/>
        <w:rPr>
          <w:rFonts w:ascii="Times New Roman" w:hAnsi="Times New Roman"/>
          <w:sz w:val="24"/>
        </w:rPr>
      </w:pPr>
      <w:r>
        <w:rPr>
          <w:rFonts w:ascii="Times New Roman" w:hAnsi="Times New Roman"/>
          <w:sz w:val="24"/>
        </w:rPr>
      </w:r>
    </w:p>
    <w:p>
      <w:pPr>
        <w:pStyle w:val="Normal"/>
        <w:bidi w:val="0"/>
        <w:ind w:hanging="0" w:start="360"/>
        <w:jc w:val="start"/>
        <w:rPr>
          <w:rFonts w:ascii="Times New Roman" w:hAnsi="Times New Roman"/>
          <w:sz w:val="24"/>
        </w:rPr>
      </w:pPr>
      <w:r>
        <w:rPr>
          <w:rFonts w:ascii="Times New Roman" w:hAnsi="Times New Roman"/>
          <w:sz w:val="24"/>
        </w:rPr>
      </w:r>
    </w:p>
    <w:p>
      <w:pPr>
        <w:pStyle w:val="Normal"/>
        <w:bidi w:val="0"/>
        <w:ind w:hanging="0" w:start="360"/>
        <w:jc w:val="start"/>
        <w:rPr>
          <w:rFonts w:ascii="Times New Roman" w:hAnsi="Times New Roman"/>
          <w:sz w:val="24"/>
        </w:rPr>
      </w:pPr>
      <w:r>
        <w:rPr>
          <w:rFonts w:ascii="Times New Roman" w:hAnsi="Times New Roman"/>
          <w:sz w:val="24"/>
          <w:u w:val="single"/>
        </w:rPr>
        <w:t>(DRAFT) TERMS</w:t>
      </w:r>
      <w:r>
        <w:rPr>
          <w:rFonts w:ascii="Times New Roman" w:hAnsi="Times New Roman"/>
          <w:sz w:val="24"/>
        </w:rPr>
        <w:t>:</w:t>
      </w:r>
    </w:p>
    <w:p>
      <w:pPr>
        <w:pStyle w:val="Normal"/>
        <w:bidi w:val="0"/>
        <w:ind w:hanging="0" w:start="360"/>
        <w:jc w:val="start"/>
        <w:rPr>
          <w:rFonts w:ascii="Times New Roman" w:hAnsi="Times New Roman"/>
          <w:sz w:val="24"/>
        </w:rPr>
      </w:pPr>
      <w:r>
        <w:rPr>
          <w:rFonts w:ascii="Times New Roman" w:hAnsi="Times New Roman"/>
          <w:sz w:val="24"/>
        </w:rPr>
        <w:t xml:space="preserve">BUYER will own, operate and maintain The Facilities. Transwestern will retain dispatching/operational control of the facilities via a Compression Management Service Agreement (CMS) with the BUYER which to ensure that current and future shippers transportation services continue unabated without any adverse impact to their operations. </w:t>
      </w:r>
    </w:p>
    <w:p>
      <w:pPr>
        <w:pStyle w:val="Normal"/>
        <w:bidi w:val="0"/>
        <w:ind w:hanging="0" w:start="360"/>
        <w:jc w:val="start"/>
        <w:rPr>
          <w:rFonts w:ascii="Times New Roman" w:hAnsi="Times New Roman"/>
          <w:sz w:val="24"/>
        </w:rPr>
      </w:pPr>
      <w:r>
        <w:rPr>
          <w:rFonts w:ascii="Times New Roman" w:hAnsi="Times New Roman"/>
          <w:sz w:val="24"/>
        </w:rPr>
      </w:r>
    </w:p>
    <w:p>
      <w:pPr>
        <w:pStyle w:val="BodyText2"/>
        <w:bidi w:val="0"/>
        <w:jc w:val="start"/>
        <w:rPr>
          <w:rFonts w:ascii="Times New Roman" w:hAnsi="Times New Roman"/>
        </w:rPr>
      </w:pPr>
      <w:r>
        <w:rPr>
          <w:rFonts w:ascii="Times New Roman" w:hAnsi="Times New Roman"/>
        </w:rPr>
        <w:t xml:space="preserve">The Facilities will be sold to BUYER for $      -        million. In return, Transwestern will compensate the BUYER for a Compression Management Service from the 8 stations for an initial period of ten (10) years. As an example, the CMS fee could include a fixed payment of $                    per month for the first                    -    MMBtu/day of volume compressed plus a variable payment of _ cents/MMBtu for volume in excess of MMBtu/day. The maximum fees per month may not exceed $                                                      . At the end of the 10-year term, Transwestern may repurchase existing/replacement facilities at Fair Market Value. The Fair Market Value will be determined by an independent third party. </w:t>
      </w:r>
    </w:p>
    <w:sectPr>
      <w:type w:val="nextPage"/>
      <w:pgSz w:w="12240" w:h="15840"/>
      <w:pgMar w:left="360" w:right="1464" w:gutter="0" w:header="0" w:top="360" w:footer="0" w:bottom="3259"/>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Liberation Serif" w:hAnsi="Liberation Serif" w:eastAsia="Liberation Sans" w:cs="NotoSans NF"/>
      <w:color w:val="auto"/>
      <w:kern w:val="2"/>
      <w:sz w:val="20"/>
      <w:szCs w:val="24"/>
      <w:lang w:val="en-CA" w:eastAsia="zh-CN" w:bidi="hi-IN"/>
    </w:rPr>
  </w:style>
  <w:style w:type="paragraph" w:styleId="Heading1">
    <w:name w:val="heading 1"/>
    <w:basedOn w:val="Normal"/>
    <w:next w:val="Normal"/>
    <w:qFormat/>
    <w:pPr>
      <w:keepNext w:val="true"/>
      <w:widowControl/>
      <w:spacing w:lineRule="exact" w:line="240"/>
      <w:outlineLvl w:val="0"/>
    </w:pPr>
    <w:rPr>
      <w:rFonts w:ascii="Arial" w:hAnsi="Arial"/>
      <w:b/>
      <w:sz w:val="20"/>
      <w:u w:val="single"/>
    </w:rPr>
  </w:style>
  <w:style w:type="paragraph" w:styleId="Heading2">
    <w:name w:val="heading 2"/>
    <w:basedOn w:val="Normal"/>
    <w:next w:val="Normal"/>
    <w:qFormat/>
    <w:pPr>
      <w:keepNext w:val="true"/>
      <w:widowControl/>
      <w:spacing w:lineRule="exact" w:line="240"/>
      <w:ind w:hanging="0" w:start="360"/>
      <w:outlineLvl w:val="1"/>
    </w:pPr>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ind w:hanging="0" w:start="36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354</Words>
  <Characters>2481</Characters>
  <CharactersWithSpaces>2021</CharactersWithSpaces>
  <Company>ET&amp;S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2000-04-12T07:09:00Z</dcterms:created>
  <dc:creator>Enron</dc:creator>
  <dc:description/>
  <dc:language>en-CA</dc:language>
  <cp:lastModifiedBy/>
  <cp:lastPrinted>2000-04-12T16:06:00Z</cp:lastPrinted>
  <dcterms:modified xsi:type="dcterms:W3CDTF">2000-04-12T16:06:00Z</dcterms:modified>
  <cp:revision>13</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Enron</vt:lpwstr>
  </property>
</Properties>
</file>