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Attorney Work Product</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Enron/NSM Litigation: Stickler Witness File</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Richard Sanders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September 25,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Stickler's First Day of Deposition - 9/25/00</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spacing w:lineRule="auto" w:line="480"/>
        <w:ind w:firstLine="1440" w:end="0"/>
        <w:rPr/>
      </w:pPr>
      <w:r>
        <w:rPr/>
        <w:t xml:space="preserve">David Stickler's first day of deposition went forward today from 9:00a.m. to 5:30 p.m., with only minimal breaks, at the office of Sullivan &amp; Cromwell.  Stickler wanted to keep going at 5:30, but the reporter was exhausted.  Despite the length of the deposition, the majority of the day was spent on quite peripheral subjects.  The questioner all day was Tom Hatch of Robins, Caplin. </w:t>
      </w:r>
    </w:p>
    <w:p>
      <w:pPr>
        <w:pStyle w:val="BodyText"/>
        <w:spacing w:lineRule="auto" w:line="480"/>
        <w:ind w:firstLine="1440" w:end="0"/>
        <w:rPr/>
      </w:pPr>
      <w:r>
        <w:rPr/>
        <w:t>Stickler is about 38.  He wore a dark suit, white shirt, and tie.  He looked immaculate.  He was not at all evasive.  Quite to the contrary, he gave long, content-filled answers to many questions.  He was very assertive, often interrupting and arguing with Hatch.  Stickler did not in any way look sleazy.</w:t>
      </w:r>
    </w:p>
    <w:p>
      <w:pPr>
        <w:pStyle w:val="BodyText"/>
        <w:spacing w:lineRule="auto" w:line="480"/>
        <w:ind w:firstLine="1440" w:end="0"/>
        <w:rPr/>
      </w:pPr>
      <w:r>
        <w:rPr/>
        <w:t>That said, Stickler appeared not to be bright or capable of clear thinking (which I found very surprising.)  He often "misheard" a term in the question and gave an answer that did not make sense.  He misused words in his own responses.  He was incapable of understanding the attorney-client privilege, continually disclosing communications with his/McDonald's attorneys, despite frequent instructions from Tomaino not to do so.  On only rare occasions did Stickler give a simple yes or no answer, despite suggestion from both opposing counsel and his own counsel that a simple yes or no would be best if he could do it.</w:t>
      </w:r>
    </w:p>
    <w:p>
      <w:pPr>
        <w:pStyle w:val="BodyText"/>
        <w:spacing w:lineRule="auto" w:line="480"/>
        <w:ind w:firstLine="1440" w:end="0"/>
        <w:rPr/>
      </w:pPr>
      <w:r>
        <w:rPr/>
        <w:t>Stickler went out of his way constantly to mention Enron as participating in various meetings and other activities relating to the NSM offering and the follow-on NSM Management Company.  (He mentioned Kevin McConville often.)  Hatch rarely asked a direct question about Enron, but Stickler nonetheless often talked about Enron in his answers.  (I suspect that Tomaino told him to do this.)  Stickler also stressed the critical role of NatWest in the offering.  He rarely mentioned PaineWeber.</w:t>
      </w:r>
    </w:p>
    <w:p>
      <w:pPr>
        <w:pStyle w:val="BodyText"/>
        <w:spacing w:lineRule="auto" w:line="480"/>
        <w:ind w:firstLine="1440" w:end="0"/>
        <w:rPr/>
      </w:pPr>
      <w:r>
        <w:rPr/>
        <w:t xml:space="preserve">Stickler testified that the LLC Agreement of NSM Management Company was solely a formality.  Stickler did not in fact "manage" NSM Management Company.  As manager, al he did was sign checks and documents for NSM Management Company. The "units" shown in the text of, and exhibit A to, the LLC Agreement were entirely irrelevant (and also internally inconsistent.)  The Management Company in fact had four members each with equal votes:  David Stickler, Keith Busse, Kevin McConville, and John Schultes. Stickler was picked as manager only because, except for Schultes, he would be more often in Thailand than the other two members.  In fact the NSM Management Company made decisions by consensus.  (On the decision whether to terminate Schultes' termination agreement, </w:t>
      </w:r>
      <w:r>
        <w:rPr>
          <w:u w:val="single"/>
        </w:rPr>
        <w:t>i.e.</w:t>
      </w:r>
      <w:r>
        <w:rPr/>
        <w:t>, stop paying him, there was a vote, and Enron abstained.</w:t>
      </w:r>
    </w:p>
    <w:p>
      <w:pPr>
        <w:pStyle w:val="BodyText"/>
        <w:spacing w:lineRule="auto" w:line="480"/>
        <w:ind w:firstLine="1440" w:end="0"/>
        <w:rPr/>
      </w:pPr>
      <w:r>
        <w:rPr/>
        <w:t>Stickler says that the Management Company was formed because SDI did not want to be the sole manager under a management contract because SDI was very concerned that it not be perceived to be in control of NSM—for fear that it, for accounting purposes, SDI might have to consolidate (SDI's share of) NSM's losses into SDI's financial statements.</w:t>
      </w:r>
    </w:p>
    <w:p>
      <w:pPr>
        <w:pStyle w:val="BodyText"/>
        <w:spacing w:lineRule="auto" w:line="480"/>
        <w:ind w:firstLine="1440" w:end="0"/>
        <w:rPr/>
      </w:pPr>
      <w:r>
        <w:rPr/>
        <w:t>Tom Hatch told me on a break that, in preparing for the deposition, he could see that Enron</w:t>
      </w:r>
    </w:p>
    <w:p>
      <w:pPr>
        <w:pStyle w:val="BodyText"/>
        <w:spacing w:lineRule="auto" w:line="480"/>
        <w:ind w:firstLine="1440" w:end="0"/>
        <w:rPr>
          <w:i/>
          <w:i/>
        </w:rPr>
      </w:pPr>
      <w:r>
        <w:rPr>
          <w:i/>
        </w:rPr>
      </w:r>
    </w:p>
    <w:p>
      <w:pPr>
        <w:pStyle w:val="BodyText"/>
        <w:spacing w:lineRule="auto" w:line="480"/>
        <w:ind w:firstLine="1440" w:end="0"/>
        <w:rPr>
          <w:i/>
          <w:i/>
        </w:rPr>
      </w:pPr>
      <w:r>
        <w:rPr>
          <w:i/>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t>bcc:</w:t>
        <w:tab/>
        <w:t>Rolland Tellis</w:t>
        <w:br/>
        <w:tab/>
        <w:t>Sabina Bhalla</w:t>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pacing w:lineRule="exact" w:line="200"/>
            <w:rPr/>
          </w:pPr>
          <w:r>
            <w:rPr>
              <w:rStyle w:val="zzmpTrailerItem"/>
            </w:rPr>
            <w:t>D:\Local Files\depsum.doc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7:55 AM</w:t>
          </w:r>
          <w:r>
            <w:rPr>
              <w:rStyle w:val="zzmpTrailerItem"/>
            </w:rPr>
            <w:fldChar w:fldCharType="end"/>
          </w:r>
          <w:r>
            <w:rPr/>
            <w:t xml:space="preserve"> </w:t>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7:55 AM</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0"/>
    <w:docVar w:name="cbxOptOffices" w:val="Los Angeles"/>
    <w:docVar w:name="cbxPeople" w:val="1937"/>
    <w:docVar w:name="chkIncludeDPhrase" w:val="False"/>
    <w:docVar w:name="chkOptIncludeFirmName" w:val="False"/>
    <w:docVar w:name="chkOptInsertDateAsField" w:val="False"/>
    <w:docVar w:name="cmbOptFonts" w:val="Times New Roman"/>
    <w:docVar w:name="lstDeliveryPhrases" w:val="Attorney-Client Privilege"/>
    <w:docVar w:name="Restarted" w:val="True"/>
    <w:docVar w:name="tglUseFirmDefaults" w:val="False"/>
    <w:docVar w:name="txtBCC" w:val="Rolland Tellis&#10;Sabina Bhalla"/>
    <w:docVar w:name="txtCC" w:val="Richard Sanders"/>
    <w:docVar w:name="txtDeliveryPhrases" w:val="Attorney Work Product"/>
    <w:docVar w:name="txtFileNo" w:val="35509.00300"/>
    <w:docVar w:name="txtFrom" w:val="Steve Howard"/>
    <w:docVar w:name="txtOptBottomMargin" w:val="1"/>
    <w:docVar w:name="txtOptFirstLine" w:val="0"/>
    <w:docVar w:name="txtOptFSize" w:val="12"/>
    <w:docVar w:name="txtOptLeftMargin" w:val="1"/>
    <w:docVar w:name="txtOptRightMargin" w:val="1"/>
    <w:docVar w:name="txtOptTopMargin" w:val=".8"/>
    <w:docVar w:name="txtRe" w:val="Stickler's First Day of Deposition - 9/25/00"/>
    <w:docVar w:name="txtTo" w:val="Enron/NSM Litigation: Stickler Witness File"/>
    <w:docVar w:name="zzmpFixedDOC_ID" w:val="D:\Local Files\depsum.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2000-09-25T22:03:00Z</dcterms:created>
  <dc:creator>SHoward</dc:creator>
  <dc:description/>
  <dc:language>en-CA</dc:language>
  <cp:lastModifiedBy>SHoward</cp:lastModifiedBy>
  <dcterms:modified xsi:type="dcterms:W3CDTF">2000-09-25T22:51:00Z</dcterms:modified>
  <cp:revision>2</cp:revision>
  <dc:subject/>
  <dc:title>Generic MacPac 8.0 Memo Template, rev. 4/3/97, the Legal MacPac</dc:title>
</cp:coreProperties>
</file>