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ind w:hanging="0" w:start="0" w:end="0"/>
        <w:jc w:val="center"/>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TALKING POINTS</w:t>
      </w:r>
    </w:p>
    <w:p>
      <w:pPr>
        <w:pStyle w:val="Normal"/>
        <w:bidi w:val="0"/>
        <w:spacing w:lineRule="auto" w:line="240" w:before="0" w:after="0"/>
        <w:ind w:hanging="0" w:start="0" w:end="0"/>
        <w:jc w:val="center"/>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FEDERAL INTERVENTION IN</w:t>
      </w:r>
    </w:p>
    <w:p>
      <w:pPr>
        <w:pStyle w:val="Normal"/>
        <w:bidi w:val="0"/>
        <w:spacing w:lineRule="auto" w:line="240" w:before="0" w:after="0"/>
        <w:ind w:hanging="0" w:start="0" w:end="0"/>
        <w:jc w:val="center"/>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CALIFORNIA-RELATED ENERGY LITIGATION</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pPr>
      <w:r>
        <w:rPr>
          <w:rFonts w:eastAsia="Times New Roman" w:cs="Times New Roman" w:ascii="Times New Roman" w:hAnsi="Times New Roman"/>
          <w:b/>
          <w:bCs/>
          <w:i/>
          <w:iCs/>
          <w:color w:val="000000"/>
          <w:sz w:val="26"/>
          <w:szCs w:val="26"/>
        </w:rPr>
        <w:t>Message to the White House</w:t>
      </w:r>
      <w:r>
        <w:rPr>
          <w:rFonts w:eastAsia="Times New Roman" w:cs="Times New Roman" w:ascii="Times New Roman" w:hAnsi="Times New Roman"/>
          <w:b/>
          <w:bCs/>
          <w:color w:val="000000"/>
          <w:sz w:val="26"/>
          <w:szCs w:val="26"/>
        </w:rPr>
        <w:t>:</w:t>
      </w:r>
    </w:p>
    <w:p>
      <w:pPr>
        <w:pStyle w:val="Normal"/>
        <w:bidi w:val="0"/>
        <w:spacing w:lineRule="auto" w:line="240" w:before="0" w:after="0"/>
        <w:ind w:firstLine="1440" w:start="0" w:end="0"/>
        <w:jc w:val="both"/>
        <w:rPr>
          <w:rFonts w:ascii="Times New Roman" w:hAnsi="Times New Roman" w:eastAsia="Times New Roman" w:cs="Times New Roman"/>
          <w:color w:val="000000"/>
          <w:sz w:val="24"/>
          <w:szCs w:val="24"/>
        </w:rPr>
      </w:pPr>
      <w:r>
        <w:rPr/>
      </w:r>
    </w:p>
    <w:p>
      <w:pPr>
        <w:pStyle w:val="Normal"/>
        <w:numPr>
          <w:ilvl w:val="0"/>
          <w:numId w:val="1"/>
        </w:numPr>
        <w:tabs>
          <w:tab w:val="clear" w:pos="720"/>
          <w:tab w:val="left" w:pos="1440" w:leader="none"/>
        </w:tabs>
        <w:bidi w:val="0"/>
        <w:spacing w:lineRule="auto" w:line="240" w:before="0" w:after="0"/>
        <w:ind w:hanging="720" w:start="1440" w:end="0"/>
        <w:jc w:val="both"/>
        <w:rPr/>
      </w:pPr>
      <w:r>
        <w:rPr>
          <w:rFonts w:eastAsia="Times New Roman" w:cs="Times New Roman" w:ascii="Times New Roman" w:hAnsi="Times New Roman"/>
          <w:color w:val="000000"/>
          <w:sz w:val="24"/>
          <w:szCs w:val="24"/>
        </w:rPr>
        <w:t>The power shortages and price volatility plaguing California (the world's 7</w:t>
      </w:r>
      <w:r>
        <w:rPr>
          <w:rFonts w:eastAsia="Times New Roman" w:cs="Times New Roman" w:ascii="Times New Roman" w:hAnsi="Times New Roman"/>
          <w:color w:val="000000"/>
          <w:sz w:val="24"/>
          <w:szCs w:val="24"/>
          <w:vertAlign w:val="superscript"/>
        </w:rPr>
        <w:t>th</w:t>
      </w:r>
      <w:r>
        <w:rPr>
          <w:rFonts w:eastAsia="Times New Roman" w:cs="Times New Roman" w:ascii="Times New Roman" w:hAnsi="Times New Roman"/>
          <w:color w:val="000000"/>
          <w:sz w:val="24"/>
          <w:szCs w:val="24"/>
        </w:rPr>
        <w:t xml:space="preserve"> largest economy) cannot be confined to that state.  It is now and will continue to destabilize neighboring states, including earthquake injured Washington State.  This is because California and its neighbors are mutually dependent on the same energy market, known as the Western Interconnection.  </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0"/>
          <w:numId w:val="2"/>
        </w:numPr>
        <w:tabs>
          <w:tab w:val="clear" w:pos="720"/>
          <w:tab w:val="left" w:pos="1440" w:leader="none"/>
        </w:tabs>
        <w:bidi w:val="0"/>
        <w:spacing w:lineRule="auto" w:line="240" w:before="0" w:after="0"/>
        <w:ind w:hanging="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To prevent the crisis from spinning totally out of control throughout the West when we enter the period of peak power consumption this summer, we must get those affected focused on coordinated, region-wide solutions — a combination of price responsive reduced demand and more supply — rather than recriminations over who and what caused the crisis.  </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0"/>
          <w:numId w:val="3"/>
        </w:numPr>
        <w:tabs>
          <w:tab w:val="clear" w:pos="720"/>
          <w:tab w:val="left" w:pos="1440" w:leader="none"/>
        </w:tabs>
        <w:bidi w:val="0"/>
        <w:spacing w:lineRule="auto" w:line="240" w:before="0" w:after="0"/>
        <w:ind w:hanging="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Currently standing in the way of this focus on solutions are the lawyer-driven class action lawsuits in which professional class-action lawyers are seeking billions in treble damages from nearly every supplier of energy to the Golden State.  The lawsuits challenge the federally regulated wholesale prices that the suppliers have charged the California incumbent electric utilities during certain peak consumption hours.  (Rates for retail sales to end user consumers remain strictly regulated for two of California's three incumbent utilities, Southern California Edison and Pacific Gas and Electric and have only recently been decontrolled for the smaller incumbent, San Diego Gas &amp; Electric.  These regulated retail rates have not been increased to reflect wholesale costs.)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0"/>
          <w:numId w:val="4"/>
        </w:numPr>
        <w:tabs>
          <w:tab w:val="clear" w:pos="720"/>
          <w:tab w:val="left" w:pos="1440" w:leader="none"/>
        </w:tabs>
        <w:bidi w:val="0"/>
        <w:spacing w:lineRule="auto" w:line="240" w:before="0" w:after="0"/>
        <w:ind w:hanging="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Those lawsuits, originally brought by the class action lawyers in state court have been removed to federal district court by the power supplier defendants.  The suppliers contend that the federal court should send the lawsuits to the Federal Energy Regulatory Commission (FERC), which is the body that regulates all wholesale power prices pursuant to federal law and which approved the wholesale pricing formula that is used in California.  The federal court is also being asked by the class action lawyers to send the case back to state court on the ground that no significant national matters are at stake.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0"/>
          <w:numId w:val="5"/>
        </w:numPr>
        <w:tabs>
          <w:tab w:val="clear" w:pos="720"/>
          <w:tab w:val="left" w:pos="1440" w:leader="none"/>
        </w:tabs>
        <w:bidi w:val="0"/>
        <w:spacing w:lineRule="auto" w:line="240" w:before="0" w:after="0"/>
        <w:ind w:hanging="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FERC has already conducted several investigations of the California situation in recent months, continues actively to supervise wholesale transactions, and has ordered that several changes be made to the structure of the power market in California — a structure that was imposed by the California legislature and that most experts now condemn as being badly flawed.  For the most part, the players in California have resisted making the going-forward corrections ordered or  recommended by FERC and the experts, choosing instead to cast blame for the recent past. The pending lawsuits, together with multiple state investigations, contribute to this focus on whom to blame, diverting attention and resources away from correcting market flaws and increasing the availability of power supplies.</w:t>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
    </w:p>
    <w:p>
      <w:pPr>
        <w:pStyle w:val="Normal"/>
        <w:numPr>
          <w:ilvl w:val="0"/>
          <w:numId w:val="6"/>
        </w:numPr>
        <w:tabs>
          <w:tab w:val="clear" w:pos="720"/>
          <w:tab w:val="left" w:pos="1440" w:leader="none"/>
        </w:tabs>
        <w:bidi w:val="0"/>
        <w:spacing w:lineRule="auto" w:line="240" w:before="0" w:after="0"/>
        <w:ind w:hanging="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We are rapidly approaching the fork in the road where one path will consume everyone's resources in litigation if the lawsuits are allowed to proceed back in state court.  The other path is for the Administration, acting through FERC and the Secretary of Energy, to assert control and ask the federal court (where the lawsuits are now) to send the suits to FERC, which is charged by Congress to regulate this market, for a coordinated resolution.</w:t>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
    </w:p>
    <w:p>
      <w:pPr>
        <w:pStyle w:val="Normal"/>
        <w:numPr>
          <w:ilvl w:val="0"/>
          <w:numId w:val="7"/>
        </w:numPr>
        <w:tabs>
          <w:tab w:val="clear" w:pos="720"/>
          <w:tab w:val="left" w:pos="1440" w:leader="none"/>
        </w:tabs>
        <w:bidi w:val="0"/>
        <w:spacing w:lineRule="auto" w:line="240" w:before="0" w:after="0"/>
        <w:ind w:hanging="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That coordinated resolution, first and foremost, will focus the efforts of California, consumers and suppliers on bringing supply and demand into balance by this summer.  Continued class action law suit activity cannot do that and will divert resources away from that effort.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0"/>
          <w:numId w:val="8"/>
        </w:numPr>
        <w:tabs>
          <w:tab w:val="clear" w:pos="720"/>
          <w:tab w:val="left" w:pos="1440" w:leader="none"/>
        </w:tabs>
        <w:bidi w:val="0"/>
        <w:spacing w:lineRule="auto" w:line="240" w:before="0" w:after="0"/>
        <w:ind w:hanging="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The class-action lawyers argue that California consumers, if denied the ability to have their case heard in California State courts, will have no place to have their case heard.  This is false.  The very same accusations of market rigging that the class-action lawyers have raised in the California courts have likewise been raised in ongoing FERC investigations by consumer representatives and the California government.  Indeed, FERC has established procedures for addressing the problems of California's power markets, has set wholesale price ceilings, and recently has ordered refunds of sales in excess of those price ceilings.  </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sectPr>
          <w:headerReference w:type="default" r:id="rId2"/>
          <w:footerReference w:type="default" r:id="rId3"/>
          <w:type w:val="nextPage"/>
          <w:pgSz w:w="12240" w:h="15840"/>
          <w:pgMar w:left="1440" w:right="1440" w:gutter="0" w:header="1440" w:top="1992" w:footer="1440" w:bottom="1946"/>
          <w:pgNumType w:start="2" w:fmt="decimal"/>
          <w:formProt w:val="false"/>
          <w:textDirection w:val="lrTb"/>
          <w:docGrid w:type="default" w:linePitch="600" w:charSpace="32768"/>
        </w:sectPr>
        <w:pStyle w:val="Normal"/>
        <w:numPr>
          <w:ilvl w:val="0"/>
          <w:numId w:val="9"/>
        </w:numPr>
        <w:tabs>
          <w:tab w:val="clear" w:pos="720"/>
          <w:tab w:val="left" w:pos="1440" w:leader="none"/>
        </w:tabs>
        <w:bidi w:val="0"/>
        <w:spacing w:lineRule="auto" w:line="240" w:before="0" w:after="0"/>
        <w:ind w:hanging="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key difference lies in what may result from the different ongoing cases.  In the FERC cases, if the consumer representatives or the State prove their allegations, then FERC has authority to order refunds.   Indeed, FERC already has issued a preliminary order requiring certain suppliers to make refunds totaling $55 million.  By contrast, if the class-action lawyers win their claims in state court, they could receive treble damages to cover their attorney's fees, which range between one-third and one-half of any amount that a jury may award California consumers.  Congress has determined that with regard to wholesale electric charges, relief should be confined to refunds of overcharges, if any, and should not include payments to class-action lawyers.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
    </w:p>
    <w:p>
      <w:pPr>
        <w:pStyle w:val="Normal"/>
        <w:numPr>
          <w:ilvl w:val="0"/>
          <w:numId w:val="10"/>
        </w:numPr>
        <w:tabs>
          <w:tab w:val="clear" w:pos="720"/>
          <w:tab w:val="left" w:pos="1440" w:leader="none"/>
        </w:tabs>
        <w:bidi w:val="0"/>
        <w:spacing w:lineRule="auto" w:line="240" w:before="0" w:after="0"/>
        <w:ind w:hanging="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Administration must cause the Secretary and FERC to communicate this message to the court now while there still is a choice of paths on which to proceed.</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pPr>
      <w:r>
        <w:rPr>
          <w:rFonts w:eastAsia="Times New Roman" w:cs="Times New Roman" w:ascii="Times New Roman" w:hAnsi="Times New Roman"/>
          <w:b/>
          <w:bCs/>
          <w:i/>
          <w:iCs/>
          <w:color w:val="000000"/>
          <w:sz w:val="26"/>
          <w:szCs w:val="26"/>
        </w:rPr>
        <w:t>Message to the Secretary and FERC Commissioners</w:t>
      </w:r>
      <w:r>
        <w:rPr>
          <w:rFonts w:eastAsia="Times New Roman" w:cs="Times New Roman" w:ascii="Times New Roman" w:hAnsi="Times New Roman"/>
          <w:b/>
          <w:bCs/>
          <w:color w:val="000000"/>
          <w:sz w:val="24"/>
          <w:szCs w:val="24"/>
        </w:rPr>
        <w: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0"/>
          <w:numId w:val="11"/>
        </w:numPr>
        <w:tabs>
          <w:tab w:val="clear" w:pos="720"/>
          <w:tab w:val="left" w:pos="1440" w:leader="none"/>
        </w:tabs>
        <w:bidi w:val="0"/>
        <w:spacing w:lineRule="auto" w:line="240" w:before="0" w:after="0"/>
        <w:ind w:hanging="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If FERC fails now to re-assert control over the wholesale electric power market in California and neighboring Western states, then it will jeopardize the historic mission FERC undertook nearly a decade ago — ensuring an orderly transition from a pervasively regulated and largely inefficient wholesale power market to one that is disciplined by competition and market forces.  Court proceedings scheduled for later this month in a federal district court will determine whether FERC will be able to re-assert this control or will cede it to the California (and possibly other state) courts.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0"/>
          <w:numId w:val="12"/>
        </w:numPr>
        <w:tabs>
          <w:tab w:val="clear" w:pos="720"/>
          <w:tab w:val="left" w:pos="1440" w:leader="none"/>
        </w:tabs>
        <w:bidi w:val="0"/>
        <w:spacing w:lineRule="auto" w:line="240" w:before="0" w:after="0"/>
        <w:ind w:hanging="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 power supply shortage in the Western states, exacerbated by a severely flawed effort to restructure regulation in California, has produced a volatile and highly unstable wholesale power market throughout the West.  California class action lawyers have responded with lawsuits that, if allowed to run their course, will see state courts displace FERC as the regulator of the rates, terms and conditions of the Nation's wholesale power industry.  These class action lawsuits will not provide power supply or reduce consumption.  If allowed to proceed, they will do nothing to restore order to the West's wholesale power market.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0"/>
          <w:numId w:val="13"/>
        </w:numPr>
        <w:tabs>
          <w:tab w:val="clear" w:pos="720"/>
          <w:tab w:val="left" w:pos="1440" w:leader="none"/>
        </w:tabs>
        <w:bidi w:val="0"/>
        <w:spacing w:lineRule="auto" w:line="240" w:before="0" w:after="0"/>
        <w:ind w:hanging="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class action lawsuits have temporarily been removed to federal district court.  At the federal court, two diametrically opposite scenarios could develop.  One will emasculate FERC's authority and policy role in the interstate wholesale power market.  The other will see FERC continue with its own ongoing investigations and restore an orderly transition from regulation to competition.</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0"/>
          <w:numId w:val="14"/>
        </w:numPr>
        <w:tabs>
          <w:tab w:val="clear" w:pos="720"/>
          <w:tab w:val="left" w:pos="1440" w:leader="none"/>
        </w:tabs>
        <w:bidi w:val="0"/>
        <w:spacing w:lineRule="auto" w:line="240" w:before="0" w:after="0"/>
        <w:ind w:hanging="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In the first scenario, the class action lawyers will succeed in their pending petitions to have their cases sent back to state court where they believe (likely correctly) that they will find a relatively more sympathetic audience for their tale that all of California's woes were caused (not by short supplies and bad regulation, but rather) by illegal wholesale prices charged by demonized outsiders, who the lawyers label "out-of-state generators."  If that happens, the California courts will be asked to revise a pricing system for wholesale power, authored by California and approved (deferentially) by FERC.  The California courts will do this in the absence of FERC's expertise in interstate wholesale power markets and without the benefit of FERC's ongoing investigations into what went so wrong in California.  Perhaps most importantly, the California courts predictably and understandably will perform this function with the best interests of California, but not necessarily the best interests of the larger affected region, in mind.</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0"/>
          <w:numId w:val="15"/>
        </w:numPr>
        <w:tabs>
          <w:tab w:val="clear" w:pos="720"/>
          <w:tab w:val="left" w:pos="1440" w:leader="none"/>
        </w:tabs>
        <w:bidi w:val="0"/>
        <w:spacing w:lineRule="auto" w:line="240" w:before="0" w:after="0"/>
        <w:ind w:hanging="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In the other scenario, FERC can promptly weigh in with the federal district court, explaining that, under the Federal Power Act, Congress entrusted it with exclusive authority for the interstate wholesale power market and request that the court terminate the class action lawsuits in favor of FERC's own investigations and rulings.  Those investigations, which are ongoing, can determine whether prices charged in the California market were authorized or not; if the latter, then it can require refunds as deemed appropriate.  Indeed, they already have resulted in preliminary orders requiring certain power suppliers to refund nearly $55 million.  These investigations can and should also complete the diagnosis of what went wrong in the Golden State and prescribe cures for the wholesale power market in California and its neighboring Western states as well.  </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0"/>
          <w:numId w:val="16"/>
        </w:numPr>
        <w:tabs>
          <w:tab w:val="clear" w:pos="720"/>
          <w:tab w:val="left" w:pos="1440" w:leader="none"/>
        </w:tabs>
        <w:bidi w:val="0"/>
        <w:spacing w:lineRule="auto" w:line="240" w:before="0" w:after="0"/>
        <w:ind w:hanging="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FERC is currently pursuing both courses.  It has completed investigations of past practices in the wholesale power market in California and reached a preliminary determination that extreme prices and volatility in the Golden State were produced by a severely flawed new regulatory structure that had the effect of converting a physical supply problem (too little generation capacity) into a financial crisis (not enough revenue to pay for scarce supplies). FERC also has recommended fundamental changes to the flawed regulatory structure intended to make power markets in California and surrounding states less vulnerable to extreme price fluctuations brought on by inadequate power supplies.  Most recently, it has rolled out an action plan to increase electric generation, expand transmission systems, and increase natural gas supplier throughout the Western states.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numPr>
          <w:ilvl w:val="0"/>
          <w:numId w:val="17"/>
        </w:numPr>
        <w:tabs>
          <w:tab w:val="clear" w:pos="720"/>
          <w:tab w:val="left" w:pos="1440" w:leader="none"/>
        </w:tabs>
        <w:bidi w:val="0"/>
        <w:spacing w:lineRule="auto" w:line="240" w:before="0" w:after="0"/>
        <w:ind w:hanging="720" w:start="144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The class action litigation scenario and the reasserted FERC leadership scenario are, for the most part, mutually exclusive.  In the former, the class action lawyers are seeking to recover so much money (possibly tens of billions of dollars) from power suppliers that it creates a climate in which cooperation and concessions are impossible.   But that is exactly what is required for FERC to succeed in efforts to help the Western states avert a catastrophe when power demand soars again this summer and emerge thereafter with a stable, regional wholesale power market. </w:t>
      </w:r>
    </w:p>
    <w:sectPr>
      <w:headerReference w:type="default" r:id="rId4"/>
      <w:headerReference w:type="first" r:id="rId5"/>
      <w:footerReference w:type="default" r:id="rId6"/>
      <w:footerReference w:type="first" r:id="rId7"/>
      <w:type w:val="nextPage"/>
      <w:pgSz w:w="12240" w:h="15840"/>
      <w:pgMar w:left="1440" w:right="1440" w:gutter="0" w:header="1440" w:top="1992" w:footer="1440" w:bottom="1946"/>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auto"/>
    <w:pitch w:val="default"/>
  </w:font>
  <w:font w:name="Arial">
    <w:charset w:val="01" w:characterSet="utf-8"/>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start"/>
      <w:rPr>
        <w:rFonts w:ascii="Arial" w:hAnsi="Arial" w:eastAsia="Arial" w:cs="Arial"/>
        <w:color w:val="000000"/>
        <w:sz w:val="20"/>
        <w:szCs w:val="20"/>
      </w:rPr>
    </w:pPr>
    <w:r>
      <w:rPr>
        <w:rFonts w:eastAsia="Arial" w:cs="Arial" w:ascii="Arial" w:hAnsi="Arial"/>
        <w:color w:val="000000"/>
        <w:sz w:val="20"/>
        <w:szCs w:val="20"/>
      </w:rPr>
      <w:t>Privileged &amp; Confidential</w:t>
      <w:tab/>
      <w:tab/>
      <w:tab/>
      <w:tab/>
      <w:tab/>
      <w:tab/>
      <w:t>Attorney Work Product</w:t>
    </w:r>
  </w:p>
  <w:p>
    <w:pPr>
      <w:pStyle w:val="Normal"/>
      <w:bidi w:val="0"/>
      <w:spacing w:lineRule="auto" w:line="240" w:before="0" w:after="0"/>
      <w:ind w:hanging="0" w:start="0" w:end="0"/>
      <w:jc w:val="start"/>
      <w:rPr/>
    </w:pPr>
    <w:r>
      <w:rPr>
        <w:rFonts w:eastAsia="Arial" w:cs="Arial" w:ascii="Arial" w:hAnsi="Arial"/>
        <w:color w:val="000000"/>
        <w:sz w:val="20"/>
        <w:szCs w:val="20"/>
      </w:rPr>
      <w:t>Attorney-Client Communication</w:t>
      <w:tab/>
      <w:tab/>
      <w:tab/>
    </w:r>
    <w:r>
      <w:rPr>
        <w:rFonts w:eastAsia="Times New Roman" w:cs="Times New Roman" w:ascii="Times New Roman" w:hAnsi="Times New Roman"/>
        <w:color w:val="000000"/>
        <w:sz w:val="24"/>
        <w:szCs w:val="24"/>
      </w:rPr>
      <w:tab/>
      <w:tab/>
      <w:tab/>
      <w:tab/>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start"/>
      <w:rPr>
        <w:rFonts w:ascii="Arial" w:hAnsi="Arial" w:eastAsia="Arial" w:cs="Arial"/>
        <w:color w:val="000000"/>
        <w:sz w:val="20"/>
        <w:szCs w:val="20"/>
      </w:rPr>
    </w:pPr>
    <w:r>
      <w:rPr>
        <w:rFonts w:eastAsia="Arial" w:cs="Arial" w:ascii="Arial" w:hAnsi="Arial"/>
        <w:color w:val="000000"/>
        <w:sz w:val="20"/>
        <w:szCs w:val="20"/>
      </w:rPr>
      <w:t>Privileged &amp; Confidential</w:t>
      <w:tab/>
      <w:tab/>
      <w:tab/>
      <w:tab/>
      <w:tab/>
      <w:tab/>
      <w:t>Attorney Work Product</w:t>
    </w:r>
  </w:p>
  <w:p>
    <w:pPr>
      <w:pStyle w:val="Normal"/>
      <w:bidi w:val="0"/>
      <w:spacing w:lineRule="auto" w:line="240" w:before="0" w:after="0"/>
      <w:ind w:hanging="0" w:start="0" w:end="0"/>
      <w:jc w:val="start"/>
      <w:rPr/>
    </w:pPr>
    <w:r>
      <w:rPr>
        <w:rFonts w:eastAsia="Arial" w:cs="Arial" w:ascii="Arial" w:hAnsi="Arial"/>
        <w:color w:val="000000"/>
        <w:sz w:val="20"/>
        <w:szCs w:val="20"/>
      </w:rPr>
      <w:t>Attorney-Client Communication</w:t>
      <w:tab/>
      <w:tab/>
      <w:tab/>
    </w:r>
    <w:r>
      <w:rPr>
        <w:rFonts w:eastAsia="Times New Roman" w:cs="Times New Roman" w:ascii="Times New Roman" w:hAnsi="Times New Roman"/>
        <w:color w:val="000000"/>
        <w:sz w:val="24"/>
        <w:szCs w:val="24"/>
      </w:rPr>
      <w:tab/>
      <w:tab/>
      <w:tab/>
      <w:tab/>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end"/>
      <w:rPr>
        <w:rFonts w:ascii="Times New Roman" w:hAnsi="Times New Roman" w:eastAsia="Times New Roman" w:cs="Times New Roman"/>
        <w:sz w:val="24"/>
        <w:szCs w:val="24"/>
      </w:rPr>
    </w:pPr>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PAGE \* ARABIC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t>3</w:t>
    </w:r>
    <w:r>
      <w:rPr>
        <w:sz w:val="24"/>
        <w:szCs w:val="24"/>
        <w:rFonts w:eastAsia="Times New Roman" w:cs="Times New Roman" w:ascii="Times New Roman" w:hAnsi="Times New Roman"/>
      </w:rPr>
      <w:fldChar w:fldCharType="end"/>
    </w:r>
  </w:p>
  <w:p>
    <w:pPr>
      <w:pStyle w:val="Normal"/>
      <w:bidi w:val="0"/>
      <w:spacing w:lineRule="auto" w:line="240" w:before="0" w:after="0"/>
      <w:ind w:firstLine="720" w:start="0" w:end="0"/>
      <w:jc w:val="start"/>
      <w:rPr>
        <w:rFonts w:ascii="Times New Roman" w:hAnsi="Times New Roman" w:eastAsia="Times New Roman" w:cs="Times New Roman"/>
        <w:color w:val="000000"/>
        <w:sz w:val="24"/>
        <w:szCs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end"/>
      <w:rPr>
        <w:rFonts w:ascii="Times New Roman" w:hAnsi="Times New Roman" w:eastAsia="Times New Roman" w:cs="Times New Roman"/>
        <w:sz w:val="24"/>
        <w:szCs w:val="24"/>
      </w:rPr>
    </w:pPr>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PAGE \* ARABIC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t>5</w:t>
    </w:r>
    <w:r>
      <w:rPr>
        <w:sz w:val="24"/>
        <w:szCs w:val="24"/>
        <w:rFonts w:eastAsia="Times New Roman" w:cs="Times New Roman" w:ascii="Times New Roman" w:hAnsi="Times New Roman"/>
      </w:rPr>
      <w:fldChar w:fldCharType="end"/>
    </w:r>
  </w:p>
  <w:p>
    <w:pPr>
      <w:pStyle w:val="Normal"/>
      <w:bidi w:val="0"/>
      <w:spacing w:lineRule="auto" w:line="240" w:before="0" w:after="0"/>
      <w:ind w:firstLine="720" w:start="0" w:end="0"/>
      <w:jc w:val="start"/>
      <w:rPr>
        <w:rFonts w:ascii="Times New Roman" w:hAnsi="Times New Roman" w:eastAsia="Times New Roman" w:cs="Times New Roman"/>
        <w:color w:val="000000"/>
        <w:sz w:val="24"/>
        <w:szCs w:val="24"/>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decimal"/>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3"/>
      <w:numFmt w:val="decimal"/>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4"/>
      <w:numFmt w:val="decimal"/>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5"/>
      <w:numFmt w:val="decimal"/>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6"/>
      <w:numFmt w:val="decimal"/>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7"/>
      <w:numFmt w:val="decimal"/>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8"/>
      <w:numFmt w:val="decimal"/>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9"/>
      <w:numFmt w:val="decimal"/>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0"/>
      <w:numFmt w:val="decimal"/>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2"/>
      <w:numFmt w:val="decimal"/>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3"/>
      <w:numFmt w:val="decimal"/>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4"/>
      <w:numFmt w:val="decimal"/>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5"/>
      <w:numFmt w:val="decimal"/>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6"/>
      <w:numFmt w:val="decimal"/>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7"/>
      <w:numFmt w:val="decimal"/>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Liberation Sans" w:cs="NotoSans NF"/>
      <w:color w:val="auto"/>
      <w:kern w:val="2"/>
      <w:sz w:val="24"/>
      <w:szCs w:val="24"/>
      <w:lang w:val="en-CA"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NumberingSymbols">
    <w:name w:val="Numbering_Symbol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extBody">
    <w:name w:val="Text Body"/>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FootnoteText">
    <w:name w:val="footnote text"/>
    <w:basedOn w:val="Normal"/>
    <w:pPr/>
    <w:rPr/>
  </w:style>
  <w:style w:type="paragraph" w:styleId="EndnoteText">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