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exact" w:line="360"/>
        <w:ind w:hanging="0" w:start="0" w:end="0"/>
        <w:jc w:val="center"/>
        <w:rPr>
          <w:color w:val="000000"/>
        </w:rPr>
      </w:pPr>
      <w:r>
        <w:rPr>
          <w:color w:val="000000"/>
        </w:rPr>
      </w:r>
    </w:p>
    <w:p>
      <w:pPr>
        <w:pStyle w:val="Normal"/>
        <w:bidi w:val="0"/>
        <w:spacing w:lineRule="exact" w:line="360"/>
        <w:ind w:hanging="0" w:start="0" w:end="0"/>
        <w:jc w:val="center"/>
        <w:rPr>
          <w:color w:val="000000"/>
        </w:rPr>
      </w:pPr>
      <w:r>
        <w:rPr>
          <w:color w:val="000000"/>
        </w:rPr>
      </w:r>
    </w:p>
    <w:p>
      <w:pPr>
        <w:pStyle w:val="Normal"/>
        <w:bidi w:val="0"/>
        <w:spacing w:lineRule="exact" w:line="360"/>
        <w:ind w:hanging="0" w:start="0" w:end="0"/>
        <w:jc w:val="center"/>
        <w:rPr>
          <w:color w:val="000000"/>
        </w:rPr>
      </w:pPr>
      <w:r>
        <w:rPr>
          <w:color w:val="000000"/>
        </w:rPr>
      </w:r>
    </w:p>
    <w:p>
      <w:pPr>
        <w:pStyle w:val="Normal"/>
        <w:bidi w:val="0"/>
        <w:spacing w:lineRule="exact" w:line="360"/>
        <w:ind w:hanging="0" w:start="0" w:end="0"/>
        <w:jc w:val="center"/>
        <w:rPr>
          <w:color w:val="000000"/>
        </w:rPr>
      </w:pPr>
      <w:r>
        <w:rPr>
          <w:color w:val="000000"/>
        </w:rPr>
      </w:r>
    </w:p>
    <w:p>
      <w:pPr>
        <w:pStyle w:val="Normal"/>
        <w:tabs>
          <w:tab w:val="clear" w:pos="720"/>
          <w:tab w:val="left" w:pos="5418" w:leader="none"/>
          <w:tab w:val="left" w:pos="7038" w:leader="none"/>
        </w:tabs>
        <w:bidi w:val="0"/>
        <w:spacing w:lineRule="exact" w:line="360"/>
        <w:ind w:hanging="0" w:start="0" w:end="0"/>
        <w:jc w:val="center"/>
        <w:rPr>
          <w:color w:val="000000"/>
        </w:rPr>
      </w:pPr>
      <w:r>
        <w:rPr>
          <w:color w:val="000000"/>
        </w:rPr>
        <w:t>PG&amp;E Core Agreement No. ____</w:t>
      </w:r>
    </w:p>
    <w:p>
      <w:pPr>
        <w:pStyle w:val="Normal"/>
        <w:tabs>
          <w:tab w:val="clear" w:pos="720"/>
          <w:tab w:val="left" w:pos="5418" w:leader="none"/>
          <w:tab w:val="left" w:pos="7038" w:leader="none"/>
        </w:tabs>
        <w:bidi w:val="0"/>
        <w:spacing w:lineRule="exact" w:line="360"/>
        <w:ind w:hanging="0" w:start="0" w:end="0"/>
        <w:jc w:val="center"/>
        <w:rPr>
          <w:color w:val="000000"/>
        </w:rPr>
      </w:pPr>
      <w:r>
        <w:rPr>
          <w:color w:val="000000"/>
        </w:rPr>
        <w:t>Dated:   June 1, 2001</w:t>
      </w:r>
    </w:p>
    <w:p>
      <w:pPr>
        <w:pStyle w:val="Normal"/>
        <w:bidi w:val="0"/>
        <w:spacing w:lineRule="exact" w:line="360"/>
        <w:ind w:hanging="0" w:start="0" w:end="0"/>
        <w:jc w:val="center"/>
        <w:rPr>
          <w:color w:val="000000"/>
        </w:rPr>
      </w:pPr>
      <w:r>
        <w:rPr>
          <w:color w:val="000000"/>
        </w:rPr>
      </w:r>
    </w:p>
    <w:p>
      <w:pPr>
        <w:pStyle w:val="Normal"/>
        <w:bidi w:val="0"/>
        <w:spacing w:lineRule="exact" w:line="360"/>
        <w:ind w:hanging="0" w:start="0" w:end="0"/>
        <w:jc w:val="center"/>
        <w:rPr>
          <w:color w:val="000000"/>
        </w:rPr>
      </w:pPr>
      <w:r>
        <w:rPr>
          <w:color w:val="000000"/>
        </w:rPr>
      </w:r>
    </w:p>
    <w:p>
      <w:pPr>
        <w:pStyle w:val="Normal"/>
        <w:bidi w:val="0"/>
        <w:spacing w:lineRule="exact" w:line="360"/>
        <w:ind w:hanging="0" w:start="0" w:end="0"/>
        <w:jc w:val="center"/>
        <w:rPr>
          <w:color w:val="000000"/>
        </w:rPr>
      </w:pPr>
      <w:r>
        <w:rPr>
          <w:color w:val="000000"/>
        </w:rPr>
      </w:r>
    </w:p>
    <w:p>
      <w:pPr>
        <w:pStyle w:val="Normal"/>
        <w:bidi w:val="0"/>
        <w:spacing w:lineRule="exact" w:line="360"/>
        <w:ind w:hanging="0" w:start="0" w:end="0"/>
        <w:jc w:val="center"/>
        <w:rPr>
          <w:color w:val="000000"/>
        </w:rPr>
      </w:pPr>
      <w:r>
        <w:rPr>
          <w:color w:val="000000"/>
        </w:rPr>
      </w:r>
    </w:p>
    <w:p>
      <w:pPr>
        <w:pStyle w:val="Normal"/>
        <w:bidi w:val="0"/>
        <w:spacing w:lineRule="exact" w:line="360"/>
        <w:ind w:hanging="0" w:start="0" w:end="0"/>
        <w:jc w:val="center"/>
        <w:rPr>
          <w:color w:val="000000"/>
        </w:rPr>
      </w:pPr>
      <w:r>
        <w:rPr>
          <w:color w:val="000000"/>
        </w:rPr>
      </w:r>
    </w:p>
    <w:p>
      <w:pPr>
        <w:pStyle w:val="Normal"/>
        <w:bidi w:val="0"/>
        <w:spacing w:lineRule="exact" w:line="360"/>
        <w:ind w:hanging="0" w:start="0" w:end="0"/>
        <w:jc w:val="center"/>
        <w:rPr>
          <w:b/>
          <w:color w:val="000000"/>
        </w:rPr>
      </w:pPr>
      <w:r>
        <w:rPr>
          <w:b/>
          <w:color w:val="000000"/>
        </w:rPr>
        <w:t>MASTER GAS PURCHASE AND SALES AGREEMENT</w:t>
      </w:r>
    </w:p>
    <w:p>
      <w:pPr>
        <w:pStyle w:val="Normal"/>
        <w:bidi w:val="0"/>
        <w:spacing w:lineRule="exact" w:line="360"/>
        <w:ind w:hanging="0" w:start="0" w:end="0"/>
        <w:jc w:val="center"/>
        <w:rPr>
          <w:color w:val="000000"/>
        </w:rPr>
      </w:pPr>
      <w:r>
        <w:rPr>
          <w:color w:val="000000"/>
        </w:rPr>
      </w:r>
    </w:p>
    <w:p>
      <w:pPr>
        <w:pStyle w:val="Normal"/>
        <w:bidi w:val="0"/>
        <w:spacing w:lineRule="exact" w:line="360"/>
        <w:ind w:hanging="0" w:start="0" w:end="0"/>
        <w:jc w:val="center"/>
        <w:rPr>
          <w:color w:val="000000"/>
        </w:rPr>
      </w:pPr>
      <w:r>
        <w:rPr>
          <w:color w:val="000000"/>
        </w:rPr>
      </w:r>
    </w:p>
    <w:p>
      <w:pPr>
        <w:pStyle w:val="Normal"/>
        <w:bidi w:val="0"/>
        <w:spacing w:lineRule="exact" w:line="360"/>
        <w:ind w:hanging="0" w:start="0" w:end="0"/>
        <w:jc w:val="center"/>
        <w:rPr>
          <w:color w:val="000000"/>
        </w:rPr>
      </w:pPr>
      <w:r>
        <w:rPr>
          <w:color w:val="000000"/>
        </w:rPr>
      </w:r>
    </w:p>
    <w:p>
      <w:pPr>
        <w:pStyle w:val="Normal"/>
        <w:bidi w:val="0"/>
        <w:spacing w:lineRule="exact" w:line="360"/>
        <w:ind w:hanging="0" w:start="0" w:end="0"/>
        <w:jc w:val="center"/>
        <w:rPr>
          <w:color w:val="000000"/>
        </w:rPr>
      </w:pPr>
      <w:r>
        <w:rPr>
          <w:color w:val="000000"/>
        </w:rPr>
        <w:t>between</w:t>
      </w:r>
    </w:p>
    <w:p>
      <w:pPr>
        <w:pStyle w:val="Normal"/>
        <w:bidi w:val="0"/>
        <w:spacing w:lineRule="exact" w:line="360"/>
        <w:ind w:hanging="0" w:start="0" w:end="0"/>
        <w:jc w:val="center"/>
        <w:rPr>
          <w:color w:val="000000"/>
        </w:rPr>
      </w:pPr>
      <w:r>
        <w:rPr>
          <w:color w:val="000000"/>
        </w:rPr>
      </w:r>
    </w:p>
    <w:p>
      <w:pPr>
        <w:pStyle w:val="Normal"/>
        <w:bidi w:val="0"/>
        <w:spacing w:lineRule="exact" w:line="360"/>
        <w:ind w:hanging="0" w:start="0" w:end="0"/>
        <w:jc w:val="center"/>
        <w:rPr>
          <w:color w:val="000000"/>
        </w:rPr>
      </w:pPr>
      <w:r>
        <w:rPr>
          <w:color w:val="000000"/>
        </w:rPr>
      </w:r>
    </w:p>
    <w:p>
      <w:pPr>
        <w:pStyle w:val="Normal"/>
        <w:bidi w:val="0"/>
        <w:spacing w:lineRule="exact" w:line="360"/>
        <w:ind w:hanging="0" w:start="0" w:end="0"/>
        <w:jc w:val="center"/>
        <w:rPr>
          <w:color w:val="000000"/>
        </w:rPr>
      </w:pPr>
      <w:r>
        <w:rPr>
          <w:color w:val="000000"/>
        </w:rPr>
      </w:r>
    </w:p>
    <w:p>
      <w:pPr>
        <w:pStyle w:val="Normal"/>
        <w:bidi w:val="0"/>
        <w:spacing w:lineRule="exact" w:line="360"/>
        <w:ind w:hanging="0" w:start="0" w:end="0"/>
        <w:jc w:val="center"/>
        <w:rPr>
          <w:b/>
          <w:color w:val="000000"/>
        </w:rPr>
      </w:pPr>
      <w:r>
        <w:rPr>
          <w:b/>
          <w:color w:val="000000"/>
        </w:rPr>
        <w:t>PACIFIC GAS AND ELECTRIC COMPANY</w:t>
      </w:r>
    </w:p>
    <w:p>
      <w:pPr>
        <w:pStyle w:val="Normal"/>
        <w:bidi w:val="0"/>
        <w:spacing w:lineRule="exact" w:line="360"/>
        <w:ind w:hanging="0" w:start="0" w:end="0"/>
        <w:jc w:val="center"/>
        <w:rPr>
          <w:color w:val="000000"/>
        </w:rPr>
      </w:pPr>
      <w:r>
        <w:rPr>
          <w:color w:val="000000"/>
        </w:rPr>
        <w:t>On Behalf of Its Core Customers</w:t>
      </w:r>
    </w:p>
    <w:p>
      <w:pPr>
        <w:pStyle w:val="Normal"/>
        <w:bidi w:val="0"/>
        <w:spacing w:lineRule="exact" w:line="360"/>
        <w:ind w:hanging="0" w:start="0" w:end="0"/>
        <w:jc w:val="center"/>
        <w:rPr>
          <w:color w:val="000000"/>
        </w:rPr>
      </w:pPr>
      <w:r>
        <w:rPr>
          <w:color w:val="000000"/>
        </w:rPr>
      </w:r>
    </w:p>
    <w:p>
      <w:pPr>
        <w:pStyle w:val="Normal"/>
        <w:bidi w:val="0"/>
        <w:spacing w:lineRule="exact" w:line="360"/>
        <w:ind w:hanging="0" w:start="0" w:end="0"/>
        <w:jc w:val="center"/>
        <w:rPr>
          <w:color w:val="000000"/>
        </w:rPr>
      </w:pPr>
      <w:r>
        <w:rPr>
          <w:color w:val="000000"/>
        </w:rPr>
      </w:r>
    </w:p>
    <w:p>
      <w:pPr>
        <w:pStyle w:val="Normal"/>
        <w:bidi w:val="0"/>
        <w:spacing w:lineRule="exact" w:line="360"/>
        <w:ind w:hanging="0" w:start="0" w:end="0"/>
        <w:jc w:val="center"/>
        <w:rPr>
          <w:color w:val="000000"/>
        </w:rPr>
      </w:pPr>
      <w:r>
        <w:rPr>
          <w:color w:val="000000"/>
        </w:rPr>
      </w:r>
    </w:p>
    <w:p>
      <w:pPr>
        <w:pStyle w:val="Normal"/>
        <w:bidi w:val="0"/>
        <w:spacing w:lineRule="exact" w:line="360"/>
        <w:ind w:hanging="0" w:start="0" w:end="0"/>
        <w:jc w:val="center"/>
        <w:rPr>
          <w:color w:val="000000"/>
        </w:rPr>
      </w:pPr>
      <w:r>
        <w:rPr>
          <w:color w:val="000000"/>
        </w:rPr>
        <w:t>and</w:t>
      </w:r>
    </w:p>
    <w:p>
      <w:pPr>
        <w:pStyle w:val="Normal"/>
        <w:bidi w:val="0"/>
        <w:spacing w:lineRule="exact" w:line="360"/>
        <w:ind w:hanging="0" w:start="0" w:end="0"/>
        <w:jc w:val="center"/>
        <w:rPr>
          <w:color w:val="000000"/>
        </w:rPr>
      </w:pPr>
      <w:r>
        <w:rPr>
          <w:color w:val="000000"/>
        </w:rPr>
      </w:r>
    </w:p>
    <w:p>
      <w:pPr>
        <w:pStyle w:val="Normal"/>
        <w:bidi w:val="0"/>
        <w:spacing w:lineRule="exact" w:line="360"/>
        <w:ind w:hanging="0" w:start="0" w:end="0"/>
        <w:jc w:val="center"/>
        <w:rPr>
          <w:color w:val="000000"/>
        </w:rPr>
      </w:pPr>
      <w:r>
        <w:rPr>
          <w:color w:val="000000"/>
        </w:rPr>
      </w:r>
    </w:p>
    <w:p>
      <w:pPr>
        <w:pStyle w:val="Normal"/>
        <w:bidi w:val="0"/>
        <w:spacing w:lineRule="exact" w:line="360"/>
        <w:ind w:hanging="0" w:start="0" w:end="0"/>
        <w:jc w:val="center"/>
        <w:rPr>
          <w:color w:val="000000"/>
        </w:rPr>
      </w:pPr>
      <w:r>
        <w:rPr>
          <w:color w:val="000000"/>
        </w:rPr>
      </w:r>
    </w:p>
    <w:p>
      <w:pPr>
        <w:pStyle w:val="Normal"/>
        <w:bidi w:val="0"/>
        <w:spacing w:lineRule="exact" w:line="360"/>
        <w:ind w:hanging="0" w:start="0" w:end="0"/>
        <w:jc w:val="center"/>
        <w:rPr>
          <w:b/>
          <w:color w:val="000000"/>
        </w:rPr>
      </w:pPr>
      <w:r>
        <w:rPr>
          <w:b/>
          <w:color w:val="000000"/>
        </w:rPr>
        <w:t xml:space="preserve">ENRON CANADA </w:t>
      </w:r>
      <w:r>
        <w:rPr>
          <w:b/>
          <w:strike/>
          <w:color w:val="000000"/>
        </w:rPr>
        <w:t>{CORPORATION}</w:t>
      </w:r>
      <w:r>
        <w:rPr>
          <w:b/>
          <w:color w:val="000000"/>
        </w:rPr>
        <w:t xml:space="preserve"> </w:t>
      </w:r>
      <w:r>
        <w:rPr>
          <w:b/>
          <w:color w:val="000000"/>
          <w:u w:val="double"/>
        </w:rPr>
        <w:t>{CORP.}</w:t>
      </w:r>
    </w:p>
    <w:p>
      <w:pPr>
        <w:pStyle w:val="Normal"/>
        <w:bidi w:val="0"/>
        <w:spacing w:lineRule="exact" w:line="360"/>
        <w:ind w:hanging="0" w:start="0" w:end="0"/>
        <w:jc w:val="center"/>
        <w:rPr>
          <w:color w:val="000000"/>
        </w:rPr>
      </w:pPr>
      <w:r>
        <w:rPr>
          <w:color w:val="000000"/>
        </w:rPr>
      </w:r>
    </w:p>
    <w:p>
      <w:pPr>
        <w:pStyle w:val="Normal"/>
        <w:bidi w:val="0"/>
        <w:spacing w:lineRule="exact" w:line="360"/>
        <w:ind w:hanging="0" w:start="0" w:end="0"/>
        <w:jc w:val="center"/>
        <w:rPr>
          <w:color w:val="000000"/>
        </w:rPr>
      </w:pPr>
      <w:r>
        <w:rPr>
          <w:color w:val="000000"/>
        </w:rPr>
      </w:r>
    </w:p>
    <w:p>
      <w:pPr>
        <w:pStyle w:val="Normal"/>
        <w:bidi w:val="0"/>
        <w:spacing w:lineRule="exact" w:line="360"/>
        <w:ind w:hanging="0" w:start="0" w:end="0"/>
        <w:jc w:val="center"/>
        <w:rPr>
          <w:color w:val="000000"/>
        </w:rPr>
      </w:pPr>
      <w:r>
        <w:rPr>
          <w:color w:val="000000"/>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0" w:top="864" w:footer="288" w:bottom="1008"/>
          <w:pgNumType w:fmt="decimal"/>
          <w:formProt w:val="false"/>
          <w:titlePg/>
          <w:textDirection w:val="lrTb"/>
        </w:sectPr>
      </w:pPr>
    </w:p>
    <w:p>
      <w:pPr>
        <w:pStyle w:val="TOC1"/>
        <w:tabs>
          <w:tab w:val="clear" w:pos="720"/>
          <w:tab w:val="right" w:pos="9350" w:leader="dot"/>
        </w:tabs>
        <w:bidi w:val="0"/>
        <w:spacing w:lineRule="exact" w:line="360"/>
        <w:jc w:val="center"/>
        <w:rPr>
          <w:color w:val="000000"/>
          <w:sz w:val="22"/>
        </w:rPr>
      </w:pPr>
      <w:r>
        <w:rPr>
          <w:color w:val="000000"/>
          <w:sz w:val="22"/>
        </w:rPr>
        <w:t>TABLE OF CONTENTS</w:t>
      </w:r>
    </w:p>
    <w:p>
      <w:pPr>
        <w:pStyle w:val="Normal"/>
        <w:bidi w:val="0"/>
        <w:spacing w:lineRule="exact" w:line="360"/>
        <w:ind w:hanging="0" w:start="0" w:end="0"/>
        <w:rPr>
          <w:color w:val="000000"/>
        </w:rPr>
      </w:pPr>
      <w:r>
        <w:rPr>
          <w:color w:val="000000"/>
        </w:rPr>
      </w:r>
    </w:p>
    <w:p>
      <w:pPr>
        <w:pStyle w:val="Normal"/>
        <w:tabs>
          <w:tab w:val="clear" w:pos="720"/>
          <w:tab w:val="left" w:pos="8820" w:leader="none"/>
        </w:tabs>
        <w:bidi w:val="0"/>
        <w:spacing w:lineRule="exact" w:line="360"/>
        <w:ind w:hanging="0" w:start="0" w:end="0"/>
        <w:rPr>
          <w:rFonts w:ascii="Arial" w:hAnsi="Arial"/>
          <w:b/>
          <w:color w:val="000000"/>
          <w:u w:val="single"/>
        </w:rPr>
      </w:pPr>
      <w:r>
        <w:rPr>
          <w:rFonts w:ascii="Arial" w:hAnsi="Arial"/>
          <w:b/>
          <w:color w:val="000000"/>
          <w:u w:val="single"/>
        </w:rPr>
        <w:t>ARTICLE</w:t>
      </w:r>
      <w:r>
        <w:rPr>
          <w:rFonts w:ascii="Arial" w:hAnsi="Arial"/>
          <w:b/>
          <w:color w:val="000000"/>
        </w:rPr>
        <w:tab/>
      </w:r>
      <w:r>
        <w:rPr>
          <w:rFonts w:ascii="Arial" w:hAnsi="Arial"/>
          <w:b/>
          <w:color w:val="000000"/>
          <w:u w:val="single"/>
        </w:rPr>
        <w:t>Page</w:t>
      </w:r>
    </w:p>
    <w:sdt>
      <w:sdtPr>
        <w:docPartObj>
          <w:docPartGallery w:val="Table of Contents"/>
          <w:docPartUnique w:val="true"/>
        </w:docPartObj>
      </w:sdtPr>
      <w:sdtContent>
        <w:p>
          <w:pPr>
            <w:pStyle w:val="TOC1"/>
            <w:numPr>
              <w:ilvl w:val="0"/>
              <w:numId w:val="1"/>
            </w:numPr>
            <w:tabs>
              <w:tab w:val="clear" w:pos="720"/>
              <w:tab w:val="left" w:pos="360" w:leader="none"/>
              <w:tab w:val="right" w:pos="9350" w:leader="dot"/>
            </w:tabs>
            <w:bidi w:val="0"/>
            <w:spacing w:lineRule="exact" w:line="360"/>
            <w:ind w:hanging="360" w:start="360" w:end="0"/>
            <w:rPr>
              <w:color w:val="000000"/>
            </w:rPr>
          </w:pPr>
          <w:r>
            <w:fldChar w:fldCharType="begin"/>
          </w:r>
          <w:r>
            <w:rPr>
              <w:color w:val="000000"/>
            </w:rPr>
            <w:instrText xml:space="preserve"> TOC \o "1-1" \t "Proforma,1" \h</w:instrText>
          </w:r>
          <w:r>
            <w:rPr>
              <w:color w:val="000000"/>
            </w:rPr>
            <w:fldChar w:fldCharType="separate"/>
          </w:r>
          <w:r>
            <w:rPr>
              <w:color w:val="000000"/>
            </w:rPr>
            <w:t>DEFINITIONS</w:t>
            <w:tab/>
          </w:r>
          <w:r>
            <w:rPr>
              <w:color w:val="000000"/>
              <w:lang w:val="en-CA" w:eastAsia="en-CA"/>
            </w:rPr>
            <w:t>1</w:t>
          </w:r>
        </w:p>
        <w:p>
          <w:pPr>
            <w:pStyle w:val="TOC1"/>
            <w:numPr>
              <w:ilvl w:val="0"/>
              <w:numId w:val="2"/>
            </w:numPr>
            <w:tabs>
              <w:tab w:val="clear" w:pos="720"/>
              <w:tab w:val="left" w:pos="360" w:leader="none"/>
              <w:tab w:val="right" w:pos="9350" w:leader="dot"/>
            </w:tabs>
            <w:bidi w:val="0"/>
            <w:spacing w:lineRule="exact" w:line="360"/>
            <w:ind w:hanging="360" w:start="360" w:end="0"/>
            <w:rPr>
              <w:color w:val="000000"/>
            </w:rPr>
          </w:pPr>
          <w:r>
            <w:rPr>
              <w:color w:val="000000"/>
            </w:rPr>
            <w:t>TRANSACTION PROCEDURES</w:t>
            <w:tab/>
          </w:r>
          <w:r>
            <w:rPr>
              <w:color w:val="000000"/>
              <w:lang w:val="en-CA" w:eastAsia="en-CA"/>
            </w:rPr>
            <w:t>4</w:t>
          </w:r>
          <w:r>
            <w:rPr>
              <w:color w:val="000000"/>
              <w:u w:val="double"/>
            </w:rPr>
            <w:t>}</w:t>
          </w:r>
        </w:p>
        <w:p>
          <w:pPr>
            <w:pStyle w:val="TOC1"/>
            <w:numPr>
              <w:ilvl w:val="0"/>
              <w:numId w:val="3"/>
            </w:numPr>
            <w:tabs>
              <w:tab w:val="clear" w:pos="720"/>
              <w:tab w:val="left" w:pos="360" w:leader="none"/>
              <w:tab w:val="right" w:pos="9350" w:leader="dot"/>
            </w:tabs>
            <w:bidi w:val="0"/>
            <w:spacing w:lineRule="exact" w:line="360"/>
            <w:ind w:hanging="360" w:start="360" w:end="0"/>
            <w:rPr>
              <w:color w:val="000000"/>
            </w:rPr>
          </w:pPr>
          <w:r>
            <w:rPr>
              <w:color w:val="000000"/>
            </w:rPr>
            <w:t>QUANTITY OBLIGATIONS</w:t>
            <w:tab/>
          </w:r>
          <w:r>
            <w:rPr>
              <w:color w:val="000000"/>
              <w:lang w:val="en-CA" w:eastAsia="en-CA"/>
            </w:rPr>
            <w:t>6</w:t>
          </w:r>
          <w:r>
            <w:rPr>
              <w:color w:val="000000"/>
              <w:u w:val="double"/>
            </w:rPr>
            <w:t>}</w:t>
          </w:r>
        </w:p>
        <w:p>
          <w:pPr>
            <w:pStyle w:val="TOC1"/>
            <w:numPr>
              <w:ilvl w:val="0"/>
              <w:numId w:val="4"/>
            </w:numPr>
            <w:tabs>
              <w:tab w:val="clear" w:pos="720"/>
              <w:tab w:val="left" w:pos="360" w:leader="none"/>
              <w:tab w:val="right" w:pos="9350" w:leader="dot"/>
            </w:tabs>
            <w:bidi w:val="0"/>
            <w:spacing w:lineRule="exact" w:line="360"/>
            <w:ind w:hanging="360" w:start="360" w:end="0"/>
            <w:rPr>
              <w:color w:val="000000"/>
            </w:rPr>
          </w:pPr>
          <w:r>
            <w:rPr>
              <w:color w:val="000000"/>
            </w:rPr>
            <w:t>DELIVERY POINT</w:t>
            <w:tab/>
          </w:r>
          <w:r>
            <w:rPr>
              <w:color w:val="000000"/>
              <w:lang w:val="en-CA" w:eastAsia="en-CA"/>
            </w:rPr>
            <w:t>6</w:t>
          </w:r>
          <w:r>
            <w:rPr>
              <w:color w:val="000000"/>
              <w:u w:val="double"/>
            </w:rPr>
            <w:t>}</w:t>
          </w:r>
        </w:p>
        <w:p>
          <w:pPr>
            <w:pStyle w:val="TOC1"/>
            <w:numPr>
              <w:ilvl w:val="0"/>
              <w:numId w:val="5"/>
            </w:numPr>
            <w:tabs>
              <w:tab w:val="clear" w:pos="720"/>
              <w:tab w:val="left" w:pos="360" w:leader="none"/>
              <w:tab w:val="right" w:pos="9350" w:leader="dot"/>
            </w:tabs>
            <w:bidi w:val="0"/>
            <w:spacing w:lineRule="exact" w:line="360"/>
            <w:ind w:hanging="360" w:start="360" w:end="0"/>
            <w:rPr>
              <w:color w:val="000000"/>
            </w:rPr>
          </w:pPr>
          <w:r>
            <w:rPr>
              <w:color w:val="000000"/>
            </w:rPr>
            <w:t>QUANTITY</w:t>
            <w:tab/>
          </w:r>
          <w:r>
            <w:rPr>
              <w:color w:val="000000"/>
              <w:lang w:val="en-CA" w:eastAsia="en-CA"/>
            </w:rPr>
            <w:t>7</w:t>
          </w:r>
          <w:r>
            <w:rPr>
              <w:color w:val="000000"/>
              <w:u w:val="double"/>
            </w:rPr>
            <w:t>}</w:t>
          </w:r>
        </w:p>
        <w:p>
          <w:pPr>
            <w:pStyle w:val="TOC1"/>
            <w:numPr>
              <w:ilvl w:val="0"/>
              <w:numId w:val="6"/>
            </w:numPr>
            <w:tabs>
              <w:tab w:val="clear" w:pos="720"/>
              <w:tab w:val="left" w:pos="360" w:leader="none"/>
              <w:tab w:val="right" w:pos="9350" w:leader="dot"/>
            </w:tabs>
            <w:bidi w:val="0"/>
            <w:spacing w:lineRule="exact" w:line="360"/>
            <w:ind w:hanging="360" w:start="360" w:end="0"/>
            <w:rPr>
              <w:color w:val="000000"/>
            </w:rPr>
          </w:pPr>
          <w:r>
            <w:rPr>
              <w:color w:val="000000"/>
            </w:rPr>
            <w:t>PRICE</w:t>
            <w:tab/>
          </w:r>
          <w:r>
            <w:rPr>
              <w:color w:val="000000"/>
              <w:lang w:val="en-CA" w:eastAsia="en-CA"/>
            </w:rPr>
            <w:t>7</w:t>
          </w:r>
          <w:r>
            <w:rPr>
              <w:color w:val="000000"/>
              <w:u w:val="double"/>
            </w:rPr>
            <w:t>}</w:t>
          </w:r>
        </w:p>
        <w:p>
          <w:pPr>
            <w:pStyle w:val="TOC1"/>
            <w:numPr>
              <w:ilvl w:val="0"/>
              <w:numId w:val="7"/>
            </w:numPr>
            <w:tabs>
              <w:tab w:val="clear" w:pos="720"/>
              <w:tab w:val="left" w:pos="360" w:leader="none"/>
              <w:tab w:val="right" w:pos="9350" w:leader="dot"/>
            </w:tabs>
            <w:bidi w:val="0"/>
            <w:spacing w:lineRule="exact" w:line="360"/>
            <w:ind w:hanging="360" w:start="360" w:end="0"/>
            <w:rPr>
              <w:color w:val="000000"/>
            </w:rPr>
          </w:pPr>
          <w:r>
            <w:rPr>
              <w:color w:val="000000"/>
            </w:rPr>
            <w:t>PAYMENTS</w:t>
            <w:tab/>
          </w:r>
          <w:r>
            <w:rPr>
              <w:color w:val="000000"/>
              <w:lang w:val="en-CA" w:eastAsia="en-CA"/>
            </w:rPr>
            <w:t>8</w:t>
          </w:r>
          <w:r>
            <w:rPr>
              <w:color w:val="000000"/>
              <w:u w:val="double"/>
            </w:rPr>
            <w:t>}</w:t>
          </w:r>
        </w:p>
        <w:p>
          <w:pPr>
            <w:pStyle w:val="TOC1"/>
            <w:numPr>
              <w:ilvl w:val="0"/>
              <w:numId w:val="8"/>
            </w:numPr>
            <w:tabs>
              <w:tab w:val="clear" w:pos="720"/>
              <w:tab w:val="left" w:pos="360" w:leader="none"/>
              <w:tab w:val="right" w:pos="9350" w:leader="dot"/>
            </w:tabs>
            <w:bidi w:val="0"/>
            <w:spacing w:lineRule="exact" w:line="360"/>
            <w:ind w:hanging="360" w:start="360" w:end="0"/>
            <w:rPr>
              <w:color w:val="000000"/>
            </w:rPr>
          </w:pPr>
          <w:r>
            <w:rPr>
              <w:color w:val="000000"/>
            </w:rPr>
            <w:t>FINANCIAL RESPONSIBILITY</w:t>
            <w:tab/>
          </w:r>
          <w:r>
            <w:rPr>
              <w:color w:val="000000"/>
              <w:lang w:val="en-CA" w:eastAsia="en-CA"/>
            </w:rPr>
            <w:t>9</w:t>
          </w:r>
          <w:r>
            <w:rPr>
              <w:color w:val="000000"/>
              <w:u w:val="double"/>
            </w:rPr>
            <w:t>}</w:t>
          </w:r>
        </w:p>
        <w:p>
          <w:pPr>
            <w:pStyle w:val="TOC1"/>
            <w:numPr>
              <w:ilvl w:val="0"/>
              <w:numId w:val="9"/>
            </w:numPr>
            <w:tabs>
              <w:tab w:val="clear" w:pos="720"/>
              <w:tab w:val="left" w:pos="360" w:leader="none"/>
              <w:tab w:val="right" w:pos="9350" w:leader="dot"/>
            </w:tabs>
            <w:bidi w:val="0"/>
            <w:spacing w:lineRule="exact" w:line="360"/>
            <w:ind w:hanging="360" w:start="360" w:end="0"/>
            <w:rPr>
              <w:color w:val="000000"/>
            </w:rPr>
          </w:pPr>
          <w:r>
            <w:rPr>
              <w:color w:val="000000"/>
            </w:rPr>
            <w:t>WARRANTY, TITLE AND INDEMNITY</w:t>
            <w:tab/>
          </w:r>
          <w:r>
            <w:rPr>
              <w:color w:val="000000"/>
              <w:lang w:val="en-CA" w:eastAsia="en-CA"/>
            </w:rPr>
            <w:t>11</w:t>
          </w:r>
          <w:r>
            <w:rPr>
              <w:color w:val="000000"/>
              <w:u w:val="double"/>
            </w:rPr>
            <w:t>}</w:t>
          </w:r>
        </w:p>
        <w:p>
          <w:pPr>
            <w:pStyle w:val="TOC1"/>
            <w:numPr>
              <w:ilvl w:val="0"/>
              <w:numId w:val="10"/>
            </w:numPr>
            <w:tabs>
              <w:tab w:val="clear" w:pos="720"/>
              <w:tab w:val="left" w:pos="360" w:leader="none"/>
              <w:tab w:val="right" w:pos="9350" w:leader="dot"/>
            </w:tabs>
            <w:bidi w:val="0"/>
            <w:spacing w:lineRule="exact" w:line="360"/>
            <w:ind w:hanging="360" w:start="360" w:end="0"/>
            <w:rPr>
              <w:color w:val="000000"/>
            </w:rPr>
          </w:pPr>
          <w:r>
            <w:rPr>
              <w:color w:val="000000"/>
            </w:rPr>
            <w:t>TERM</w:t>
            <w:tab/>
          </w:r>
          <w:r>
            <w:rPr>
              <w:color w:val="000000"/>
              <w:lang w:val="en-CA" w:eastAsia="en-CA"/>
            </w:rPr>
            <w:t>11</w:t>
          </w:r>
          <w:r>
            <w:rPr>
              <w:color w:val="000000"/>
              <w:u w:val="double"/>
            </w:rPr>
            <w:t>}</w:t>
          </w:r>
        </w:p>
        <w:p>
          <w:pPr>
            <w:pStyle w:val="TOC1"/>
            <w:numPr>
              <w:ilvl w:val="0"/>
              <w:numId w:val="11"/>
            </w:numPr>
            <w:tabs>
              <w:tab w:val="clear" w:pos="720"/>
              <w:tab w:val="left" w:pos="360" w:leader="none"/>
              <w:tab w:val="right" w:pos="9350" w:leader="dot"/>
            </w:tabs>
            <w:bidi w:val="0"/>
            <w:spacing w:lineRule="exact" w:line="360"/>
            <w:ind w:hanging="360" w:start="360" w:end="0"/>
            <w:rPr>
              <w:color w:val="000000"/>
            </w:rPr>
          </w:pPr>
          <w:r>
            <w:rPr>
              <w:color w:val="000000"/>
            </w:rPr>
            <w:t>NON-PERFORMANCE</w:t>
            <w:tab/>
          </w:r>
          <w:r>
            <w:rPr>
              <w:color w:val="000000"/>
              <w:lang w:val="en-CA" w:eastAsia="en-CA"/>
            </w:rPr>
            <w:t>11</w:t>
          </w:r>
          <w:r>
            <w:rPr>
              <w:color w:val="000000"/>
              <w:u w:val="double"/>
            </w:rPr>
            <w:t>}</w:t>
          </w:r>
        </w:p>
        <w:p>
          <w:pPr>
            <w:pStyle w:val="TOC1"/>
            <w:numPr>
              <w:ilvl w:val="0"/>
              <w:numId w:val="12"/>
            </w:numPr>
            <w:tabs>
              <w:tab w:val="clear" w:pos="720"/>
              <w:tab w:val="left" w:pos="360" w:leader="none"/>
              <w:tab w:val="right" w:pos="9350" w:leader="dot"/>
            </w:tabs>
            <w:bidi w:val="0"/>
            <w:spacing w:lineRule="exact" w:line="360"/>
            <w:ind w:hanging="360" w:start="360" w:end="0"/>
            <w:rPr>
              <w:color w:val="000000"/>
            </w:rPr>
          </w:pPr>
          <w:r>
            <w:rPr>
              <w:color w:val="000000"/>
            </w:rPr>
            <w:t>DEFAULT</w:t>
            <w:tab/>
          </w:r>
          <w:r>
            <w:rPr>
              <w:color w:val="000000"/>
              <w:lang w:val="en-CA" w:eastAsia="en-CA"/>
            </w:rPr>
            <w:t>16</w:t>
          </w:r>
          <w:r>
            <w:rPr>
              <w:color w:val="000000"/>
              <w:u w:val="double"/>
            </w:rPr>
            <w:t>}</w:t>
          </w:r>
        </w:p>
        <w:p>
          <w:pPr>
            <w:pStyle w:val="TOC1"/>
            <w:numPr>
              <w:ilvl w:val="0"/>
              <w:numId w:val="13"/>
            </w:numPr>
            <w:tabs>
              <w:tab w:val="clear" w:pos="720"/>
              <w:tab w:val="left" w:pos="360" w:leader="none"/>
              <w:tab w:val="right" w:pos="9350" w:leader="dot"/>
            </w:tabs>
            <w:bidi w:val="0"/>
            <w:spacing w:lineRule="exact" w:line="360"/>
            <w:ind w:hanging="360" w:start="360" w:end="0"/>
            <w:rPr>
              <w:color w:val="000000"/>
            </w:rPr>
          </w:pPr>
          <w:r>
            <w:rPr>
              <w:color w:val="000000"/>
            </w:rPr>
            <w:t>GOVERNMENTAL RULES, REGULATIONS AND AUTHORIZATIONS</w:t>
            <w:tab/>
          </w:r>
          <w:r>
            <w:rPr>
              <w:color w:val="000000"/>
              <w:lang w:val="en-CA" w:eastAsia="en-CA"/>
            </w:rPr>
            <w:t>21</w:t>
          </w:r>
          <w:r>
            <w:rPr>
              <w:color w:val="000000"/>
              <w:u w:val="double"/>
            </w:rPr>
            <w:t>}</w:t>
          </w:r>
        </w:p>
        <w:p>
          <w:pPr>
            <w:pStyle w:val="TOC1"/>
            <w:numPr>
              <w:ilvl w:val="0"/>
              <w:numId w:val="14"/>
            </w:numPr>
            <w:tabs>
              <w:tab w:val="clear" w:pos="720"/>
              <w:tab w:val="left" w:pos="360" w:leader="none"/>
              <w:tab w:val="right" w:pos="9350" w:leader="dot"/>
            </w:tabs>
            <w:bidi w:val="0"/>
            <w:spacing w:lineRule="exact" w:line="360"/>
            <w:ind w:hanging="360" w:start="360" w:end="0"/>
            <w:rPr>
              <w:color w:val="000000"/>
            </w:rPr>
          </w:pPr>
          <w:r>
            <w:rPr>
              <w:color w:val="000000"/>
            </w:rPr>
            <w:t>ASSIGNMENT</w:t>
            <w:tab/>
          </w:r>
          <w:r>
            <w:rPr>
              <w:color w:val="000000"/>
              <w:lang w:val="en-CA" w:eastAsia="en-CA"/>
            </w:rPr>
            <w:t>22</w:t>
          </w:r>
          <w:r>
            <w:rPr>
              <w:color w:val="000000"/>
              <w:u w:val="double"/>
            </w:rPr>
            <w:t>}</w:t>
          </w:r>
        </w:p>
        <w:p>
          <w:pPr>
            <w:pStyle w:val="TOC1"/>
            <w:numPr>
              <w:ilvl w:val="0"/>
              <w:numId w:val="15"/>
            </w:numPr>
            <w:tabs>
              <w:tab w:val="clear" w:pos="720"/>
              <w:tab w:val="left" w:pos="360" w:leader="none"/>
              <w:tab w:val="right" w:pos="9350" w:leader="dot"/>
            </w:tabs>
            <w:bidi w:val="0"/>
            <w:spacing w:lineRule="exact" w:line="360"/>
            <w:ind w:hanging="360" w:start="360" w:end="0"/>
            <w:rPr>
              <w:color w:val="000000"/>
            </w:rPr>
          </w:pPr>
          <w:r>
            <w:rPr>
              <w:color w:val="000000"/>
            </w:rPr>
            <w:t>NOTICES</w:t>
            <w:tab/>
          </w:r>
          <w:r>
            <w:rPr>
              <w:color w:val="000000"/>
              <w:lang w:val="en-CA" w:eastAsia="en-CA"/>
            </w:rPr>
            <w:t>22</w:t>
          </w:r>
          <w:r>
            <w:rPr>
              <w:color w:val="000000"/>
              <w:u w:val="double"/>
            </w:rPr>
            <w:t>}</w:t>
          </w:r>
        </w:p>
        <w:p>
          <w:pPr>
            <w:pStyle w:val="TOC1"/>
            <w:numPr>
              <w:ilvl w:val="0"/>
              <w:numId w:val="16"/>
            </w:numPr>
            <w:tabs>
              <w:tab w:val="clear" w:pos="720"/>
              <w:tab w:val="left" w:pos="360" w:leader="none"/>
              <w:tab w:val="right" w:pos="9350" w:leader="dot"/>
            </w:tabs>
            <w:bidi w:val="0"/>
            <w:spacing w:lineRule="exact" w:line="360"/>
            <w:ind w:hanging="360" w:start="360" w:end="0"/>
            <w:rPr>
              <w:color w:val="000000"/>
            </w:rPr>
          </w:pPr>
          <w:r>
            <w:rPr>
              <w:color w:val="000000"/>
            </w:rPr>
            <w:t>SALE BY PG&amp;E</w:t>
            <w:tab/>
          </w:r>
          <w:r>
            <w:rPr>
              <w:color w:val="000000"/>
              <w:lang w:val="en-CA" w:eastAsia="en-CA"/>
            </w:rPr>
            <w:t>23</w:t>
          </w:r>
          <w:r>
            <w:rPr>
              <w:color w:val="000000"/>
              <w:u w:val="double"/>
            </w:rPr>
            <w:t>}</w:t>
          </w:r>
        </w:p>
        <w:p>
          <w:pPr>
            <w:pStyle w:val="TOC1"/>
            <w:numPr>
              <w:ilvl w:val="0"/>
              <w:numId w:val="17"/>
            </w:numPr>
            <w:tabs>
              <w:tab w:val="clear" w:pos="720"/>
              <w:tab w:val="left" w:pos="360" w:leader="none"/>
              <w:tab w:val="right" w:pos="9350" w:leader="dot"/>
            </w:tabs>
            <w:bidi w:val="0"/>
            <w:spacing w:lineRule="exact" w:line="360"/>
            <w:ind w:hanging="360" w:start="360" w:end="0"/>
            <w:rPr>
              <w:color w:val="000000"/>
            </w:rPr>
          </w:pPr>
          <w:r>
            <w:rPr>
              <w:color w:val="000000"/>
            </w:rPr>
            <w:t>MISCELLANEOUS</w:t>
            <w:tab/>
          </w:r>
          <w:r>
            <w:rPr>
              <w:color w:val="000000"/>
              <w:lang w:val="en-CA" w:eastAsia="en-CA"/>
            </w:rPr>
            <w:t>23</w:t>
          </w:r>
          <w:r>
            <w:rPr>
              <w:color w:val="000000"/>
              <w:u w:val="double"/>
            </w:rPr>
            <w:t>}</w:t>
          </w:r>
        </w:p>
        <w:p>
          <w:pPr>
            <w:pStyle w:val="TOC1"/>
            <w:numPr>
              <w:ilvl w:val="0"/>
              <w:numId w:val="18"/>
            </w:numPr>
            <w:tabs>
              <w:tab w:val="clear" w:pos="720"/>
              <w:tab w:val="left" w:pos="360" w:leader="none"/>
              <w:tab w:val="right" w:pos="9350" w:leader="dot"/>
            </w:tabs>
            <w:bidi w:val="0"/>
            <w:spacing w:lineRule="exact" w:line="360"/>
            <w:ind w:hanging="360" w:start="360" w:end="0"/>
            <w:rPr>
              <w:color w:val="000000"/>
            </w:rPr>
          </w:pPr>
          <w:r>
            <w:rPr>
              <w:color w:val="000000"/>
            </w:rPr>
            <w:t>TRANSPORTATION, NOMINATIONS, AND IMBALANCES</w:t>
            <w:tab/>
          </w:r>
          <w:r>
            <w:rPr>
              <w:color w:val="000000"/>
              <w:lang w:val="en-CA" w:eastAsia="en-CA"/>
            </w:rPr>
            <w:t>27</w:t>
          </w:r>
        </w:p>
        <w:p>
          <w:pPr>
            <w:pStyle w:val="TOC1"/>
            <w:numPr>
              <w:ilvl w:val="0"/>
              <w:numId w:val="19"/>
            </w:numPr>
            <w:tabs>
              <w:tab w:val="clear" w:pos="720"/>
              <w:tab w:val="left" w:pos="360" w:leader="none"/>
              <w:tab w:val="right" w:pos="9350" w:leader="dot"/>
            </w:tabs>
            <w:bidi w:val="0"/>
            <w:spacing w:lineRule="exact" w:line="360"/>
            <w:ind w:hanging="360" w:start="360" w:end="0"/>
            <w:rPr>
              <w:color w:val="000000"/>
            </w:rPr>
          </w:pPr>
          <w:r>
            <w:rPr>
              <w:color w:val="000000"/>
            </w:rPr>
            <w:t>QUALITY AND MEASUREMENT</w:t>
            <w:tab/>
          </w:r>
          <w:r>
            <w:rPr>
              <w:color w:val="000000"/>
              <w:lang w:val="en-CA" w:eastAsia="en-CA"/>
            </w:rPr>
            <w:t>28</w:t>
          </w:r>
        </w:p>
        <w:p>
          <w:pPr>
            <w:pStyle w:val="TOC1"/>
            <w:tabs>
              <w:tab w:val="clear" w:pos="720"/>
              <w:tab w:val="right" w:pos="9350" w:leader="dot"/>
            </w:tabs>
            <w:bidi w:val="0"/>
            <w:spacing w:lineRule="exact" w:line="360"/>
            <w:ind w:hanging="0" w:start="360" w:end="0"/>
            <w:rPr>
              <w:color w:val="000000"/>
            </w:rPr>
          </w:pPr>
          <w:r>
            <w:rPr>
              <w:color w:val="000000"/>
            </w:rPr>
            <w:t>SIGNATURE</w:t>
            <w:tab/>
          </w:r>
          <w:r>
            <w:rPr>
              <w:color w:val="000000"/>
              <w:lang w:val="en-CA" w:eastAsia="en-CA"/>
            </w:rPr>
            <w:t>28</w:t>
          </w:r>
          <w:r>
            <w:rPr>
              <w:color w:val="000000"/>
              <w:u w:val="double"/>
            </w:rPr>
            <w:t>}</w:t>
          </w:r>
        </w:p>
        <w:p>
          <w:pPr>
            <w:pStyle w:val="TOC1"/>
            <w:tabs>
              <w:tab w:val="clear" w:pos="720"/>
              <w:tab w:val="right" w:pos="9350" w:leader="dot"/>
            </w:tabs>
            <w:bidi w:val="0"/>
            <w:spacing w:lineRule="exact" w:line="360"/>
            <w:ind w:hanging="0" w:start="360" w:end="0"/>
            <w:rPr>
              <w:color w:val="000000"/>
            </w:rPr>
          </w:pPr>
          <w:r>
            <w:rPr>
              <w:color w:val="000000"/>
            </w:rPr>
            <w:t xml:space="preserve">EXHIBIT A – CONFIRMATION NOTICE </w:t>
          </w:r>
          <w:r>
            <w:rPr>
              <w:strike/>
              <w:color w:val="000000"/>
            </w:rPr>
            <w:t>{26}</w:t>
          </w:r>
          <w:r>
            <w:rPr>
              <w:strike/>
              <w:color w:val="000000"/>
            </w:rPr>
            <w:fldChar w:fldCharType="end"/>
          </w:r>
        </w:p>
      </w:sdtContent>
    </w:sdt>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0" w:top="864" w:footer="288" w:bottom="1008"/>
          <w:pgNumType w:start="1" w:fmt="decimal"/>
          <w:formProt w:val="false"/>
          <w:titlePg/>
          <w:textDirection w:val="lrTb"/>
          <w:docGrid w:type="default" w:linePitch="100" w:charSpace="0"/>
        </w:sectPr>
        <w:pStyle w:val="Normal"/>
        <w:bidi w:val="0"/>
        <w:spacing w:lineRule="exact" w:line="360"/>
        <w:ind w:hanging="0" w:start="0" w:end="0"/>
        <w:jc w:val="center"/>
        <w:rPr>
          <w:b/>
          <w:color w:val="000000"/>
        </w:rPr>
      </w:pPr>
      <w:r>
        <w:rPr>
          <w:b/>
          <w:color w:val="000000"/>
        </w:rPr>
      </w:r>
    </w:p>
    <w:p>
      <w:pPr>
        <w:pStyle w:val="Normal"/>
        <w:widowControl/>
        <w:bidi w:val="0"/>
        <w:spacing w:lineRule="exact" w:line="360"/>
        <w:ind w:hanging="0" w:start="0" w:end="0"/>
        <w:jc w:val="center"/>
        <w:rPr>
          <w:b/>
          <w:u w:val="single"/>
        </w:rPr>
      </w:pPr>
      <w:r>
        <w:rPr>
          <w:b/>
        </w:rPr>
        <w:t>MASTER GAS PURCHASE AND SALES AGREEMENT</w:t>
      </w:r>
    </w:p>
    <w:p>
      <w:pPr>
        <w:pStyle w:val="Normal"/>
        <w:bidi w:val="0"/>
        <w:spacing w:lineRule="exact" w:line="360" w:before="120" w:after="0"/>
        <w:ind w:hanging="0" w:start="0" w:end="0"/>
        <w:jc w:val="center"/>
        <w:rPr>
          <w:color w:val="000000"/>
        </w:rPr>
      </w:pPr>
      <w:r>
        <w:rPr>
          <w:color w:val="000000"/>
        </w:rPr>
      </w:r>
    </w:p>
    <w:p>
      <w:pPr>
        <w:pStyle w:val="Normal"/>
        <w:widowControl/>
        <w:bidi w:val="0"/>
        <w:spacing w:lineRule="exact" w:line="360" w:before="120" w:after="0"/>
        <w:ind w:hanging="0" w:start="0" w:end="0"/>
        <w:rPr>
          <w:u w:val="double"/>
        </w:rPr>
      </w:pPr>
      <w:r>
        <w:rPr>
          <w:b/>
        </w:rPr>
        <w:t>THIS AGREEMENT</w:t>
      </w:r>
      <w:r>
        <w:rPr/>
        <w:t xml:space="preserve"> is made entered into and dated as of  June 1, 2001, (Effective Date), by and between PACIFIC GAS AND ELECTRIC COMPANY , a California corporation, on behalf of its Core natural gas customers in California (PG&amp;E Core) and ENRON CANADA </w:t>
      </w:r>
      <w:r>
        <w:rPr>
          <w:strike/>
        </w:rPr>
        <w:t>{CORPORATION, a Canadian}</w:t>
      </w:r>
      <w:r>
        <w:rPr/>
        <w:t xml:space="preserve"> </w:t>
      </w:r>
      <w:r>
        <w:rPr>
          <w:u w:val="double"/>
        </w:rPr>
        <w:t>{CORP., an Alberta}</w:t>
      </w:r>
      <w:r>
        <w:rPr/>
        <w:t xml:space="preserve"> corporation </w:t>
      </w:r>
      <w:r>
        <w:rPr>
          <w:strike/>
        </w:rPr>
        <w:t>{(“Company”)}</w:t>
      </w:r>
      <w:r>
        <w:rPr>
          <w:u w:val="double"/>
        </w:rPr>
        <w:t>{("Company").</w:t>
      </w:r>
    </w:p>
    <w:p>
      <w:pPr>
        <w:pStyle w:val="Normal"/>
        <w:widowControl/>
        <w:bidi w:val="0"/>
        <w:spacing w:lineRule="exact" w:line="360" w:before="120" w:after="0"/>
        <w:ind w:hanging="0" w:start="0" w:end="0"/>
        <w:rPr>
          <w:color w:val="000000"/>
        </w:rPr>
      </w:pPr>
      <w:r>
        <w:rPr>
          <w:b/>
          <w:color w:val="000000"/>
          <w:u w:val="double"/>
        </w:rPr>
        <w:t>WHEREAS,}</w:t>
      </w:r>
      <w:r>
        <w:rPr>
          <w:color w:val="000000"/>
        </w:rPr>
        <w:t xml:space="preserve"> Pacific Gas and Electric Company is currently the debtor in possession in Case No. 01-30923 DM (Chapter 11) </w:t>
      </w:r>
      <w:r>
        <w:rPr>
          <w:strike/>
          <w:color w:val="000000"/>
        </w:rPr>
        <w:t>{of}</w:t>
      </w:r>
      <w:r>
        <w:rPr>
          <w:color w:val="000000"/>
          <w:u w:val="double"/>
        </w:rPr>
        <w:t>{(the “Bankruptcy Case”) filed in}</w:t>
      </w:r>
      <w:r>
        <w:rPr>
          <w:color w:val="000000"/>
        </w:rPr>
        <w:t xml:space="preserve"> the United States Bankruptcy Court </w:t>
      </w:r>
      <w:r>
        <w:rPr>
          <w:strike/>
          <w:color w:val="000000"/>
        </w:rPr>
        <w:t>{of}</w:t>
      </w:r>
      <w:r>
        <w:rPr>
          <w:color w:val="000000"/>
        </w:rPr>
        <w:t xml:space="preserve"> </w:t>
      </w:r>
      <w:r>
        <w:rPr>
          <w:color w:val="000000"/>
          <w:u w:val="double"/>
        </w:rPr>
        <w:t>{for}</w:t>
      </w:r>
      <w:r>
        <w:rPr>
          <w:color w:val="000000"/>
        </w:rPr>
        <w:t xml:space="preserve"> the Northern </w:t>
      </w:r>
      <w:r>
        <w:rPr/>
        <w:t>District</w:t>
      </w:r>
      <w:r>
        <w:rPr>
          <w:color w:val="000000"/>
        </w:rPr>
        <w:t xml:space="preserve"> of California, San Francisco Division</w:t>
      </w:r>
      <w:r>
        <w:rPr>
          <w:strike/>
          <w:color w:val="000000"/>
        </w:rPr>
        <w:t>{.}</w:t>
      </w:r>
      <w:r>
        <w:rPr>
          <w:color w:val="000000"/>
        </w:rPr>
        <w:t xml:space="preserve"> </w:t>
      </w:r>
      <w:r>
        <w:rPr>
          <w:color w:val="000000"/>
          <w:u w:val="double"/>
        </w:rPr>
        <w:t>{(the “Bankruptcy Court”) (}</w:t>
      </w:r>
      <w:r>
        <w:rPr>
          <w:color w:val="000000"/>
        </w:rPr>
        <w:t xml:space="preserve">PG&amp;E Core and Company are sometimes collectively referred to as </w:t>
      </w:r>
      <w:r>
        <w:rPr>
          <w:strike/>
          <w:color w:val="000000"/>
        </w:rPr>
        <w:t>{“the Parties”}</w:t>
      </w:r>
      <w:r>
        <w:rPr>
          <w:color w:val="000000"/>
          <w:u w:val="double"/>
        </w:rPr>
        <w:t>{"the Parties"}</w:t>
      </w:r>
      <w:r>
        <w:rPr>
          <w:color w:val="000000"/>
        </w:rPr>
        <w:t xml:space="preserve"> or singularly as a </w:t>
      </w:r>
      <w:r>
        <w:rPr>
          <w:strike/>
          <w:color w:val="000000"/>
        </w:rPr>
        <w:t>{“Party.”}</w:t>
      </w:r>
      <w:r>
        <w:rPr>
          <w:color w:val="000000"/>
          <w:u w:val="double"/>
        </w:rPr>
        <w:t>{"Party"); and}</w:t>
      </w:r>
      <w:r>
        <w:rPr>
          <w:color w:val="000000"/>
        </w:rPr>
        <w:t xml:space="preserve"> </w:t>
      </w:r>
    </w:p>
    <w:p>
      <w:pPr>
        <w:pStyle w:val="Normal"/>
        <w:widowControl/>
        <w:bidi w:val="0"/>
        <w:spacing w:lineRule="exact" w:line="360" w:before="120" w:after="0"/>
        <w:ind w:hanging="0" w:start="0" w:end="0"/>
        <w:rPr>
          <w:b/>
          <w:color w:val="000000"/>
        </w:rPr>
      </w:pPr>
      <w:r>
        <w:rPr>
          <w:b/>
          <w:color w:val="000000"/>
        </w:rPr>
        <w:t>WHEREAS,</w:t>
      </w:r>
      <w:r>
        <w:rPr>
          <w:color w:val="000000"/>
        </w:rPr>
        <w:t xml:space="preserve"> PG&amp;E Core purchases natural gas at various locations in Canada and the United States and the gas is transported in pipelines to northern and central California for sale to and consumption by PG&amp;E’s Core customers, i.e., residential and small business customers; and</w:t>
      </w:r>
    </w:p>
    <w:p>
      <w:pPr>
        <w:pStyle w:val="Normal"/>
        <w:widowControl/>
        <w:bidi w:val="0"/>
        <w:spacing w:lineRule="exact" w:line="360" w:before="120" w:after="0"/>
        <w:ind w:hanging="0" w:start="0" w:end="0"/>
        <w:rPr>
          <w:color w:val="000000"/>
        </w:rPr>
      </w:pPr>
      <w:r>
        <w:rPr>
          <w:b/>
          <w:color w:val="000000"/>
        </w:rPr>
        <w:t xml:space="preserve">WHEREAS, </w:t>
      </w:r>
      <w:r>
        <w:rPr>
          <w:color w:val="000000"/>
        </w:rPr>
        <w:t xml:space="preserve">PG&amp;E Core and </w:t>
      </w:r>
      <w:r>
        <w:rPr/>
        <w:t>Company</w:t>
      </w:r>
      <w:r>
        <w:rPr>
          <w:color w:val="000000"/>
        </w:rPr>
        <w:t xml:space="preserve"> may from time to time enter into natural Gas purchase, sale, and/or exchange transactions as either Buyer or Seller pursuant to which natural Gas is to be delivered by one Party and received by the other Party at one or more mutually agreeable delivery points ; and</w:t>
      </w:r>
    </w:p>
    <w:p>
      <w:pPr>
        <w:pStyle w:val="Normal"/>
        <w:widowControl/>
        <w:bidi w:val="0"/>
        <w:spacing w:lineRule="exact" w:line="360" w:before="120" w:after="0"/>
        <w:ind w:hanging="0" w:start="0" w:end="0"/>
        <w:rPr>
          <w:color w:val="000000"/>
        </w:rPr>
      </w:pPr>
      <w:r>
        <w:rPr>
          <w:b/>
          <w:color w:val="000000"/>
        </w:rPr>
        <w:t>WHEREAS,</w:t>
      </w:r>
      <w:r>
        <w:rPr>
          <w:color w:val="000000"/>
        </w:rPr>
        <w:t xml:space="preserve"> the Parties desire to set forth certain terms and conditions applicable to any future natural Gas purchase, sale and/or exchange transactions for Core customers both during the above-referenced bankruptcy proceeding and after its conclusion;</w:t>
      </w:r>
    </w:p>
    <w:p>
      <w:pPr>
        <w:pStyle w:val="Normal"/>
        <w:widowControl/>
        <w:bidi w:val="0"/>
        <w:spacing w:lineRule="exact" w:line="360" w:before="120" w:after="0"/>
        <w:ind w:hanging="0" w:start="0" w:end="0"/>
        <w:rPr>
          <w:color w:val="000000"/>
        </w:rPr>
      </w:pPr>
      <w:r>
        <w:rPr>
          <w:b/>
          <w:color w:val="000000"/>
        </w:rPr>
        <w:t>NOW, THEREFORE,</w:t>
      </w:r>
      <w:r>
        <w:rPr>
          <w:color w:val="000000"/>
        </w:rPr>
        <w:t xml:space="preserve"> in consideration of the premises and mutual benefits and covenants contained herein, PG&amp;E Core and Company mutually agree as follows:</w:t>
      </w:r>
    </w:p>
    <w:p>
      <w:pPr>
        <w:pStyle w:val="Normal"/>
        <w:bidi w:val="0"/>
        <w:spacing w:lineRule="exact" w:line="360" w:before="120" w:after="0"/>
        <w:ind w:hanging="0" w:start="0" w:end="0"/>
        <w:jc w:val="center"/>
        <w:rPr>
          <w:b/>
          <w:color w:val="000000"/>
        </w:rPr>
      </w:pPr>
      <w:r>
        <w:rPr>
          <w:b/>
          <w:color w:val="000000"/>
        </w:rPr>
        <w:t>Article I</w:t>
      </w:r>
    </w:p>
    <w:p>
      <w:pPr>
        <w:pStyle w:val="Proforma"/>
        <w:bidi w:val="0"/>
        <w:spacing w:lineRule="exact" w:line="360" w:before="120" w:after="0"/>
        <w:rPr>
          <w:color w:val="000000"/>
        </w:rPr>
      </w:pPr>
      <w:bookmarkStart w:id="0" w:name="_Toc453051609"/>
      <w:bookmarkStart w:id="1" w:name="_Toc472239472"/>
      <w:r>
        <w:rPr>
          <w:color w:val="000000"/>
        </w:rPr>
        <w:t>DEFINITIONS</w:t>
      </w:r>
      <w:bookmarkEnd w:id="0"/>
      <w:bookmarkEnd w:id="1"/>
    </w:p>
    <w:p>
      <w:pPr>
        <w:pStyle w:val="BodyText3"/>
        <w:tabs>
          <w:tab w:val="left" w:pos="720" w:leader="none"/>
        </w:tabs>
        <w:bidi w:val="0"/>
        <w:spacing w:lineRule="exact" w:line="360" w:before="120" w:after="0"/>
        <w:rPr>
          <w:u w:val="single"/>
        </w:rPr>
      </w:pPr>
      <w:r>
        <w:rPr/>
        <w:t>1.1</w:t>
        <w:tab/>
      </w:r>
      <w:r>
        <w:rPr>
          <w:u w:val="single"/>
        </w:rPr>
        <w:t>Baseload Gas:</w:t>
      </w:r>
      <w:r>
        <w:rPr/>
        <w:t xml:space="preserve">  Gas sold and purchased on a Firm basis for a period of one month pursuant to a Transaction.</w:t>
      </w:r>
      <w:r>
        <w:rPr>
          <w:strike/>
          <w:u w:val="single"/>
        </w:rPr>
        <w:t>{ Either Party may fax to the other Party a Confirmation Notice (in the form of Exhibit A, attached, for recorded oral Transactions, or Exhibit B, attached, for electronic Transactions) within two (2) Business Days after an oral or electronic agreement to a Transaction, and such Confirmation Notice shall document the term, quantity, price, flex option (if applicable), Delivery Point, Buyer’s Transporter, and any other terms the Parties have agreed to.}</w:t>
      </w:r>
    </w:p>
    <w:p>
      <w:pPr>
        <w:pStyle w:val="BodyText3"/>
        <w:tabs>
          <w:tab w:val="left" w:pos="720" w:leader="none"/>
        </w:tabs>
        <w:bidi w:val="0"/>
        <w:spacing w:lineRule="exact" w:line="360" w:before="120" w:after="0"/>
        <w:rPr>
          <w:u w:val="single"/>
        </w:rPr>
      </w:pPr>
      <w:r>
        <w:rPr/>
        <w:t>1.2</w:t>
        <w:tab/>
      </w:r>
      <w:r>
        <w:rPr>
          <w:u w:val="single"/>
        </w:rPr>
        <w:t>Business Day</w:t>
      </w:r>
      <w:r>
        <w:rPr/>
        <w:t xml:space="preserve">:  Any day except Saturday, Sunday or </w:t>
      </w:r>
      <w:r>
        <w:rPr>
          <w:strike/>
        </w:rPr>
        <w:t>{Federal Reserve Bank holidays}</w:t>
      </w:r>
      <w:r>
        <w:rPr/>
        <w:t xml:space="preserve"> </w:t>
      </w:r>
      <w:r>
        <w:rPr>
          <w:u w:val="double"/>
        </w:rPr>
        <w:t>{statutory holiday in Calgary, Alberta}</w:t>
      </w:r>
      <w:r>
        <w:rPr/>
        <w:t xml:space="preserve">. </w:t>
      </w:r>
    </w:p>
    <w:p>
      <w:pPr>
        <w:pStyle w:val="BodyText3"/>
        <w:tabs>
          <w:tab w:val="left" w:pos="720" w:leader="none"/>
        </w:tabs>
        <w:bidi w:val="0"/>
        <w:spacing w:lineRule="exact" w:line="360" w:before="120" w:after="0"/>
        <w:rPr>
          <w:color w:val="000000"/>
          <w:u w:val="single"/>
        </w:rPr>
      </w:pPr>
      <w:r>
        <w:rPr>
          <w:color w:val="000000"/>
        </w:rPr>
        <w:t>1.3</w:t>
        <w:tab/>
      </w:r>
      <w:r>
        <w:rPr>
          <w:u w:val="single"/>
        </w:rPr>
        <w:t>Confirmation Notice</w:t>
      </w:r>
      <w:r>
        <w:rPr/>
        <w:t xml:space="preserve">:  A written notice, substantially in the form of Exhibit A or </w:t>
      </w:r>
      <w:r>
        <w:rPr>
          <w:strike/>
        </w:rPr>
        <w:t>{Exhibit B. Exhibit A shall confirms}</w:t>
      </w:r>
      <w:r>
        <w:rPr/>
        <w:t xml:space="preserve"> </w:t>
      </w:r>
      <w:r>
        <w:rPr>
          <w:u w:val="double"/>
        </w:rPr>
        <w:t>{in the form customarily generated by Company's electronic trading system "Enron OnLine" (an "Enron OnLine Confirmation").  Exhibit A may confirm}</w:t>
      </w:r>
      <w:r>
        <w:rPr/>
        <w:t xml:space="preserve"> the terms of a Transaction </w:t>
      </w:r>
      <w:r>
        <w:rPr>
          <w:strike/>
        </w:rPr>
        <w:t>{for Baseload Gas or Multi-Month Gas, but not for Swing Gas,}</w:t>
      </w:r>
      <w:r>
        <w:rPr/>
        <w:t xml:space="preserve"> as orally agreed to by both Parties pursuant to the provisions of this Agreement, and as more fully set forth in Article 2.  </w:t>
      </w:r>
      <w:r>
        <w:rPr>
          <w:strike/>
        </w:rPr>
        <w:t>{Exhibit B shall confim}</w:t>
      </w:r>
      <w:r>
        <w:rPr/>
        <w:t xml:space="preserve"> </w:t>
      </w:r>
      <w:r>
        <w:rPr>
          <w:u w:val="double"/>
        </w:rPr>
        <w:t>{An Enron OnLine Confirmation may confirm}</w:t>
      </w:r>
      <w:r>
        <w:rPr/>
        <w:t xml:space="preserve"> the terms of a Transaction agreed to using </w:t>
      </w:r>
      <w:r>
        <w:rPr>
          <w:strike/>
        </w:rPr>
        <w:t>{the electronic system EnronOnline}</w:t>
      </w:r>
      <w:r>
        <w:rPr/>
        <w:t xml:space="preserve"> </w:t>
      </w:r>
      <w:r>
        <w:rPr>
          <w:u w:val="double"/>
        </w:rPr>
        <w:t>{Enron OnLine}</w:t>
      </w:r>
      <w:r>
        <w:rPr/>
        <w:t xml:space="preserve">.  More than one Confirmation Notice may be effective at any time, provided only a single Confirmation Notice applies to </w:t>
      </w:r>
      <w:r>
        <w:rPr>
          <w:u w:val="double"/>
        </w:rPr>
        <w:t>{any}</w:t>
      </w:r>
      <w:r>
        <w:rPr/>
        <w:t xml:space="preserve"> one Transaction.</w:t>
      </w:r>
    </w:p>
    <w:p>
      <w:pPr>
        <w:pStyle w:val="BodyText3"/>
        <w:tabs>
          <w:tab w:val="left" w:pos="720" w:leader="none"/>
        </w:tabs>
        <w:bidi w:val="0"/>
        <w:spacing w:lineRule="exact" w:line="360" w:before="120" w:after="0"/>
        <w:rPr>
          <w:u w:val="single"/>
        </w:rPr>
      </w:pPr>
      <w:r>
        <w:rPr/>
        <w:t>1.4</w:t>
        <w:tab/>
      </w:r>
      <w:r>
        <w:rPr>
          <w:u w:val="single"/>
        </w:rPr>
        <w:t>Daily Contract Quantity (DCQ)</w:t>
      </w:r>
      <w:r>
        <w:rPr/>
        <w:t xml:space="preserve">:  The quantity of Gas to be delivered and taken on a daily basis </w:t>
      </w:r>
      <w:r>
        <w:rPr>
          <w:strike/>
        </w:rPr>
        <w:t>{as set forth in a Confirmation Notice.}</w:t>
      </w:r>
      <w:r>
        <w:rPr/>
        <w:t xml:space="preserve"> </w:t>
      </w:r>
      <w:r>
        <w:rPr>
          <w:u w:val="double"/>
        </w:rPr>
        <w:t>{pursuant to a Transaction as agreed to by the Parties.}</w:t>
      </w:r>
    </w:p>
    <w:p>
      <w:pPr>
        <w:pStyle w:val="BodyText3"/>
        <w:tabs>
          <w:tab w:val="left" w:pos="720" w:leader="none"/>
        </w:tabs>
        <w:bidi w:val="0"/>
        <w:spacing w:lineRule="exact" w:line="360" w:before="120" w:after="0"/>
        <w:rPr>
          <w:u w:val="single"/>
        </w:rPr>
      </w:pPr>
      <w:r>
        <w:rPr/>
        <w:t>1.5</w:t>
        <w:tab/>
      </w:r>
      <w:r>
        <w:rPr>
          <w:u w:val="single"/>
        </w:rPr>
        <w:t>Delivery Period</w:t>
      </w:r>
      <w:r>
        <w:rPr/>
        <w:t xml:space="preserve">: The period during which deliveries are to be made </w:t>
      </w:r>
      <w:r>
        <w:rPr>
          <w:strike/>
        </w:rPr>
        <w:t>{as set forth in a Confirmation Notice.}</w:t>
      </w:r>
      <w:r>
        <w:rPr/>
        <w:t xml:space="preserve"> </w:t>
      </w:r>
      <w:r>
        <w:rPr>
          <w:u w:val="double"/>
        </w:rPr>
        <w:t>{pursuant to a Transaction as agreed to by the Parties.}</w:t>
      </w:r>
    </w:p>
    <w:p>
      <w:pPr>
        <w:pStyle w:val="BodyText3"/>
        <w:tabs>
          <w:tab w:val="left" w:pos="720" w:leader="none"/>
        </w:tabs>
        <w:bidi w:val="0"/>
        <w:spacing w:lineRule="exact" w:line="360" w:before="120" w:after="0"/>
        <w:rPr>
          <w:color w:val="000000"/>
        </w:rPr>
      </w:pPr>
      <w:r>
        <w:rPr>
          <w:color w:val="000000"/>
        </w:rPr>
        <w:t>1.6</w:t>
        <w:tab/>
      </w:r>
      <w:r>
        <w:rPr>
          <w:u w:val="single"/>
        </w:rPr>
        <w:t>Delivery Point</w:t>
      </w:r>
      <w:r>
        <w:rPr/>
        <w:t xml:space="preserve">:  Such points as are mutually agreed upon between the Parties </w:t>
      </w:r>
      <w:r>
        <w:rPr>
          <w:strike/>
        </w:rPr>
        <w:t>{as set forth in a Confirmation Notice, where gas}</w:t>
      </w:r>
      <w:r>
        <w:rPr/>
        <w:t xml:space="preserve"> </w:t>
      </w:r>
      <w:r>
        <w:rPr>
          <w:u w:val="double"/>
        </w:rPr>
        <w:t>{pursuant to a Transaction, where Gas}</w:t>
      </w:r>
      <w:r>
        <w:rPr/>
        <w:t xml:space="preserve"> is delivered from Seller or Seller’s Transporter to Buyer or Buyer’s Transporter </w:t>
      </w:r>
      <w:r>
        <w:rPr>
          <w:strike/>
        </w:rPr>
        <w:t>{or Buyer.}</w:t>
      </w:r>
      <w:r>
        <w:rPr>
          <w:u w:val="double"/>
        </w:rPr>
        <w:t>{.</w:t>
      </w:r>
      <w:r>
        <w:rPr>
          <w:color w:val="000000"/>
          <w:u w:val="double"/>
        </w:rPr>
        <w:t>}</w:t>
      </w:r>
    </w:p>
    <w:p>
      <w:pPr>
        <w:pStyle w:val="BodyText3"/>
        <w:tabs>
          <w:tab w:val="left" w:pos="720" w:leader="none"/>
        </w:tabs>
        <w:bidi w:val="0"/>
        <w:spacing w:lineRule="exact" w:line="360" w:before="120" w:after="0"/>
        <w:rPr>
          <w:u w:val="double"/>
        </w:rPr>
      </w:pPr>
      <w:r>
        <w:rPr>
          <w:strike/>
        </w:rPr>
        <w:t>{1.7 }</w:t>
      </w:r>
      <w:r>
        <w:rPr>
          <w:u w:val="double"/>
        </w:rPr>
        <w:t>{1.7</w:t>
      </w:r>
      <w:r>
        <w:rPr/>
        <w:tab/>
      </w:r>
      <w:r>
        <w:rPr>
          <w:u w:val="double"/>
        </w:rPr>
        <w:t>Dollars ($):</w:t>
      </w:r>
      <w:r>
        <w:rPr/>
        <w:t xml:space="preserve">  </w:t>
      </w:r>
      <w:r>
        <w:rPr>
          <w:u w:val="double"/>
        </w:rPr>
        <w:t>Unless otherwise specified, means dollars in the lawful currency of Canada.</w:t>
      </w:r>
    </w:p>
    <w:p>
      <w:pPr>
        <w:pStyle w:val="BodyText3"/>
        <w:tabs>
          <w:tab w:val="left" w:pos="720" w:leader="none"/>
        </w:tabs>
        <w:bidi w:val="0"/>
        <w:spacing w:lineRule="exact" w:line="360" w:before="120" w:after="0"/>
        <w:rPr>
          <w:color w:val="000000"/>
          <w:u w:val="single"/>
        </w:rPr>
      </w:pPr>
      <w:r>
        <w:rPr>
          <w:color w:val="000000"/>
          <w:u w:val="double"/>
        </w:rPr>
        <w:t>1.8}</w:t>
      </w:r>
      <w:r>
        <w:rPr>
          <w:color w:val="000000"/>
        </w:rPr>
        <w:tab/>
      </w:r>
      <w:r>
        <w:rPr>
          <w:u w:val="single"/>
        </w:rPr>
        <w:t>Firm</w:t>
      </w:r>
      <w:r>
        <w:rPr/>
        <w:t>:  Shall mean that either Party may</w:t>
      </w:r>
      <w:r>
        <w:rPr>
          <w:u w:val="double"/>
        </w:rPr>
        <w:t>{, as its only excuse for non-performance,}</w:t>
      </w:r>
      <w:r>
        <w:rPr/>
        <w:t xml:space="preserve"> interrupt its performance (but not an obligation to pay for Gas </w:t>
      </w:r>
      <w:r>
        <w:rPr>
          <w:strike/>
        </w:rPr>
        <w:t>{)}</w:t>
      </w:r>
      <w:r>
        <w:rPr/>
        <w:t xml:space="preserve"> </w:t>
      </w:r>
      <w:r>
        <w:rPr>
          <w:u w:val="double"/>
        </w:rPr>
        <w:t xml:space="preserve">{delivered and received prior to the event of </w:t>
      </w:r>
      <w:r>
        <w:rPr>
          <w:i/>
          <w:u w:val="double"/>
        </w:rPr>
        <w:t>Force Majeure</w:t>
      </w:r>
      <w:r>
        <w:rPr>
          <w:u w:val="double"/>
        </w:rPr>
        <w:t>)}</w:t>
      </w:r>
      <w:r>
        <w:rPr/>
        <w:t xml:space="preserve"> without liability only to the extent that such performance is prevented for reasons of </w:t>
      </w:r>
      <w:r>
        <w:rPr>
          <w:i/>
        </w:rPr>
        <w:t xml:space="preserve">Force Majeure, </w:t>
      </w:r>
      <w:r>
        <w:rPr/>
        <w:t xml:space="preserve">provided, however, that during </w:t>
      </w:r>
      <w:r>
        <w:rPr>
          <w:i/>
        </w:rPr>
        <w:t>Force Majeure</w:t>
      </w:r>
      <w:r>
        <w:rPr/>
        <w:t xml:space="preserve"> interruptions, the Party invoking </w:t>
      </w:r>
      <w:r>
        <w:rPr>
          <w:i/>
        </w:rPr>
        <w:t>Force Majeure</w:t>
      </w:r>
      <w:r>
        <w:rPr/>
        <w:t xml:space="preserve"> shall notwithstanding </w:t>
      </w:r>
      <w:r>
        <w:rPr>
          <w:i/>
        </w:rPr>
        <w:t>Force Majeure</w:t>
      </w:r>
      <w:r>
        <w:rPr/>
        <w:t xml:space="preserve"> be responsible for any Imbalance Charges as set forth in </w:t>
      </w:r>
      <w:r>
        <w:rPr>
          <w:strike/>
        </w:rPr>
        <w:t>{section Article}</w:t>
      </w:r>
      <w:r>
        <w:rPr/>
        <w:t xml:space="preserve"> </w:t>
      </w:r>
      <w:r>
        <w:rPr>
          <w:u w:val="double"/>
        </w:rPr>
        <w:t>{Section}</w:t>
      </w:r>
      <w:r>
        <w:rPr/>
        <w:t xml:space="preserve"> 18.3.</w:t>
      </w:r>
    </w:p>
    <w:p>
      <w:pPr>
        <w:pStyle w:val="BodyText3"/>
        <w:tabs>
          <w:tab w:val="left" w:pos="720" w:leader="none"/>
        </w:tabs>
        <w:bidi w:val="0"/>
        <w:spacing w:lineRule="exact" w:line="360" w:before="120" w:after="0"/>
        <w:rPr>
          <w:u w:val="single"/>
        </w:rPr>
      </w:pPr>
      <w:r>
        <w:rPr>
          <w:strike/>
        </w:rPr>
        <w:t>{1.8}</w:t>
      </w:r>
      <w:r>
        <w:rPr/>
        <w:t xml:space="preserve"> </w:t>
      </w:r>
      <w:r>
        <w:rPr>
          <w:u w:val="double"/>
        </w:rPr>
        <w:t>{1.9}</w:t>
      </w:r>
      <w:r>
        <w:rPr/>
        <w:tab/>
      </w:r>
      <w:r>
        <w:rPr>
          <w:i/>
        </w:rPr>
        <w:t>Force Majeure</w:t>
      </w:r>
      <w:r>
        <w:rPr/>
        <w:t>:  See Article 11, Non-Performance.</w:t>
      </w:r>
    </w:p>
    <w:p>
      <w:pPr>
        <w:pStyle w:val="BodyText3"/>
        <w:tabs>
          <w:tab w:val="left" w:pos="720" w:leader="none"/>
        </w:tabs>
        <w:bidi w:val="0"/>
        <w:spacing w:lineRule="exact" w:line="360" w:before="120" w:after="0"/>
        <w:rPr>
          <w:u w:val="single"/>
        </w:rPr>
      </w:pPr>
      <w:r>
        <w:rPr>
          <w:strike/>
        </w:rPr>
        <w:t>{1.9}</w:t>
      </w:r>
      <w:r>
        <w:rPr/>
        <w:t xml:space="preserve"> </w:t>
      </w:r>
      <w:r>
        <w:rPr>
          <w:u w:val="double"/>
        </w:rPr>
        <w:t>{1.10}</w:t>
      </w:r>
      <w:r>
        <w:rPr/>
        <w:tab/>
      </w:r>
      <w:r>
        <w:rPr>
          <w:u w:val="single"/>
        </w:rPr>
        <w:t>Gas</w:t>
      </w:r>
      <w:r>
        <w:rPr/>
        <w:t>:  Any mixture of hydrocarbons and non-combustible gases in a gaseous state consisting primarily of methane.</w:t>
      </w:r>
    </w:p>
    <w:p>
      <w:pPr>
        <w:pStyle w:val="BodyText3"/>
        <w:tabs>
          <w:tab w:val="left" w:pos="720" w:leader="none"/>
        </w:tabs>
        <w:bidi w:val="0"/>
        <w:spacing w:lineRule="exact" w:line="360" w:before="120" w:after="0"/>
        <w:rPr>
          <w:color w:val="000000"/>
          <w:u w:val="single"/>
        </w:rPr>
      </w:pPr>
      <w:r>
        <w:rPr>
          <w:strike/>
          <w:color w:val="000000"/>
        </w:rPr>
        <w:t>{1.10 Gigajoule or “GJ”}</w:t>
      </w:r>
      <w:r>
        <w:rPr>
          <w:color w:val="000000"/>
        </w:rPr>
        <w:t xml:space="preserve"> </w:t>
      </w:r>
      <w:r>
        <w:rPr>
          <w:color w:val="000000"/>
          <w:u w:val="double"/>
        </w:rPr>
        <w:t>{1.11</w:t>
      </w:r>
      <w:r>
        <w:rPr>
          <w:color w:val="000000"/>
        </w:rPr>
        <w:tab/>
      </w:r>
      <w:r>
        <w:rPr>
          <w:u w:val="double"/>
        </w:rPr>
        <w:t>GigaJoule (GJ)}</w:t>
      </w:r>
      <w:r>
        <w:rPr/>
        <w:t xml:space="preserve">:  One billion (1,000,000,000) Joules.  For purposes of conversion from GJ’s to MMBtu’s, one GJ shall be equal to .9478169 </w:t>
      </w:r>
      <w:r>
        <w:rPr>
          <w:strike/>
        </w:rPr>
        <w:t>{MMBtu.}</w:t>
      </w:r>
      <w:r>
        <w:rPr/>
        <w:t xml:space="preserve"> </w:t>
      </w:r>
      <w:r>
        <w:rPr>
          <w:u w:val="double"/>
        </w:rPr>
        <w:t>{MMBtu’s.</w:t>
      </w:r>
      <w:r>
        <w:rPr>
          <w:color w:val="000000"/>
          <w:u w:val="double"/>
        </w:rPr>
        <w:t>}</w:t>
      </w:r>
    </w:p>
    <w:p>
      <w:pPr>
        <w:pStyle w:val="BodyText3"/>
        <w:tabs>
          <w:tab w:val="left" w:pos="720" w:leader="none"/>
        </w:tabs>
        <w:bidi w:val="0"/>
        <w:spacing w:lineRule="exact" w:line="360" w:before="120" w:after="0"/>
        <w:rPr>
          <w:u w:val="single"/>
        </w:rPr>
      </w:pPr>
      <w:r>
        <w:rPr>
          <w:strike/>
        </w:rPr>
        <w:t>{1.11}</w:t>
      </w:r>
      <w:r>
        <w:rPr/>
        <w:t xml:space="preserve"> </w:t>
      </w:r>
      <w:r>
        <w:rPr>
          <w:u w:val="double"/>
        </w:rPr>
        <w:t>{1.12}</w:t>
      </w:r>
      <w:r>
        <w:rPr/>
        <w:tab/>
      </w:r>
      <w:r>
        <w:rPr>
          <w:u w:val="single"/>
        </w:rPr>
        <w:t>Goods and Services Tax (GST)</w:t>
      </w:r>
      <w:r>
        <w:rPr/>
        <w:t>:  The tax imposed under the Excise Tax Act (Canada), as may be amended from time to time.</w:t>
      </w:r>
    </w:p>
    <w:p>
      <w:pPr>
        <w:pStyle w:val="BodyText3"/>
        <w:tabs>
          <w:tab w:val="left" w:pos="720" w:leader="none"/>
        </w:tabs>
        <w:bidi w:val="0"/>
        <w:spacing w:lineRule="exact" w:line="360" w:before="120" w:after="0"/>
        <w:rPr>
          <w:color w:val="000000"/>
          <w:u w:val="single"/>
        </w:rPr>
      </w:pPr>
      <w:r>
        <w:rPr>
          <w:strike/>
          <w:color w:val="000000"/>
        </w:rPr>
        <w:t>{1.12}</w:t>
      </w:r>
      <w:r>
        <w:rPr>
          <w:color w:val="000000"/>
        </w:rPr>
        <w:t xml:space="preserve"> </w:t>
      </w:r>
      <w:r>
        <w:rPr>
          <w:color w:val="000000"/>
          <w:u w:val="double"/>
        </w:rPr>
        <w:t>{1.13}</w:t>
      </w:r>
      <w:r>
        <w:rPr>
          <w:color w:val="000000"/>
        </w:rPr>
        <w:tab/>
      </w:r>
      <w:r>
        <w:rPr>
          <w:u w:val="single"/>
        </w:rPr>
        <w:t>Governmental Authority</w:t>
      </w:r>
      <w:r>
        <w:rPr/>
        <w:t>:  Any and all governmental authorities and agencies having jurisdiction over a particular matter referenced in this Agreement.</w:t>
      </w:r>
    </w:p>
    <w:p>
      <w:pPr>
        <w:pStyle w:val="BodyText3"/>
        <w:tabs>
          <w:tab w:val="left" w:pos="720" w:leader="none"/>
        </w:tabs>
        <w:bidi w:val="0"/>
        <w:spacing w:lineRule="exact" w:line="360" w:before="120" w:after="0"/>
        <w:rPr>
          <w:color w:val="000000"/>
          <w:u w:val="single"/>
        </w:rPr>
      </w:pPr>
      <w:r>
        <w:rPr>
          <w:strike/>
          <w:color w:val="000000"/>
        </w:rPr>
        <w:t>{1.13}</w:t>
      </w:r>
      <w:r>
        <w:rPr>
          <w:color w:val="000000"/>
        </w:rPr>
        <w:t xml:space="preserve"> </w:t>
      </w:r>
      <w:r>
        <w:rPr>
          <w:color w:val="000000"/>
          <w:u w:val="double"/>
        </w:rPr>
        <w:t>{1.14}</w:t>
      </w:r>
      <w:r>
        <w:rPr>
          <w:color w:val="000000"/>
        </w:rPr>
        <w:tab/>
      </w:r>
      <w:r>
        <w:rPr>
          <w:u w:val="single"/>
        </w:rPr>
        <w:t>Imbalance Charges</w:t>
      </w:r>
      <w:r>
        <w:rPr/>
        <w:t>:  Any fees, penalties, costs or charges (in cash or kind) assessed by a Transporter for failure to satisfy the Transporter’s balance and/or nomination requirements.</w:t>
      </w:r>
    </w:p>
    <w:p>
      <w:pPr>
        <w:pStyle w:val="BodyText3"/>
        <w:tabs>
          <w:tab w:val="left" w:pos="720" w:leader="none"/>
        </w:tabs>
        <w:bidi w:val="0"/>
        <w:spacing w:lineRule="exact" w:line="360" w:before="120" w:after="0"/>
        <w:rPr>
          <w:color w:val="000000"/>
          <w:u w:val="double"/>
        </w:rPr>
      </w:pPr>
      <w:r>
        <w:rPr>
          <w:strike/>
          <w:color w:val="000000"/>
        </w:rPr>
        <w:t>{1.14}</w:t>
      </w:r>
      <w:r>
        <w:rPr>
          <w:color w:val="000000"/>
        </w:rPr>
        <w:t xml:space="preserve"> </w:t>
      </w:r>
      <w:r>
        <w:rPr>
          <w:color w:val="000000"/>
          <w:u w:val="double"/>
        </w:rPr>
        <w:t>{1.15}</w:t>
      </w:r>
      <w:r>
        <w:rPr>
          <w:color w:val="000000"/>
        </w:rPr>
        <w:tab/>
      </w:r>
      <w:r>
        <w:rPr>
          <w:u w:val="single"/>
        </w:rPr>
        <w:t>Interruptible</w:t>
      </w:r>
      <w:r>
        <w:rPr/>
        <w:t xml:space="preserve">:  Either Party may interrupt its performance at any time for any reason (but not its obligation to pay for Gas), whether or not caused by an event of </w:t>
      </w:r>
      <w:r>
        <w:rPr>
          <w:i/>
        </w:rPr>
        <w:t>Force Majeure</w:t>
      </w:r>
      <w:r>
        <w:rPr/>
        <w:t xml:space="preserve">, with no liability, provided that such interrupting Party shall be responsible for any Imbalance Charges as set forth in </w:t>
      </w:r>
      <w:r>
        <w:rPr>
          <w:strike/>
        </w:rPr>
        <w:t>{Article}</w:t>
      </w:r>
      <w:r>
        <w:rPr/>
        <w:t xml:space="preserve"> </w:t>
      </w:r>
      <w:r>
        <w:rPr>
          <w:u w:val="double"/>
        </w:rPr>
        <w:t>{Section}</w:t>
      </w:r>
      <w:r>
        <w:rPr/>
        <w:t xml:space="preserve"> 18.3</w:t>
      </w:r>
      <w:r>
        <w:rPr>
          <w:u w:val="double"/>
        </w:rPr>
        <w:t>{.</w:t>
      </w:r>
    </w:p>
    <w:p>
      <w:pPr>
        <w:pStyle w:val="BodyText3"/>
        <w:tabs>
          <w:tab w:val="left" w:pos="720" w:leader="none"/>
        </w:tabs>
        <w:bidi w:val="0"/>
        <w:spacing w:lineRule="exact" w:line="360" w:before="120" w:after="0"/>
        <w:rPr>
          <w:color w:val="000000"/>
          <w:u w:val="single"/>
        </w:rPr>
      </w:pPr>
      <w:r>
        <w:rPr>
          <w:color w:val="000000"/>
          <w:u w:val="double"/>
        </w:rPr>
        <w:t>1.16}</w:t>
      </w:r>
      <w:r>
        <w:rPr>
          <w:color w:val="000000"/>
        </w:rPr>
        <w:t xml:space="preserve"> </w:t>
      </w:r>
      <w:r>
        <w:rPr>
          <w:strike/>
          <w:color w:val="000000"/>
        </w:rPr>
        <w:t>{1.15}</w:t>
      </w:r>
      <w:r>
        <w:rPr>
          <w:color w:val="000000"/>
        </w:rPr>
        <w:tab/>
      </w:r>
      <w:r>
        <w:rPr>
          <w:u w:val="single"/>
        </w:rPr>
        <w:t>Liquidated Damages</w:t>
      </w:r>
      <w:r>
        <w:rPr/>
        <w:t>:  In relation to a given Transaction, the amount to be paid by the Party that is in default of its obligation to perform thereunder to the Party not in default</w:t>
      </w:r>
      <w:r>
        <w:rPr>
          <w:strike/>
        </w:rPr>
        <w:t>{. Such an}</w:t>
      </w:r>
      <w:r>
        <w:rPr>
          <w:u w:val="double"/>
        </w:rPr>
        <w:t>{, such}</w:t>
      </w:r>
      <w:r>
        <w:rPr/>
        <w:t xml:space="preserve"> amount to be calculated in accordance with the provisions of Article 11, </w:t>
      </w:r>
      <w:r>
        <w:rPr>
          <w:u w:val="single"/>
        </w:rPr>
        <w:t>Non-Performance</w:t>
      </w:r>
      <w:r>
        <w:rPr/>
        <w:t>.</w:t>
      </w:r>
    </w:p>
    <w:p>
      <w:pPr>
        <w:pStyle w:val="BodyText3"/>
        <w:tabs>
          <w:tab w:val="left" w:pos="720" w:leader="none"/>
        </w:tabs>
        <w:bidi w:val="0"/>
        <w:spacing w:lineRule="exact" w:line="360" w:before="120" w:after="0"/>
        <w:rPr>
          <w:color w:val="000000"/>
          <w:u w:val="single"/>
        </w:rPr>
      </w:pPr>
      <w:r>
        <w:rPr>
          <w:strike/>
          <w:color w:val="000000"/>
        </w:rPr>
        <w:t>{1.16}</w:t>
      </w:r>
      <w:r>
        <w:rPr>
          <w:color w:val="000000"/>
        </w:rPr>
        <w:t xml:space="preserve"> </w:t>
      </w:r>
      <w:r>
        <w:rPr>
          <w:color w:val="000000"/>
          <w:u w:val="double"/>
        </w:rPr>
        <w:t>{1.17}</w:t>
      </w:r>
      <w:r>
        <w:rPr>
          <w:color w:val="000000"/>
        </w:rPr>
        <w:tab/>
      </w:r>
      <w:r>
        <w:rPr>
          <w:u w:val="single"/>
        </w:rPr>
        <w:t>MMBtu</w:t>
      </w:r>
      <w:r>
        <w:rPr/>
        <w:t>:  One million (1,000,000) British thermal units</w:t>
      </w:r>
      <w:r>
        <w:rPr>
          <w:strike/>
        </w:rPr>
        <w:t>{(Btu’s)}</w:t>
      </w:r>
      <w:r>
        <w:rPr/>
        <w:t xml:space="preserve">.  For purposes of conversion </w:t>
      </w:r>
      <w:r>
        <w:rPr>
          <w:u w:val="double"/>
        </w:rPr>
        <w:t>{from MMBtu’s to GJ’s}</w:t>
      </w:r>
      <w:r>
        <w:rPr/>
        <w:t xml:space="preserve">, one MMBtu shall be equal to 1.055056 </w:t>
      </w:r>
      <w:r>
        <w:rPr>
          <w:strike/>
        </w:rPr>
        <w:t>{Gigajoules (GJ).}</w:t>
      </w:r>
      <w:r>
        <w:rPr/>
        <w:t xml:space="preserve"> </w:t>
      </w:r>
      <w:r>
        <w:rPr>
          <w:u w:val="double"/>
        </w:rPr>
        <w:t>{GJ’s.</w:t>
      </w:r>
      <w:r>
        <w:rPr>
          <w:color w:val="000000"/>
          <w:u w:val="double"/>
        </w:rPr>
        <w:t>}</w:t>
      </w:r>
    </w:p>
    <w:p>
      <w:pPr>
        <w:pStyle w:val="BodyText3"/>
        <w:tabs>
          <w:tab w:val="left" w:pos="720" w:leader="none"/>
        </w:tabs>
        <w:bidi w:val="0"/>
        <w:spacing w:lineRule="exact" w:line="360" w:before="120" w:after="0"/>
        <w:rPr>
          <w:color w:val="000000"/>
          <w:u w:val="single"/>
        </w:rPr>
      </w:pPr>
      <w:r>
        <w:rPr>
          <w:strike/>
          <w:color w:val="000000"/>
        </w:rPr>
        <w:t>{1.17}</w:t>
      </w:r>
      <w:r>
        <w:rPr>
          <w:color w:val="000000"/>
        </w:rPr>
        <w:t xml:space="preserve"> </w:t>
      </w:r>
      <w:r>
        <w:rPr>
          <w:color w:val="000000"/>
          <w:u w:val="double"/>
        </w:rPr>
        <w:t>{1.18}</w:t>
      </w:r>
      <w:r>
        <w:rPr>
          <w:color w:val="000000"/>
        </w:rPr>
        <w:tab/>
      </w:r>
      <w:r>
        <w:rPr>
          <w:u w:val="single"/>
        </w:rPr>
        <w:t>Multi-Month Gas</w:t>
      </w:r>
      <w:r>
        <w:rPr/>
        <w:t xml:space="preserve">:  Gas sold and purchased on a Firm basis for a </w:t>
      </w:r>
      <w:r>
        <w:rPr>
          <w:strike/>
        </w:rPr>
        <w:t>{monthly}</w:t>
      </w:r>
      <w:r>
        <w:rPr/>
        <w:t xml:space="preserve"> period greater than one month pursuant to a Transaction.</w:t>
      </w:r>
    </w:p>
    <w:p>
      <w:pPr>
        <w:pStyle w:val="BodyText3"/>
        <w:tabs>
          <w:tab w:val="left" w:pos="720" w:leader="none"/>
        </w:tabs>
        <w:bidi w:val="0"/>
        <w:spacing w:lineRule="exact" w:line="360" w:before="120" w:after="0"/>
        <w:rPr>
          <w:strike/>
        </w:rPr>
      </w:pPr>
      <w:r>
        <w:rPr>
          <w:strike/>
        </w:rPr>
        <w:t>{Either Party may fax to the other Party a Confirmation Notice within two (2) Business Days after an oral or electronic agreement to a Transaction, and such Confirmation Notice shall document the term, quantity, price, flex option (if applicable), delivery point, Buyer’s Transporter, and any other terms the Parties have agreed to. In the event a Transaction is for one year or more, to be enforceable, such Transaction must be confirmed hereunder by a Confirmation Notice.</w:t>
      </w:r>
    </w:p>
    <w:p>
      <w:pPr>
        <w:pStyle w:val="BodyText3"/>
        <w:tabs>
          <w:tab w:val="left" w:pos="720" w:leader="none"/>
        </w:tabs>
        <w:bidi w:val="0"/>
        <w:spacing w:lineRule="exact" w:line="360" w:before="120" w:after="0"/>
        <w:rPr>
          <w:u w:val="single"/>
        </w:rPr>
      </w:pPr>
      <w:r>
        <w:rPr>
          <w:strike/>
        </w:rPr>
        <w:t>1.18}</w:t>
      </w:r>
      <w:r>
        <w:rPr/>
        <w:t xml:space="preserve"> </w:t>
      </w:r>
      <w:r>
        <w:rPr>
          <w:u w:val="double"/>
        </w:rPr>
        <w:t>{1.19}</w:t>
      </w:r>
      <w:r>
        <w:rPr/>
        <w:tab/>
      </w:r>
      <w:r>
        <w:rPr>
          <w:u w:val="single"/>
        </w:rPr>
        <w:t>NOVA</w:t>
      </w:r>
      <w:r>
        <w:rPr/>
        <w:t>:  NOVA Gas Transmission Ltd. or its successor.</w:t>
      </w:r>
    </w:p>
    <w:p>
      <w:pPr>
        <w:pStyle w:val="BodyText3"/>
        <w:tabs>
          <w:tab w:val="left" w:pos="720" w:leader="none"/>
        </w:tabs>
        <w:bidi w:val="0"/>
        <w:spacing w:lineRule="exact" w:line="360" w:before="120" w:after="0"/>
        <w:rPr>
          <w:color w:val="000000"/>
          <w:u w:val="single"/>
        </w:rPr>
      </w:pPr>
      <w:r>
        <w:rPr>
          <w:strike/>
          <w:color w:val="000000"/>
        </w:rPr>
        <w:t>{1.19}</w:t>
      </w:r>
      <w:r>
        <w:rPr>
          <w:color w:val="000000"/>
        </w:rPr>
        <w:t xml:space="preserve"> </w:t>
      </w:r>
      <w:r>
        <w:rPr>
          <w:color w:val="000000"/>
          <w:u w:val="double"/>
        </w:rPr>
        <w:t>{1.20}</w:t>
      </w:r>
      <w:r>
        <w:rPr>
          <w:color w:val="000000"/>
        </w:rPr>
        <w:tab/>
      </w:r>
      <w:r>
        <w:rPr>
          <w:u w:val="single"/>
        </w:rPr>
        <w:t>Price</w:t>
      </w:r>
      <w:r>
        <w:rPr/>
        <w:t xml:space="preserve">:  The Price per GJ or MMBtu of Gas subject to the provisions of Article 6, </w:t>
      </w:r>
      <w:r>
        <w:rPr>
          <w:u w:val="single"/>
        </w:rPr>
        <w:t>Price</w:t>
      </w:r>
      <w:r>
        <w:rPr/>
        <w:t>.</w:t>
      </w:r>
    </w:p>
    <w:p>
      <w:pPr>
        <w:pStyle w:val="BodyText3"/>
        <w:tabs>
          <w:tab w:val="left" w:pos="720" w:leader="none"/>
        </w:tabs>
        <w:bidi w:val="0"/>
        <w:spacing w:lineRule="exact" w:line="360" w:before="120" w:after="0"/>
        <w:rPr/>
      </w:pPr>
      <w:r>
        <w:rPr>
          <w:strike/>
        </w:rPr>
        <w:t>{1.20}</w:t>
      </w:r>
      <w:r>
        <w:rPr/>
        <w:t xml:space="preserve"> </w:t>
      </w:r>
      <w:r>
        <w:rPr>
          <w:u w:val="double"/>
        </w:rPr>
        <w:t>{1.21}</w:t>
      </w:r>
      <w:r>
        <w:rPr/>
        <w:tab/>
      </w:r>
      <w:r>
        <w:rPr>
          <w:u w:val="single"/>
        </w:rPr>
        <w:t>Swing Gas</w:t>
      </w:r>
      <w:r>
        <w:rPr/>
        <w:t xml:space="preserve">:  Gas sold and purchased on a </w:t>
      </w:r>
      <w:r>
        <w:rPr>
          <w:strike/>
        </w:rPr>
        <w:t>{day-to-day basis pursuant to a Transaction.The Parties contemplate that no Confirmation Notice will confirm Swing Transactions.}</w:t>
      </w:r>
      <w:r>
        <w:rPr/>
        <w:t xml:space="preserve"> </w:t>
      </w:r>
      <w:r>
        <w:rPr>
          <w:u w:val="double"/>
        </w:rPr>
        <w:t>{Firm daily basis (but for a period of less than one month) pursuant to a Transaction.}</w:t>
      </w:r>
    </w:p>
    <w:p>
      <w:pPr>
        <w:pStyle w:val="BodyText3"/>
        <w:tabs>
          <w:tab w:val="left" w:pos="720" w:leader="none"/>
        </w:tabs>
        <w:bidi w:val="0"/>
        <w:spacing w:lineRule="exact" w:line="360" w:before="120" w:after="0"/>
        <w:rPr>
          <w:color w:val="000000"/>
          <w:u w:val="single"/>
        </w:rPr>
      </w:pPr>
      <w:r>
        <w:rPr>
          <w:strike/>
          <w:color w:val="000000"/>
        </w:rPr>
        <w:t>{1.21}</w:t>
      </w:r>
      <w:r>
        <w:rPr>
          <w:color w:val="000000"/>
        </w:rPr>
        <w:t xml:space="preserve"> </w:t>
      </w:r>
      <w:r>
        <w:rPr>
          <w:color w:val="000000"/>
          <w:u w:val="double"/>
        </w:rPr>
        <w:t>{1.22}</w:t>
      </w:r>
      <w:r>
        <w:rPr>
          <w:color w:val="000000"/>
        </w:rPr>
        <w:tab/>
      </w:r>
      <w:r>
        <w:rPr>
          <w:u w:val="single"/>
        </w:rPr>
        <w:t>Transaction</w:t>
      </w:r>
      <w:r>
        <w:rPr/>
        <w:t xml:space="preserve">:  A purchase or sale of Gas, or re-negotiated </w:t>
      </w:r>
      <w:r>
        <w:rPr>
          <w:strike/>
        </w:rPr>
        <w:t>{sale or}</w:t>
      </w:r>
      <w:r>
        <w:rPr/>
        <w:t xml:space="preserve"> purchase </w:t>
      </w:r>
      <w:r>
        <w:rPr>
          <w:u w:val="double"/>
        </w:rPr>
        <w:t>{or sale}</w:t>
      </w:r>
      <w:r>
        <w:rPr/>
        <w:t xml:space="preserve"> of Gas, entered into pursuant to provisions and procedures set forth in this Agreement and subject to its terms and conditions.</w:t>
      </w:r>
    </w:p>
    <w:p>
      <w:pPr>
        <w:pStyle w:val="BodyText3"/>
        <w:tabs>
          <w:tab w:val="left" w:pos="720" w:leader="none"/>
        </w:tabs>
        <w:bidi w:val="0"/>
        <w:spacing w:lineRule="exact" w:line="360" w:before="120" w:after="0"/>
        <w:rPr/>
      </w:pPr>
      <w:r>
        <w:rPr>
          <w:strike/>
        </w:rPr>
        <w:t>{1.22}</w:t>
      </w:r>
      <w:r>
        <w:rPr/>
        <w:t xml:space="preserve"> </w:t>
      </w:r>
      <w:r>
        <w:rPr>
          <w:u w:val="double"/>
        </w:rPr>
        <w:t>{1.23}</w:t>
      </w:r>
      <w:r>
        <w:rPr/>
        <w:tab/>
      </w:r>
      <w:r>
        <w:rPr>
          <w:u w:val="single"/>
        </w:rPr>
        <w:t>Transporter</w:t>
      </w:r>
      <w:r>
        <w:rPr/>
        <w:t xml:space="preserve">:  Any Gas pipeline company, or physical facilities thereof, transporting Gas for the Parties upstream or downstream, respectively, of the Delivery Point </w:t>
      </w:r>
      <w:r>
        <w:rPr>
          <w:strike/>
        </w:rPr>
        <w:t>{set forth in a particular Confirmation Notice}</w:t>
      </w:r>
      <w:r>
        <w:rPr/>
        <w:t>.</w:t>
      </w:r>
    </w:p>
    <w:p>
      <w:pPr>
        <w:pStyle w:val="Header"/>
        <w:keepNext w:val="true"/>
        <w:bidi w:val="0"/>
        <w:spacing w:lineRule="exact" w:line="360" w:before="120" w:after="0"/>
        <w:jc w:val="center"/>
        <w:rPr>
          <w:b/>
        </w:rPr>
      </w:pPr>
      <w:r>
        <w:rPr>
          <w:b/>
        </w:rPr>
        <w:t>Article 2</w:t>
      </w:r>
      <w:bookmarkStart w:id="2" w:name="_Toc472239473"/>
    </w:p>
    <w:p>
      <w:pPr>
        <w:pStyle w:val="Proforma"/>
        <w:bidi w:val="0"/>
        <w:spacing w:lineRule="exact" w:line="360" w:before="120" w:after="0"/>
        <w:rPr/>
      </w:pPr>
      <w:r>
        <w:rPr/>
        <w:t>TRANSACTION PROCEDURES</w:t>
      </w:r>
      <w:bookmarkEnd w:id="2"/>
    </w:p>
    <w:p>
      <w:pPr>
        <w:pStyle w:val="BodyText3"/>
        <w:keepNext w:val="true"/>
        <w:tabs>
          <w:tab w:val="left" w:pos="720" w:leader="none"/>
        </w:tabs>
        <w:bidi w:val="0"/>
        <w:spacing w:lineRule="exact" w:line="360" w:before="120" w:after="0"/>
        <w:rPr>
          <w:u w:val="double"/>
        </w:rPr>
      </w:pPr>
      <w:r>
        <w:rPr/>
        <w:t>2.1</w:t>
        <w:tab/>
      </w:r>
      <w:r>
        <w:rPr>
          <w:u w:val="double"/>
        </w:rPr>
        <w:t>{All Baseload Gas, Multi-Month Gas and Swing Gas Transactions entered into pursuant to this Agreement shall be Firm.</w:t>
      </w:r>
    </w:p>
    <w:p>
      <w:pPr>
        <w:pStyle w:val="BodyText3"/>
        <w:tabs>
          <w:tab w:val="left" w:pos="720" w:leader="none"/>
        </w:tabs>
        <w:bidi w:val="0"/>
        <w:spacing w:lineRule="exact" w:line="360" w:before="120" w:after="0"/>
        <w:rPr>
          <w:color w:val="000000"/>
        </w:rPr>
      </w:pPr>
      <w:r>
        <w:rPr>
          <w:color w:val="000000"/>
          <w:u w:val="double"/>
        </w:rPr>
        <w:t>2.2}</w:t>
      </w:r>
      <w:r>
        <w:rPr>
          <w:color w:val="000000"/>
        </w:rPr>
        <w:tab/>
      </w:r>
      <w:r>
        <w:rPr/>
        <w:t xml:space="preserve">It is the intent of the Parties to enter into Transactions in accordance with the procedures in this Article 2 </w:t>
      </w:r>
      <w:r>
        <w:rPr>
          <w:strike/>
        </w:rPr>
        <w:t>{and assure that such}</w:t>
      </w:r>
      <w:r>
        <w:rPr>
          <w:u w:val="double"/>
        </w:rPr>
        <w:t>{.}</w:t>
      </w:r>
      <w:r>
        <w:rPr/>
        <w:t xml:space="preserve">  Transactions </w:t>
      </w:r>
      <w:r>
        <w:rPr>
          <w:strike/>
        </w:rPr>
        <w:t>{are valid and enforceable. A Transaction}</w:t>
      </w:r>
      <w:r>
        <w:rPr/>
        <w:t xml:space="preserve"> may be formed and effectuated as follows: (i) by a </w:t>
      </w:r>
      <w:r>
        <w:rPr>
          <w:strike/>
        </w:rPr>
        <w:t>{recorded}</w:t>
      </w:r>
      <w:r>
        <w:rPr/>
        <w:t xml:space="preserve"> telephone conversation between the Parties </w:t>
      </w:r>
      <w:r>
        <w:rPr>
          <w:strike/>
        </w:rPr>
        <w:t>{occurring on any Business Day}</w:t>
      </w:r>
      <w:r>
        <w:rPr/>
        <w:t xml:space="preserve"> whereby an offer and acceptance shall constitute the agreement of the Parties to a Transaction, </w:t>
      </w:r>
      <w:r>
        <w:rPr>
          <w:strike/>
        </w:rPr>
        <w:t>{(ii) by a recorded telephone conversation, as above, subject to the terms of an effective Confirmation Notice or (iii)}</w:t>
      </w:r>
      <w:r>
        <w:rPr/>
        <w:t xml:space="preserve"> </w:t>
      </w:r>
      <w:r>
        <w:rPr>
          <w:u w:val="double"/>
        </w:rPr>
        <w:t>{or (ii) }</w:t>
      </w:r>
      <w:r>
        <w:rPr/>
        <w:t xml:space="preserve">by electronic means using Enron </w:t>
      </w:r>
      <w:r>
        <w:rPr>
          <w:strike/>
        </w:rPr>
        <w:t>{Online and subject to the terms of an effective Confirmation Notice}</w:t>
      </w:r>
      <w:r>
        <w:rPr/>
        <w:t xml:space="preserve"> </w:t>
      </w:r>
      <w:r>
        <w:rPr>
          <w:u w:val="double"/>
        </w:rPr>
        <w:t>{OnLine}</w:t>
      </w:r>
      <w:r>
        <w:rPr/>
        <w:t xml:space="preserve">.  The Parties shall be legally bound by each Transaction from the time they orally or by electronic means agree to its terms in accordance with this Article 2, provided </w:t>
      </w:r>
      <w:r>
        <w:rPr>
          <w:u w:val="double"/>
        </w:rPr>
        <w:t>{if}</w:t>
      </w:r>
      <w:r>
        <w:rPr/>
        <w:t xml:space="preserve"> such Transaction is subject to the terms of </w:t>
      </w:r>
      <w:r>
        <w:rPr>
          <w:strike/>
        </w:rPr>
        <w:t>{any}</w:t>
      </w:r>
      <w:r>
        <w:rPr/>
        <w:t xml:space="preserve"> </w:t>
      </w:r>
      <w:r>
        <w:rPr>
          <w:u w:val="double"/>
        </w:rPr>
        <w:t>{an}</w:t>
      </w:r>
      <w:r>
        <w:rPr/>
        <w:t xml:space="preserve"> effective Confirmation Notice</w:t>
      </w:r>
      <w:r>
        <w:rPr>
          <w:strike/>
        </w:rPr>
        <w:t>{. Where}</w:t>
      </w:r>
      <w:r>
        <w:rPr>
          <w:u w:val="double"/>
        </w:rPr>
        <w:t>{, the Confirmation Notice shall govern.  With respect to Transactions entered by oral agreement where}</w:t>
      </w:r>
      <w:r>
        <w:rPr/>
        <w:t xml:space="preserve"> no effective Confirmation Notice exists, the Transaction </w:t>
      </w:r>
      <w:r>
        <w:rPr>
          <w:strike/>
        </w:rPr>
        <w:t>{Tape}</w:t>
      </w:r>
      <w:r>
        <w:rPr/>
        <w:t xml:space="preserve"> </w:t>
      </w:r>
      <w:r>
        <w:rPr>
          <w:u w:val="double"/>
        </w:rPr>
        <w:t>{tape}</w:t>
      </w:r>
      <w:r>
        <w:rPr/>
        <w:t xml:space="preserve">, viz., an audio tape recording the Parties’ oral agreement to a Transaction, </w:t>
      </w:r>
      <w:r>
        <w:rPr>
          <w:u w:val="double"/>
        </w:rPr>
        <w:t>{or electronic record of the Transaction, viz., for Transactions completed on Enron OnLine}</w:t>
      </w:r>
      <w:r>
        <w:rPr/>
        <w:t xml:space="preserve"> shall be adopted by the Parties as </w:t>
      </w:r>
      <w:r>
        <w:rPr>
          <w:strike/>
        </w:rPr>
        <w:t>{a means by which a}</w:t>
      </w:r>
      <w:r>
        <w:rPr/>
        <w:t xml:space="preserve"> </w:t>
      </w:r>
      <w:r>
        <w:rPr>
          <w:u w:val="double"/>
        </w:rPr>
        <w:t>{documentary evidence of the}</w:t>
      </w:r>
      <w:r>
        <w:rPr/>
        <w:t xml:space="preserve"> Transaction </w:t>
      </w:r>
      <w:r>
        <w:rPr>
          <w:strike/>
        </w:rPr>
        <w:t>{is evidenced}</w:t>
      </w:r>
      <w:r>
        <w:rPr/>
        <w:t xml:space="preserve">.  Any Transaction formed and effectuated pursuant to </w:t>
      </w:r>
      <w:r>
        <w:rPr>
          <w:strike/>
        </w:rPr>
        <w:t>{the foregoing}</w:t>
      </w:r>
      <w:r>
        <w:rPr/>
        <w:t xml:space="preserve"> </w:t>
      </w:r>
      <w:r>
        <w:rPr>
          <w:u w:val="double"/>
        </w:rPr>
        <w:t>{this Article 2}</w:t>
      </w:r>
      <w:r>
        <w:rPr/>
        <w:t xml:space="preserve"> shall be considered to be evidenced by a "writing" or shall be "in writing" and to have been "signed" and any Confirmation Notice delivered hereunder or any Transaction </w:t>
      </w:r>
      <w:r>
        <w:rPr>
          <w:strike/>
        </w:rPr>
        <w:t>{Tape}</w:t>
      </w:r>
      <w:r>
        <w:rPr/>
        <w:t xml:space="preserve"> </w:t>
      </w:r>
      <w:r>
        <w:rPr>
          <w:u w:val="double"/>
        </w:rPr>
        <w:t>{tape}</w:t>
      </w:r>
      <w:r>
        <w:rPr/>
        <w:t xml:space="preserve"> shall be considered to constitute an "original" document evidencing the Transaction.  Each Party consents to the recording of its employees' telephone conversations for the purposes of this Agreement without any further notice.  </w:t>
      </w:r>
    </w:p>
    <w:p>
      <w:pPr>
        <w:pStyle w:val="BodyText3"/>
        <w:tabs>
          <w:tab w:val="left" w:pos="720" w:leader="none"/>
        </w:tabs>
        <w:bidi w:val="0"/>
        <w:spacing w:lineRule="exact" w:line="360" w:before="120" w:after="0"/>
        <w:rPr>
          <w:color w:val="000000"/>
        </w:rPr>
      </w:pPr>
      <w:r>
        <w:rPr>
          <w:strike/>
          <w:color w:val="000000"/>
        </w:rPr>
        <w:t>{2.2 Both Parties }</w:t>
      </w:r>
      <w:r>
        <w:rPr>
          <w:color w:val="000000"/>
          <w:u w:val="double"/>
        </w:rPr>
        <w:t>{2.3</w:t>
      </w:r>
      <w:r>
        <w:rPr>
          <w:color w:val="000000"/>
        </w:rPr>
        <w:tab/>
      </w:r>
      <w:r>
        <w:rPr>
          <w:u w:val="double"/>
        </w:rPr>
        <w:t>Both Parties, in the case of oral Transactions not completed using Enron OnLine,}</w:t>
      </w:r>
      <w:r>
        <w:rPr/>
        <w:t xml:space="preserve"> shall at their expense maintain equipment necessary to regularly record Transactions on Transaction </w:t>
      </w:r>
      <w:r>
        <w:rPr>
          <w:strike/>
        </w:rPr>
        <w:t>{Tapes}</w:t>
      </w:r>
      <w:r>
        <w:rPr/>
        <w:t xml:space="preserve"> </w:t>
      </w:r>
      <w:r>
        <w:rPr>
          <w:u w:val="double"/>
        </w:rPr>
        <w:t>{tapes}</w:t>
      </w:r>
      <w:r>
        <w:rPr/>
        <w:t xml:space="preserve"> and retain Transaction </w:t>
      </w:r>
      <w:r>
        <w:rPr>
          <w:strike/>
        </w:rPr>
        <w:t>{Tapes}</w:t>
      </w:r>
      <w:r>
        <w:rPr/>
        <w:t xml:space="preserve"> </w:t>
      </w:r>
      <w:r>
        <w:rPr>
          <w:u w:val="double"/>
        </w:rPr>
        <w:t>{tapes}</w:t>
      </w:r>
      <w:r>
        <w:rPr/>
        <w:t xml:space="preserve"> in such manner as to protect them from loss or tampering</w:t>
      </w:r>
      <w:r>
        <w:rPr>
          <w:strike/>
        </w:rPr>
        <w:t>{.}</w:t>
      </w:r>
      <w:r>
        <w:rPr/>
        <w:t xml:space="preserve"> </w:t>
      </w:r>
      <w:r>
        <w:rPr>
          <w:u w:val="double"/>
        </w:rPr>
        <w:t>{for a period of not less than thirty (30) days;}</w:t>
      </w:r>
      <w:r>
        <w:rPr/>
        <w:t xml:space="preserve"> provided, neither Party shall  be liable to the other Party for any loss or tampering therewith or for any malfunction of recording equipment or the operation thereof in respect of any Transaction without regard to the cause or causes related thereto, including, without limitation, the negligence of any party, whether such negligence be sole, joint or concurrent, or active or passive.</w:t>
      </w:r>
    </w:p>
    <w:p>
      <w:pPr>
        <w:pStyle w:val="BodyText3"/>
        <w:tabs>
          <w:tab w:val="left" w:pos="720" w:leader="none"/>
        </w:tabs>
        <w:bidi w:val="0"/>
        <w:spacing w:lineRule="exact" w:line="360" w:before="120" w:after="0"/>
        <w:rPr>
          <w:color w:val="000000"/>
        </w:rPr>
      </w:pPr>
      <w:r>
        <w:rPr>
          <w:color w:val="000000"/>
          <w:u w:val="double"/>
        </w:rPr>
        <w:t>{2.4}</w:t>
      </w:r>
      <w:r>
        <w:rPr>
          <w:color w:val="000000"/>
        </w:rPr>
        <w:tab/>
      </w:r>
      <w:r>
        <w:rPr/>
        <w:t xml:space="preserve">No Transaction shall be rendered unenforceable should a malfunction occur in recording equipment </w:t>
      </w:r>
      <w:r>
        <w:rPr>
          <w:strike/>
        </w:rPr>
        <w:t>{or retaining Transaction Tapes or the operation thereof}</w:t>
      </w:r>
      <w:r>
        <w:rPr>
          <w:u w:val="double"/>
        </w:rPr>
        <w:t>{, for the failure to record any Transaction or to retain Transaction tapes,}</w:t>
      </w:r>
      <w:r>
        <w:rPr/>
        <w:t xml:space="preserve"> or loss of or damage to a Transaction </w:t>
      </w:r>
      <w:r>
        <w:rPr>
          <w:strike/>
        </w:rPr>
        <w:t>{Tape}</w:t>
      </w:r>
      <w:r>
        <w:rPr/>
        <w:t xml:space="preserve"> </w:t>
      </w:r>
      <w:r>
        <w:rPr>
          <w:u w:val="double"/>
        </w:rPr>
        <w:t>{tape}</w:t>
      </w:r>
      <w:r>
        <w:rPr/>
        <w:t xml:space="preserve">, and in such event, provided no effective and applicable Confirmation Notice exists, the Transaction shall </w:t>
      </w:r>
      <w:r>
        <w:rPr>
          <w:strike/>
        </w:rPr>
        <w:t>{be }</w:t>
      </w:r>
      <w:r>
        <w:rPr>
          <w:u w:val="double"/>
        </w:rPr>
        <w:t>{nonetheless be binding and enforceable as}</w:t>
      </w:r>
      <w:r>
        <w:rPr/>
        <w:t xml:space="preserve"> evidenced by the written </w:t>
      </w:r>
      <w:r>
        <w:rPr>
          <w:strike/>
        </w:rPr>
        <w:t>{and}</w:t>
      </w:r>
      <w:r>
        <w:rPr>
          <w:u w:val="double"/>
        </w:rPr>
        <w:t>{,}</w:t>
      </w:r>
      <w:r>
        <w:rPr/>
        <w:t xml:space="preserve"> computer </w:t>
      </w:r>
      <w:r>
        <w:rPr>
          <w:u w:val="double"/>
        </w:rPr>
        <w:t>{or other}</w:t>
      </w:r>
      <w:r>
        <w:rPr/>
        <w:t xml:space="preserve"> records of the Parties concerning the Transaction, when made in the ordinary course of business and substantially contemporaneously with the </w:t>
      </w:r>
      <w:r>
        <w:rPr>
          <w:strike/>
        </w:rPr>
        <w:t>{telephone conversation.}</w:t>
      </w:r>
      <w:r>
        <w:rPr/>
        <w:t xml:space="preserve"> </w:t>
      </w:r>
      <w:r>
        <w:rPr>
          <w:u w:val="double"/>
        </w:rPr>
        <w:t>{entering into of the Transaction.</w:t>
      </w:r>
      <w:r>
        <w:rPr>
          <w:color w:val="000000"/>
          <w:u w:val="double"/>
        </w:rPr>
        <w:t>}</w:t>
      </w:r>
    </w:p>
    <w:p>
      <w:pPr>
        <w:pStyle w:val="BodyText3"/>
        <w:tabs>
          <w:tab w:val="left" w:pos="720" w:leader="none"/>
        </w:tabs>
        <w:bidi w:val="0"/>
        <w:spacing w:lineRule="exact" w:line="360" w:before="120" w:after="0"/>
        <w:rPr>
          <w:color w:val="000000"/>
        </w:rPr>
      </w:pPr>
      <w:r>
        <w:rPr>
          <w:strike/>
          <w:color w:val="000000"/>
        </w:rPr>
        <w:t>{2.3 Either Party may confirm a recorded telephonic}</w:t>
      </w:r>
      <w:r>
        <w:rPr>
          <w:color w:val="000000"/>
        </w:rPr>
        <w:t xml:space="preserve"> </w:t>
      </w:r>
      <w:r>
        <w:rPr>
          <w:color w:val="000000"/>
          <w:u w:val="double"/>
        </w:rPr>
        <w:t>{2.5</w:t>
      </w:r>
      <w:r>
        <w:rPr>
          <w:color w:val="000000"/>
        </w:rPr>
        <w:tab/>
      </w:r>
      <w:r>
        <w:rPr>
          <w:b/>
          <w:u w:val="double"/>
        </w:rPr>
        <w:t>[Company]</w:t>
      </w:r>
      <w:r>
        <w:rPr/>
        <w:t xml:space="preserve"> </w:t>
      </w:r>
      <w:r>
        <w:rPr>
          <w:u w:val="double"/>
        </w:rPr>
        <w:t>may confirm, in the case of oral Transactions not completed using Enron OnLine, the}</w:t>
      </w:r>
      <w:r>
        <w:rPr/>
        <w:t xml:space="preserve"> Transaction by delivering to </w:t>
      </w:r>
      <w:r>
        <w:rPr>
          <w:strike/>
        </w:rPr>
        <w:t>{the other Party}</w:t>
      </w:r>
      <w:r>
        <w:rPr/>
        <w:t xml:space="preserve"> </w:t>
      </w:r>
      <w:r>
        <w:rPr>
          <w:u w:val="double"/>
        </w:rPr>
        <w:t>{PG&amp;E Core}</w:t>
      </w:r>
      <w:r>
        <w:rPr/>
        <w:t xml:space="preserve"> via facsimile a Confirmation Notice by the close of the </w:t>
      </w:r>
      <w:r>
        <w:rPr>
          <w:strike/>
        </w:rPr>
        <w:t>{second (2nd)}</w:t>
      </w:r>
      <w:r>
        <w:rPr/>
        <w:t xml:space="preserve"> </w:t>
      </w:r>
      <w:r>
        <w:rPr>
          <w:u w:val="double"/>
        </w:rPr>
        <w:t>{third (3</w:t>
      </w:r>
      <w:r>
        <w:rPr>
          <w:u w:val="double"/>
          <w:vertAlign w:val="superscript"/>
        </w:rPr>
        <w:t>rd</w:t>
      </w:r>
      <w:r>
        <w:rPr>
          <w:u w:val="double"/>
        </w:rPr>
        <w:t>)}</w:t>
      </w:r>
      <w:r>
        <w:rPr/>
        <w:t xml:space="preserve"> Business Day following the Transaction formation.  </w:t>
      </w:r>
      <w:r>
        <w:rPr>
          <w:strike/>
        </w:rPr>
        <w:t>{Each Party}</w:t>
      </w:r>
      <w:r>
        <w:rPr/>
        <w:t xml:space="preserve"> </w:t>
      </w:r>
      <w:r>
        <w:rPr>
          <w:u w:val="double"/>
        </w:rPr>
        <w:t>{For Transactions completed on Enron OnLine, Company may confirm the Transaction by delivering to PG&amp;E Core confirmation letters in accordance with the practices and procedures applicable to Enron OnLine.  Company}</w:t>
      </w:r>
      <w:r>
        <w:rPr/>
        <w:t xml:space="preserve"> hereby adopts its letterhead, including its address, as its signature on any Confirmation Notice as its identification and authentication of the Confirmation Notice, and such letterhead shall be sufficient to verify that </w:t>
      </w:r>
      <w:r>
        <w:rPr>
          <w:strike/>
        </w:rPr>
        <w:t>{such Party}</w:t>
      </w:r>
      <w:r>
        <w:rPr/>
        <w:t xml:space="preserve"> </w:t>
      </w:r>
      <w:r>
        <w:rPr>
          <w:u w:val="double"/>
        </w:rPr>
        <w:t>{Company}</w:t>
      </w:r>
      <w:r>
        <w:rPr/>
        <w:t xml:space="preserve"> originated the Confirmation Notice.  Notwithstanding any contrary law or statute, the Parties agree that any objections by </w:t>
      </w:r>
      <w:r>
        <w:rPr>
          <w:strike/>
        </w:rPr>
        <w:t>{one Party}</w:t>
      </w:r>
      <w:r>
        <w:rPr/>
        <w:t xml:space="preserve"> </w:t>
      </w:r>
      <w:r>
        <w:rPr>
          <w:u w:val="double"/>
        </w:rPr>
        <w:t>{PG&amp;E Core}</w:t>
      </w:r>
      <w:r>
        <w:rPr/>
        <w:t xml:space="preserve"> to the contents of a Confirmation Notice shall be made in writing and delivered to </w:t>
      </w:r>
      <w:r>
        <w:rPr>
          <w:strike/>
        </w:rPr>
        <w:t>{the other Party}</w:t>
      </w:r>
      <w:r>
        <w:rPr/>
        <w:t xml:space="preserve"> </w:t>
      </w:r>
      <w:r>
        <w:rPr>
          <w:u w:val="double"/>
        </w:rPr>
        <w:t>{Company}</w:t>
      </w:r>
      <w:r>
        <w:rPr/>
        <w:t xml:space="preserve"> (by facsimile or otherwise) by the close of the </w:t>
      </w:r>
      <w:r>
        <w:rPr>
          <w:strike/>
        </w:rPr>
        <w:t>{second (2nd)}</w:t>
      </w:r>
      <w:r>
        <w:rPr/>
        <w:t xml:space="preserve"> </w:t>
      </w:r>
      <w:r>
        <w:rPr>
          <w:u w:val="double"/>
        </w:rPr>
        <w:t>{third (3</w:t>
      </w:r>
      <w:r>
        <w:rPr>
          <w:u w:val="double"/>
          <w:vertAlign w:val="superscript"/>
        </w:rPr>
        <w:t>rd</w:t>
      </w:r>
      <w:r>
        <w:rPr>
          <w:u w:val="double"/>
        </w:rPr>
        <w:t>)}</w:t>
      </w:r>
      <w:r>
        <w:rPr/>
        <w:t xml:space="preserve"> Business Day after delivery of the Confirmation Notice, for all purposes hereunder and at law.  In the event no objection to a Confirmation Notice is then delivered to </w:t>
      </w:r>
      <w:r>
        <w:rPr>
          <w:strike/>
        </w:rPr>
        <w:t>{the other Party}</w:t>
      </w:r>
      <w:r>
        <w:rPr/>
        <w:t xml:space="preserve"> </w:t>
      </w:r>
      <w:r>
        <w:rPr>
          <w:u w:val="double"/>
        </w:rPr>
        <w:t>{Company}</w:t>
      </w:r>
      <w:r>
        <w:rPr/>
        <w:t xml:space="preserve">, notwithstanding any terms on the Transaction </w:t>
      </w:r>
      <w:r>
        <w:rPr>
          <w:strike/>
        </w:rPr>
        <w:t>{Tape}</w:t>
      </w:r>
      <w:r>
        <w:rPr/>
        <w:t xml:space="preserve"> </w:t>
      </w:r>
      <w:r>
        <w:rPr>
          <w:u w:val="double"/>
        </w:rPr>
        <w:t>{tape}</w:t>
      </w:r>
      <w:r>
        <w:rPr/>
        <w:t xml:space="preserve"> or otherwise, the Confirmation Notice shall be deemed effective and enforceable against both Parties and shall be conclusive evidence of the Transaction  and the final expression of all of its terms.</w:t>
      </w:r>
    </w:p>
    <w:p>
      <w:pPr>
        <w:pStyle w:val="BodyText3"/>
        <w:tabs>
          <w:tab w:val="left" w:pos="720" w:leader="none"/>
        </w:tabs>
        <w:bidi w:val="0"/>
        <w:spacing w:lineRule="exact" w:line="360" w:before="120" w:after="0"/>
        <w:rPr>
          <w:color w:val="000000"/>
        </w:rPr>
      </w:pPr>
      <w:r>
        <w:rPr>
          <w:strike/>
          <w:color w:val="000000"/>
        </w:rPr>
        <w:t>{2.4}</w:t>
      </w:r>
      <w:r>
        <w:rPr>
          <w:color w:val="000000"/>
        </w:rPr>
        <w:t xml:space="preserve"> </w:t>
      </w:r>
      <w:r>
        <w:rPr>
          <w:color w:val="000000"/>
          <w:u w:val="double"/>
        </w:rPr>
        <w:t>{2.6}</w:t>
      </w:r>
      <w:r>
        <w:rPr>
          <w:color w:val="000000"/>
        </w:rPr>
        <w:tab/>
        <w:t xml:space="preserve">The Parties agree not to contest or assert a defense to the validity or enforceability of </w:t>
      </w:r>
      <w:r>
        <w:rPr>
          <w:strike/>
          <w:color w:val="000000"/>
        </w:rPr>
        <w:t>{recorded telephonic}</w:t>
      </w:r>
      <w:r>
        <w:rPr>
          <w:color w:val="000000"/>
        </w:rPr>
        <w:t xml:space="preserve"> Transactions entered into or made in accordance with this Agreement, or to a Transaction </w:t>
      </w:r>
      <w:r>
        <w:rPr>
          <w:strike/>
          <w:color w:val="000000"/>
        </w:rPr>
        <w:t>{Tape}</w:t>
      </w:r>
      <w:r>
        <w:rPr>
          <w:color w:val="000000"/>
        </w:rPr>
        <w:t xml:space="preserve"> </w:t>
      </w:r>
      <w:r>
        <w:rPr>
          <w:color w:val="000000"/>
          <w:u w:val="double"/>
        </w:rPr>
        <w:t>{tape}</w:t>
      </w:r>
      <w:r>
        <w:rPr>
          <w:color w:val="000000"/>
        </w:rPr>
        <w:t xml:space="preserve">, or to a Confirmation Notice delivered and received by facsimile </w:t>
      </w:r>
      <w:r>
        <w:rPr>
          <w:color w:val="000000"/>
          <w:u w:val="double"/>
        </w:rPr>
        <w:t>{or otherwise}</w:t>
      </w:r>
      <w:r>
        <w:rPr>
          <w:color w:val="000000"/>
        </w:rPr>
        <w:t xml:space="preserve"> and not objected to, under laws relating to (i) whether certain agreements are to be in writing or signed by the Party to be thereby bound or (ii) the authority of any employee of the Party to enter into a Transaction, provided the employee name is stated in the Transaction </w:t>
      </w:r>
      <w:r>
        <w:rPr>
          <w:strike/>
          <w:color w:val="000000"/>
        </w:rPr>
        <w:t>{Tape}</w:t>
      </w:r>
      <w:r>
        <w:rPr>
          <w:color w:val="000000"/>
        </w:rPr>
        <w:t xml:space="preserve"> </w:t>
      </w:r>
      <w:r>
        <w:rPr>
          <w:color w:val="000000"/>
          <w:u w:val="double"/>
        </w:rPr>
        <w:t>{tape, if applicable}</w:t>
      </w:r>
      <w:r>
        <w:rPr>
          <w:color w:val="000000"/>
        </w:rPr>
        <w:t>.</w:t>
      </w:r>
    </w:p>
    <w:p>
      <w:pPr>
        <w:pStyle w:val="Header"/>
        <w:keepNext w:val="true"/>
        <w:tabs>
          <w:tab w:val="clear" w:pos="4320"/>
          <w:tab w:val="clear" w:pos="8640"/>
        </w:tabs>
        <w:bidi w:val="0"/>
        <w:spacing w:lineRule="exact" w:line="360" w:before="120" w:after="0"/>
        <w:jc w:val="center"/>
        <w:rPr>
          <w:b/>
          <w:color w:val="000000"/>
        </w:rPr>
      </w:pPr>
      <w:r>
        <w:rPr>
          <w:b/>
          <w:color w:val="000000"/>
        </w:rPr>
        <w:t>Article 3</w:t>
      </w:r>
    </w:p>
    <w:p>
      <w:pPr>
        <w:pStyle w:val="Proforma"/>
        <w:bidi w:val="0"/>
        <w:spacing w:lineRule="exact" w:line="360" w:before="120" w:after="0"/>
        <w:rPr>
          <w:color w:val="000000"/>
        </w:rPr>
      </w:pPr>
      <w:bookmarkStart w:id="3" w:name="_Toc472239474"/>
      <w:r>
        <w:rPr>
          <w:color w:val="000000"/>
        </w:rPr>
        <w:t>QUANTITY OBLIGATIONS</w:t>
      </w:r>
      <w:bookmarkEnd w:id="3"/>
    </w:p>
    <w:p>
      <w:pPr>
        <w:pStyle w:val="BodyText3"/>
        <w:keepNext w:val="true"/>
        <w:tabs>
          <w:tab w:val="left" w:pos="720" w:leader="none"/>
        </w:tabs>
        <w:bidi w:val="0"/>
        <w:spacing w:lineRule="exact" w:line="360" w:before="120" w:after="0"/>
        <w:rPr/>
      </w:pPr>
      <w:r>
        <w:rPr/>
        <w:t>3.1</w:t>
        <w:tab/>
        <w:t xml:space="preserve">To effectuate a delivery under a Transaction, Seller shall schedule, or cause to be scheduled, with a Transporter; and to effectuate receipt of the Gas under that same Transaction, Buyer shall schedule, or cause to be scheduled, with a Transporter, an identical quantity of Gas, at the Delivery Point(s) for firm Transaction(s), each Gas </w:t>
      </w:r>
      <w:r>
        <w:rPr>
          <w:strike/>
        </w:rPr>
        <w:t>{Day. For firm Transactions, scheduling}</w:t>
      </w:r>
      <w:r>
        <w:rPr/>
        <w:t xml:space="preserve"> </w:t>
      </w:r>
      <w:r>
        <w:rPr>
          <w:u w:val="double"/>
        </w:rPr>
        <w:t>{day. Scheduling}</w:t>
      </w:r>
      <w:r>
        <w:rPr/>
        <w:t xml:space="preserve"> shall be for firm quantities.  Such scheduled quantity shall be equal to the quantity agreed to in the applicable Transaction. Unless otherwise agreed, nothing in this Agreement, and in particular this Article 3, shall require or permit either Party to schedule Gas at a point other than a Delivery Point or in excess of the DCQ.</w:t>
      </w:r>
    </w:p>
    <w:p>
      <w:pPr>
        <w:pStyle w:val="BodyText3"/>
        <w:tabs>
          <w:tab w:val="left" w:pos="720" w:leader="none"/>
        </w:tabs>
        <w:bidi w:val="0"/>
        <w:spacing w:lineRule="exact" w:line="360" w:before="120" w:after="0"/>
        <w:rPr>
          <w:color w:val="000000"/>
        </w:rPr>
      </w:pPr>
      <w:r>
        <w:rPr>
          <w:color w:val="000000"/>
        </w:rPr>
        <w:t>3.2</w:t>
        <w:tab/>
        <w:t xml:space="preserve">If on any Gas </w:t>
      </w:r>
      <w:r>
        <w:rPr>
          <w:strike/>
          <w:color w:val="000000"/>
        </w:rPr>
        <w:t>{Day}</w:t>
      </w:r>
      <w:r>
        <w:rPr>
          <w:color w:val="000000"/>
        </w:rPr>
        <w:t xml:space="preserve"> </w:t>
      </w:r>
      <w:r>
        <w:rPr>
          <w:color w:val="000000"/>
          <w:u w:val="double"/>
        </w:rPr>
        <w:t>{day}</w:t>
      </w:r>
      <w:r>
        <w:rPr>
          <w:color w:val="000000"/>
        </w:rPr>
        <w:t xml:space="preserve"> Seller fails to </w:t>
      </w:r>
      <w:r>
        <w:rPr>
          <w:strike/>
          <w:color w:val="000000"/>
        </w:rPr>
        <w:t>{Schedule}</w:t>
      </w:r>
      <w:r>
        <w:rPr>
          <w:color w:val="000000"/>
        </w:rPr>
        <w:t xml:space="preserve"> </w:t>
      </w:r>
      <w:r>
        <w:rPr>
          <w:color w:val="000000"/>
          <w:u w:val="double"/>
        </w:rPr>
        <w:t>{schedule}</w:t>
      </w:r>
      <w:r>
        <w:rPr>
          <w:color w:val="000000"/>
        </w:rPr>
        <w:t xml:space="preserve"> Buyer's DCQ, and as a result Gas is not delivered to Buyer, then such occurrence shall constitute a "Seller's Deficiency Default" and "Seller's Deficiency Quantity" shall be the numerical difference between Buyer's DCQ and the amount of Gas </w:t>
      </w:r>
      <w:r>
        <w:rPr>
          <w:strike/>
          <w:color w:val="000000"/>
        </w:rPr>
        <w:t>{Scheduled}</w:t>
      </w:r>
      <w:r>
        <w:rPr>
          <w:color w:val="000000"/>
        </w:rPr>
        <w:t xml:space="preserve"> </w:t>
      </w:r>
      <w:r>
        <w:rPr>
          <w:color w:val="000000"/>
          <w:u w:val="double"/>
        </w:rPr>
        <w:t>{scheduled}</w:t>
      </w:r>
      <w:r>
        <w:rPr>
          <w:color w:val="000000"/>
        </w:rPr>
        <w:t xml:space="preserve"> for such Gas </w:t>
      </w:r>
      <w:r>
        <w:rPr>
          <w:strike/>
          <w:color w:val="000000"/>
        </w:rPr>
        <w:t>{Day}</w:t>
      </w:r>
      <w:r>
        <w:rPr>
          <w:color w:val="000000"/>
        </w:rPr>
        <w:t xml:space="preserve"> </w:t>
      </w:r>
      <w:r>
        <w:rPr>
          <w:color w:val="000000"/>
          <w:u w:val="double"/>
        </w:rPr>
        <w:t>{day}</w:t>
      </w:r>
      <w:r>
        <w:rPr>
          <w:color w:val="000000"/>
        </w:rPr>
        <w:t xml:space="preserve">.  In the event of a Seller's Deficiency Default, Seller shall pay Buyer a sum of money pursuant to the provisions of </w:t>
      </w:r>
      <w:r>
        <w:rPr>
          <w:strike/>
          <w:color w:val="000000"/>
        </w:rPr>
        <w:t>{Article}</w:t>
      </w:r>
      <w:r>
        <w:rPr>
          <w:color w:val="000000"/>
        </w:rPr>
        <w:t xml:space="preserve"> </w:t>
      </w:r>
      <w:r>
        <w:rPr>
          <w:color w:val="000000"/>
          <w:u w:val="double"/>
        </w:rPr>
        <w:t>{Section}</w:t>
      </w:r>
      <w:r>
        <w:rPr>
          <w:color w:val="000000"/>
        </w:rPr>
        <w:t xml:space="preserve"> 11.4 and based upon Seller’s Deficiency Quantity.  If on any Gas </w:t>
      </w:r>
      <w:r>
        <w:rPr>
          <w:strike/>
          <w:color w:val="000000"/>
        </w:rPr>
        <w:t>{Day}</w:t>
      </w:r>
      <w:r>
        <w:rPr>
          <w:color w:val="000000"/>
        </w:rPr>
        <w:t xml:space="preserve"> </w:t>
      </w:r>
      <w:r>
        <w:rPr>
          <w:color w:val="000000"/>
          <w:u w:val="double"/>
        </w:rPr>
        <w:t>{day}</w:t>
      </w:r>
      <w:r>
        <w:rPr>
          <w:color w:val="000000"/>
        </w:rPr>
        <w:t xml:space="preserve"> Buyer fails to </w:t>
      </w:r>
      <w:r>
        <w:rPr>
          <w:strike/>
          <w:color w:val="000000"/>
        </w:rPr>
        <w:t>{Schedule}</w:t>
      </w:r>
      <w:r>
        <w:rPr>
          <w:color w:val="000000"/>
        </w:rPr>
        <w:t xml:space="preserve"> </w:t>
      </w:r>
      <w:r>
        <w:rPr>
          <w:color w:val="000000"/>
          <w:u w:val="double"/>
        </w:rPr>
        <w:t>{schedule}</w:t>
      </w:r>
      <w:r>
        <w:rPr>
          <w:color w:val="000000"/>
        </w:rPr>
        <w:t xml:space="preserve"> Buyer's DCQ, and as a result Gas is not delivered to Buyer, then such occurrence shall constitute a "Buyer's Deficiency Default" and "Buyer's Deficiency Quantity" shall be the numerical difference between Buyer's DCQ and the amount of Gas </w:t>
      </w:r>
      <w:r>
        <w:rPr>
          <w:strike/>
          <w:color w:val="000000"/>
        </w:rPr>
        <w:t>{Scheduled}</w:t>
      </w:r>
      <w:r>
        <w:rPr>
          <w:color w:val="000000"/>
        </w:rPr>
        <w:t xml:space="preserve"> </w:t>
      </w:r>
      <w:r>
        <w:rPr>
          <w:color w:val="000000"/>
          <w:u w:val="double"/>
        </w:rPr>
        <w:t>{scheduled}</w:t>
      </w:r>
      <w:r>
        <w:rPr>
          <w:color w:val="000000"/>
        </w:rPr>
        <w:t xml:space="preserve"> for such Gas </w:t>
      </w:r>
      <w:r>
        <w:rPr>
          <w:strike/>
          <w:color w:val="000000"/>
        </w:rPr>
        <w:t>{Day}</w:t>
      </w:r>
      <w:r>
        <w:rPr>
          <w:color w:val="000000"/>
        </w:rPr>
        <w:t xml:space="preserve"> </w:t>
      </w:r>
      <w:r>
        <w:rPr>
          <w:color w:val="000000"/>
          <w:u w:val="double"/>
        </w:rPr>
        <w:t>{day}</w:t>
      </w:r>
      <w:r>
        <w:rPr>
          <w:color w:val="000000"/>
        </w:rPr>
        <w:t xml:space="preserve">.  In the event of a Buyer’s Deficiency Default, Buyer shall pay Seller a sum of money pursuant to the provisions of </w:t>
      </w:r>
      <w:r>
        <w:rPr>
          <w:strike/>
          <w:color w:val="000000"/>
        </w:rPr>
        <w:t>{Article}</w:t>
      </w:r>
      <w:r>
        <w:rPr>
          <w:color w:val="000000"/>
        </w:rPr>
        <w:t xml:space="preserve"> </w:t>
      </w:r>
      <w:r>
        <w:rPr>
          <w:color w:val="000000"/>
          <w:u w:val="double"/>
        </w:rPr>
        <w:t>{Section}</w:t>
      </w:r>
      <w:r>
        <w:rPr>
          <w:color w:val="000000"/>
        </w:rPr>
        <w:t xml:space="preserve"> 11.4 and based upon Buyer’s Deficiency Quantity. </w:t>
      </w:r>
    </w:p>
    <w:p>
      <w:pPr>
        <w:pStyle w:val="Header"/>
        <w:tabs>
          <w:tab w:val="clear" w:pos="4320"/>
          <w:tab w:val="clear" w:pos="8640"/>
        </w:tabs>
        <w:bidi w:val="0"/>
        <w:spacing w:lineRule="exact" w:line="360" w:before="120" w:after="0"/>
        <w:jc w:val="center"/>
        <w:rPr>
          <w:b/>
          <w:color w:val="000000"/>
        </w:rPr>
      </w:pPr>
      <w:r>
        <w:rPr>
          <w:b/>
          <w:color w:val="000000"/>
        </w:rPr>
        <w:t>Article 4</w:t>
      </w:r>
    </w:p>
    <w:p>
      <w:pPr>
        <w:pStyle w:val="Proforma"/>
        <w:bidi w:val="0"/>
        <w:spacing w:lineRule="exact" w:line="360" w:before="120" w:after="0"/>
        <w:rPr>
          <w:color w:val="000000"/>
        </w:rPr>
      </w:pPr>
      <w:bookmarkStart w:id="4" w:name="_Toc453051610"/>
      <w:bookmarkStart w:id="5" w:name="_Toc472239475"/>
      <w:r>
        <w:rPr>
          <w:color w:val="000000"/>
        </w:rPr>
        <w:t>DELIVERY POINT</w:t>
      </w:r>
      <w:bookmarkEnd w:id="4"/>
      <w:bookmarkEnd w:id="5"/>
    </w:p>
    <w:p>
      <w:pPr>
        <w:pStyle w:val="BodyText3"/>
        <w:bidi w:val="0"/>
        <w:spacing w:lineRule="exact" w:line="360" w:before="120" w:after="0"/>
        <w:rPr/>
      </w:pPr>
      <w:r>
        <w:rPr/>
        <w:t>4.1</w:t>
        <w:tab/>
        <w:t xml:space="preserve">The Delivery Point shall be in Canada and at points  agreed to by Buyer and Seller as set forth in  a Confirmation Notice and shall be identified by one or more pipeline receipt points; mnemonic, pool number, or other identifiers.  Buyer or Buyer’s Transporter will take delivery of the Gas at the Delivery Point and title shall pass from Seller to Buyer at such point.  </w:t>
      </w:r>
      <w:r>
        <w:rPr>
          <w:strike/>
        </w:rPr>
        <w:t>{The Party who holds title to the Gas as a result of a NOVA inventory transfer on the Nova system in Alberta will also hold the extraction rights at the Cochrane Extraction Plant (located near Cochrane, Alberta) for the liquids in that Gas.}</w:t>
      </w:r>
    </w:p>
    <w:p>
      <w:pPr>
        <w:pStyle w:val="BodyText3"/>
        <w:bidi w:val="0"/>
        <w:spacing w:lineRule="exact" w:line="360" w:before="120" w:after="0"/>
        <w:rPr/>
      </w:pPr>
      <w:r>
        <w:rPr/>
        <w:t>4.2</w:t>
        <w:tab/>
        <w:t xml:space="preserve">The Delivery Point for any Gas sold and purchased under this Agreement </w:t>
      </w:r>
      <w:r>
        <w:rPr>
          <w:u w:val="double"/>
        </w:rPr>
        <w:t>{will always be at a Delivery Point specified in Canada, including, for any Gas sold and purchased}</w:t>
      </w:r>
      <w:r>
        <w:rPr/>
        <w:t xml:space="preserve"> at Kingsgate, British Columbia (or Eastport, Idaho)</w:t>
      </w:r>
      <w:r>
        <w:rPr>
          <w:u w:val="double"/>
        </w:rPr>
        <w:t>{, the Delivery Point}</w:t>
      </w:r>
      <w:r>
        <w:rPr/>
        <w:t xml:space="preserve"> shall be on the Canadian  side of the international border at the interconnection of Alberta Natural Gas (ANG) and PG&amp;E Gas Transmission-Northwest</w:t>
      </w:r>
      <w:r>
        <w:rPr>
          <w:u w:val="double"/>
        </w:rPr>
        <w:t>{,}</w:t>
      </w:r>
      <w:r>
        <w:rPr/>
        <w:t xml:space="preserve"> where Buyer will take title of the Gas, </w:t>
      </w:r>
      <w:r>
        <w:rPr>
          <w:strike/>
        </w:rPr>
        <w:t>{unless otherwise agreed. The Delivery Point}</w:t>
      </w:r>
      <w:r>
        <w:rPr/>
        <w:t xml:space="preserve"> </w:t>
      </w:r>
      <w:r>
        <w:rPr>
          <w:u w:val="double"/>
        </w:rPr>
        <w:t>{and}</w:t>
      </w:r>
      <w:r>
        <w:rPr/>
        <w:t xml:space="preserve"> for any Gas sold and purchased at Huntington, British Columbia (or Sumas, Washington)</w:t>
      </w:r>
      <w:r>
        <w:rPr>
          <w:u w:val="double"/>
        </w:rPr>
        <w:t>{, the Delivery Point}</w:t>
      </w:r>
      <w:r>
        <w:rPr/>
        <w:t xml:space="preserve"> shall be on the Canadian side of the international border</w:t>
      </w:r>
      <w:r>
        <w:rPr>
          <w:u w:val="double"/>
        </w:rPr>
        <w:t>{,}</w:t>
      </w:r>
      <w:r>
        <w:rPr/>
        <w:t xml:space="preserve"> where Buyer will take title of the Gas</w:t>
      </w:r>
      <w:r>
        <w:rPr>
          <w:strike/>
        </w:rPr>
        <w:t>{, unless otherwise agreed}</w:t>
      </w:r>
      <w:r>
        <w:rPr/>
        <w:t xml:space="preserve">. </w:t>
      </w:r>
    </w:p>
    <w:p>
      <w:pPr>
        <w:pStyle w:val="Header"/>
        <w:keepNext w:val="true"/>
        <w:bidi w:val="0"/>
        <w:spacing w:lineRule="exact" w:line="360" w:before="120" w:after="0"/>
        <w:jc w:val="center"/>
        <w:rPr>
          <w:b/>
        </w:rPr>
      </w:pPr>
      <w:r>
        <w:rPr>
          <w:b/>
        </w:rPr>
        <w:t>Article 5</w:t>
      </w:r>
    </w:p>
    <w:p>
      <w:pPr>
        <w:pStyle w:val="Proforma"/>
        <w:bidi w:val="0"/>
        <w:spacing w:lineRule="exact" w:line="360" w:before="120" w:after="0"/>
        <w:rPr>
          <w:color w:val="000000"/>
        </w:rPr>
      </w:pPr>
      <w:bookmarkStart w:id="6" w:name="_Toc453051611"/>
      <w:bookmarkStart w:id="7" w:name="_Toc472239476"/>
      <w:r>
        <w:rPr>
          <w:color w:val="000000"/>
        </w:rPr>
        <w:t>QUANTITY</w:t>
      </w:r>
      <w:bookmarkEnd w:id="6"/>
      <w:bookmarkEnd w:id="7"/>
    </w:p>
    <w:p>
      <w:pPr>
        <w:pStyle w:val="BodyText3"/>
        <w:keepNext w:val="true"/>
        <w:bidi w:val="0"/>
        <w:spacing w:lineRule="exact" w:line="360" w:before="120" w:after="0"/>
        <w:rPr/>
      </w:pPr>
      <w:r>
        <w:rPr/>
        <w:t>5.1</w:t>
        <w:tab/>
        <w:t xml:space="preserve">Seller shall deliver and sell and Buyer shall receive and purchase the quantity of Gas in either MMBtu’s per day or Gigajoules per day, as mutually determined and agreed upon </w:t>
      </w:r>
      <w:r>
        <w:rPr>
          <w:strike/>
        </w:rPr>
        <w:t>{as set forth in a Confirmation Notice}</w:t>
      </w:r>
      <w:r>
        <w:rPr/>
        <w:t xml:space="preserve"> </w:t>
      </w:r>
      <w:r>
        <w:rPr>
          <w:u w:val="double"/>
        </w:rPr>
        <w:t>{by the Parties}</w:t>
      </w:r>
      <w:r>
        <w:rPr/>
        <w:t>.  Each Party will notify the other Party by telephone of any change in the quantities of Gas to be delivered or received.</w:t>
      </w:r>
    </w:p>
    <w:p>
      <w:pPr>
        <w:pStyle w:val="Normal"/>
        <w:bidi w:val="0"/>
        <w:spacing w:lineRule="exact" w:line="360" w:before="120" w:after="0"/>
        <w:ind w:hanging="0" w:start="0" w:end="0"/>
        <w:jc w:val="center"/>
        <w:rPr>
          <w:b/>
          <w:color w:val="000000"/>
        </w:rPr>
      </w:pPr>
      <w:r>
        <w:rPr>
          <w:b/>
          <w:color w:val="000000"/>
        </w:rPr>
        <w:t>Article 6</w:t>
      </w:r>
    </w:p>
    <w:p>
      <w:pPr>
        <w:pStyle w:val="Proforma"/>
        <w:bidi w:val="0"/>
        <w:spacing w:lineRule="exact" w:line="360" w:before="120" w:after="0"/>
        <w:rPr>
          <w:color w:val="000000"/>
        </w:rPr>
      </w:pPr>
      <w:bookmarkStart w:id="8" w:name="_Toc453051612"/>
      <w:bookmarkStart w:id="9" w:name="_Toc472239477"/>
      <w:r>
        <w:rPr>
          <w:color w:val="000000"/>
        </w:rPr>
        <w:t>PRICE</w:t>
      </w:r>
      <w:bookmarkEnd w:id="8"/>
      <w:bookmarkEnd w:id="9"/>
    </w:p>
    <w:p>
      <w:pPr>
        <w:pStyle w:val="BodyText3"/>
        <w:tabs>
          <w:tab w:val="left" w:pos="720" w:leader="none"/>
        </w:tabs>
        <w:bidi w:val="0"/>
        <w:spacing w:lineRule="exact" w:line="360" w:before="120" w:after="0"/>
        <w:rPr/>
      </w:pPr>
      <w:r>
        <w:rPr/>
        <w:t>6.1</w:t>
        <w:tab/>
        <w:t xml:space="preserve">Buyer shall pay Seller the mutually agreed Price for the agreed upon quantity of Gas delivered to Buyer or for Buyer's account at the Delivery Point.  This price shall be paid in the currency </w:t>
      </w:r>
      <w:r>
        <w:rPr>
          <w:strike/>
        </w:rPr>
        <w:t>{set forth in the a Confirmation Notice}</w:t>
      </w:r>
      <w:r>
        <w:rPr/>
        <w:t xml:space="preserve"> </w:t>
      </w:r>
      <w:r>
        <w:rPr>
          <w:u w:val="double"/>
        </w:rPr>
        <w:t>{agreed upon by the Parties at the time of entering the Transaction}</w:t>
      </w:r>
      <w:r>
        <w:rPr/>
        <w:t xml:space="preserve"> and shall be inclusive of all fees, expenses, and taxes applicable to the production, acquisition, transportation, and processing attributable to the Gas upstream of and up to the Delivery Point.</w:t>
      </w:r>
    </w:p>
    <w:p>
      <w:pPr>
        <w:pStyle w:val="BodyText3"/>
        <w:tabs>
          <w:tab w:val="left" w:pos="720" w:leader="none"/>
        </w:tabs>
        <w:bidi w:val="0"/>
        <w:spacing w:lineRule="exact" w:line="360" w:before="120" w:after="0"/>
        <w:rPr/>
      </w:pPr>
      <w:r>
        <w:rPr/>
        <w:t>6.2</w:t>
        <w:tab/>
        <w:t xml:space="preserve">Seller shall pay or cause to be paid all taxes, fees, levies, penalties, licenses or charges imposed by any Government Authority </w:t>
      </w:r>
      <w:r>
        <w:rPr>
          <w:strike/>
        </w:rPr>
        <w:t>{(“Taxes”)}</w:t>
      </w:r>
      <w:r>
        <w:rPr>
          <w:u w:val="double"/>
        </w:rPr>
        <w:t>{("Taxes")}</w:t>
      </w:r>
      <w:r>
        <w:rPr/>
        <w:t xml:space="preserve">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p>
      <w:pPr>
        <w:pStyle w:val="BodyText3"/>
        <w:bidi w:val="0"/>
        <w:spacing w:lineRule="exact" w:line="360" w:before="120" w:after="0"/>
        <w:rPr/>
      </w:pPr>
      <w:r>
        <w:rPr/>
        <w:t>6.3</w:t>
        <w:tab/>
        <w:t xml:space="preserve">For Gas delivered to Buyer in Canada, Buyer will pay to Seller the GST on a monthly basis in addition to the Price of the Gas, if required by law.  Buyer agrees that any Gas </w:t>
      </w:r>
      <w:r>
        <w:rPr>
          <w:strike/>
        </w:rPr>
        <w:t>{“zero rated”}</w:t>
      </w:r>
      <w:r>
        <w:rPr>
          <w:u w:val="double"/>
        </w:rPr>
        <w:t>{"zero rated"}</w:t>
      </w:r>
      <w:r>
        <w:rPr/>
        <w:t xml:space="preserve"> for purposes of GST will be exported from Canada by Buyer.  Upon request, Buyer shall provide Seller with exemption certificate(s) or proof of export from Canada in a form acceptable to the appropriate Taxing Authority for tax-exempt or zero-rated sales of Gas under any </w:t>
      </w:r>
      <w:r>
        <w:rPr>
          <w:strike/>
        </w:rPr>
        <w:t>{Confirmation Notice}</w:t>
      </w:r>
      <w:r>
        <w:rPr/>
        <w:t xml:space="preserve"> </w:t>
      </w:r>
      <w:r>
        <w:rPr>
          <w:u w:val="double"/>
        </w:rPr>
        <w:t>{Transaction}</w:t>
      </w:r>
      <w:r>
        <w:rPr/>
        <w:t xml:space="preserve"> hereunder.  Seller shall remit GST in the manner prescribed by law, provide suitable evidence of that remittance to the Buyer, and use commercially reasonable efforts to cooperate with Buyer’s efforts to obtain a GST refund. </w:t>
      </w:r>
    </w:p>
    <w:p>
      <w:pPr>
        <w:pStyle w:val="Header"/>
        <w:bidi w:val="0"/>
        <w:spacing w:lineRule="exact" w:line="360" w:before="120" w:after="0"/>
        <w:jc w:val="center"/>
        <w:rPr>
          <w:b/>
        </w:rPr>
      </w:pPr>
      <w:r>
        <w:rPr>
          <w:b/>
        </w:rPr>
        <w:t>Article 7</w:t>
      </w:r>
    </w:p>
    <w:p>
      <w:pPr>
        <w:pStyle w:val="Proforma"/>
        <w:bidi w:val="0"/>
        <w:spacing w:lineRule="exact" w:line="360" w:before="120" w:after="0"/>
        <w:rPr>
          <w:color w:val="000000"/>
        </w:rPr>
      </w:pPr>
      <w:bookmarkStart w:id="10" w:name="_Toc453051613"/>
      <w:bookmarkStart w:id="11" w:name="_Toc472239478"/>
      <w:r>
        <w:rPr>
          <w:color w:val="000000"/>
        </w:rPr>
        <w:t>PAYMENTS</w:t>
      </w:r>
      <w:bookmarkEnd w:id="10"/>
      <w:bookmarkEnd w:id="11"/>
    </w:p>
    <w:p>
      <w:pPr>
        <w:pStyle w:val="BodyText3"/>
        <w:bidi w:val="0"/>
        <w:spacing w:lineRule="exact" w:line="360" w:before="120" w:after="0"/>
        <w:rPr>
          <w:color w:val="000000"/>
        </w:rPr>
      </w:pPr>
      <w:r>
        <w:rPr/>
        <w:t>7.1</w:t>
        <w:tab/>
      </w:r>
      <w:r>
        <w:rPr>
          <w:color w:val="000000"/>
        </w:rPr>
        <w:t>On or before the fifteenth (15th) day of each calendar month, Seller shall render to Buyer an invoice stating the total quantity of Gas delivered during the immediately preceding month, the amount due, and if applicable, Seller's GST number and the amount of GST due.  Buyer</w:t>
      </w:r>
      <w:r>
        <w:rPr>
          <w:strike/>
          <w:color w:val="000000"/>
        </w:rPr>
        <w:t>{, subject to receiving a confirming statement from Buyer's Transporter for the quantity of Gas actually delivered,}</w:t>
      </w:r>
      <w:r>
        <w:rPr>
          <w:color w:val="000000"/>
        </w:rPr>
        <w:t xml:space="preserve"> shall pay Seller the amount due on or before the twenty-fifth (25th) day of each month or, if the 25th falls on a weekend and/or holiday, by the first Business Day prior to the 25th (Due Date).  However, if Seller’s invoice is not received by the 15th, the Due Date for any GST portion of the payment shall be ten (10) Business Days after a complete invoice is received.  Payment will be made by electronic transfer of funds (wire transfer, automated clearinghouse transfer, or other method as mutually agreed).  Payment deadlines shall be deemed met when the electronic transfer is initiated by Buyer's financial agent to Seller or Seller's designee in accordance with Seller's Payment information in Article 15, </w:t>
      </w:r>
      <w:r>
        <w:rPr>
          <w:color w:val="000000"/>
          <w:u w:val="single"/>
        </w:rPr>
        <w:t>Notices</w:t>
      </w:r>
      <w:r>
        <w:rPr>
          <w:color w:val="000000"/>
        </w:rPr>
        <w:t xml:space="preserve">, on or before the Due Date.  If </w:t>
      </w:r>
      <w:r>
        <w:rPr>
          <w:strike/>
          <w:color w:val="000000"/>
        </w:rPr>
        <w:t>{Buyer’s Transporter’s confirming statement is not available to Buyer by the fifteenth (15) day of the month, then Buyer will pay Seller based on}</w:t>
      </w:r>
      <w:r>
        <w:rPr>
          <w:color w:val="000000"/>
        </w:rPr>
        <w:t xml:space="preserve"> </w:t>
      </w:r>
      <w:r>
        <w:rPr>
          <w:color w:val="000000"/>
          <w:u w:val="double"/>
        </w:rPr>
        <w:t>{actual quantities are not available by the billing date, billing and payment will be prepared based upon the}</w:t>
      </w:r>
      <w:r>
        <w:rPr>
          <w:color w:val="000000"/>
        </w:rPr>
        <w:t xml:space="preserve"> scheduled contract quantities </w:t>
      </w:r>
      <w:r>
        <w:rPr>
          <w:strike/>
          <w:color w:val="000000"/>
        </w:rPr>
        <w:t>{or good faith estimates of such quantities}</w:t>
      </w:r>
      <w:r>
        <w:rPr>
          <w:color w:val="000000"/>
        </w:rPr>
        <w:t>.  In such event, the  payment (or refund) shall be made on actual quantities  in the following month, or as soon reasonably thereafter as actual quantities are available.</w:t>
      </w:r>
    </w:p>
    <w:p>
      <w:pPr>
        <w:pStyle w:val="BodyText3"/>
        <w:bidi w:val="0"/>
        <w:spacing w:lineRule="exact" w:line="360" w:before="120" w:after="0"/>
        <w:rPr>
          <w:color w:val="000000"/>
        </w:rPr>
      </w:pPr>
      <w:r>
        <w:rPr/>
        <w:t>7.2</w:t>
        <w:tab/>
      </w:r>
      <w:r>
        <w:rPr>
          <w:color w:val="000000"/>
        </w:rPr>
        <w:t xml:space="preserve">Buyer and Seller agree that their respective  Transporters will follow their own allocation procedures based on Buyer and Seller’s nomination process for gas receipts and deliveries.  Accordingly, for payment purposes, Buyer and Seller agree to pay for gas delivered under the Transporter’s allocations.  </w:t>
      </w:r>
    </w:p>
    <w:p>
      <w:pPr>
        <w:pStyle w:val="BodyText3"/>
        <w:bidi w:val="0"/>
        <w:spacing w:lineRule="exact" w:line="360" w:before="120" w:after="0"/>
        <w:rPr>
          <w:color w:val="000000"/>
        </w:rPr>
      </w:pPr>
      <w:r>
        <w:rPr/>
        <w:t>7.3</w:t>
        <w:tab/>
      </w:r>
      <w:r>
        <w:rPr>
          <w:color w:val="000000"/>
        </w:rPr>
        <w:t xml:space="preserve">In the event either Party shall fail to pay any amount due the other Party hereto when the same is due, interest thereon shall accrue at the lesser of the maximum lawful rate, or the rate per annum equal to the Bank of America 'Reference Rate' for interest (per annum) on the first day of the calendar month of the Due Date plus 2% </w:t>
      </w:r>
      <w:r>
        <w:rPr>
          <w:color w:val="000000"/>
          <w:u w:val="double"/>
        </w:rPr>
        <w:t>{per annum (the "Interest Rate")}</w:t>
      </w:r>
      <w:r>
        <w:rPr>
          <w:color w:val="000000"/>
        </w:rPr>
        <w:t xml:space="preserve">, from the date the unpaid amount was due until paid.  However, interest shall not accrue if the failure to make a payment or an adjustment to a previous statement is the result of </w:t>
      </w:r>
      <w:r>
        <w:rPr>
          <w:strike/>
          <w:color w:val="000000"/>
        </w:rPr>
        <w:t>{(i) a delay or adjustment of Buyer's Transporter’s statement or report, (ii)}</w:t>
      </w:r>
      <w:r>
        <w:rPr>
          <w:color w:val="000000"/>
        </w:rPr>
        <w:t xml:space="preserve"> an error, as described in </w:t>
      </w:r>
      <w:r>
        <w:rPr>
          <w:strike/>
          <w:color w:val="000000"/>
        </w:rPr>
        <w:t>{Sections 7.4 and 7.5 herein, or (iii) the action of a Governmental Authority, unless the payment of interest is so mandated by the Governmental Authority.}</w:t>
      </w:r>
      <w:r>
        <w:rPr>
          <w:color w:val="000000"/>
        </w:rPr>
        <w:t xml:space="preserve"> </w:t>
      </w:r>
      <w:r>
        <w:rPr>
          <w:color w:val="000000"/>
          <w:u w:val="double"/>
        </w:rPr>
        <w:t>{Section 7.4 herein.}</w:t>
      </w:r>
    </w:p>
    <w:p>
      <w:pPr>
        <w:pStyle w:val="BodyText3"/>
        <w:bidi w:val="0"/>
        <w:spacing w:lineRule="exact" w:line="360" w:before="120" w:after="0"/>
        <w:rPr>
          <w:strike/>
        </w:rPr>
      </w:pPr>
      <w:r>
        <w:rPr>
          <w:strike/>
        </w:rPr>
        <w:t>{7.4 Payments for Gas purchased hereunder shall be made in accordance with Buyer's Transporter's statements. If either Party believes, in good faith, there is an error in Buyer's Transporter’s statement, Buyer shall pay in full based on Buyer's Transporter's statement, and both Parties shall endeavor in good faith to resolve any such error with Buyer's Transporter.</w:t>
      </w:r>
    </w:p>
    <w:p>
      <w:pPr>
        <w:pStyle w:val="BodyText3"/>
        <w:bidi w:val="0"/>
        <w:spacing w:lineRule="exact" w:line="360" w:before="120" w:after="0"/>
        <w:rPr>
          <w:color w:val="000000"/>
        </w:rPr>
      </w:pPr>
      <w:r>
        <w:rPr>
          <w:strike/>
        </w:rPr>
        <w:t>7.5}</w:t>
      </w:r>
      <w:r>
        <w:rPr/>
        <w:t xml:space="preserve"> </w:t>
      </w:r>
      <w:r>
        <w:rPr>
          <w:u w:val="double"/>
        </w:rPr>
        <w:t>{7.4}</w:t>
      </w:r>
      <w:r>
        <w:rPr/>
        <w:tab/>
      </w:r>
      <w:r>
        <w:rPr>
          <w:color w:val="000000"/>
        </w:rPr>
        <w:t xml:space="preserve">In the event an error is discovered in a payment rendered hereunder, an appropriate </w:t>
      </w:r>
      <w:r>
        <w:rPr>
          <w:strike/>
          <w:color w:val="000000"/>
        </w:rPr>
        <w:t>{correct}</w:t>
      </w:r>
      <w:r>
        <w:rPr>
          <w:color w:val="000000"/>
        </w:rPr>
        <w:t xml:space="preserve"> </w:t>
      </w:r>
      <w:r>
        <w:rPr>
          <w:color w:val="000000"/>
          <w:u w:val="double"/>
        </w:rPr>
        <w:t>{correcting}</w:t>
      </w:r>
      <w:r>
        <w:rPr>
          <w:color w:val="000000"/>
        </w:rPr>
        <w:t xml:space="preserve"> payment or refund shall be made.  Claims for errors shall be made promptly and in writing, but in no event more than one year after the month of delivery, however, any refund and/or adjustment resulting from the orders, rules or regulations issued by a Governmental Authority shall be made promptly in accordance with such orders, rules, or regulations.</w:t>
      </w:r>
    </w:p>
    <w:p>
      <w:pPr>
        <w:pStyle w:val="BodyText3"/>
        <w:bidi w:val="0"/>
        <w:spacing w:lineRule="exact" w:line="360" w:before="120" w:after="0"/>
        <w:rPr>
          <w:color w:val="000000"/>
        </w:rPr>
      </w:pPr>
      <w:r>
        <w:rPr>
          <w:strike/>
        </w:rPr>
        <w:t>{7.6}</w:t>
      </w:r>
      <w:r>
        <w:rPr/>
        <w:t xml:space="preserve"> </w:t>
      </w:r>
      <w:r>
        <w:rPr>
          <w:u w:val="double"/>
        </w:rPr>
        <w:t>{7.5}</w:t>
      </w:r>
      <w:r>
        <w:rPr/>
        <w:tab/>
      </w:r>
      <w:r>
        <w:rPr>
          <w:color w:val="000000"/>
        </w:rPr>
        <w:t xml:space="preserve">Each Party hereto shall have the right during normal business hours to examine the books and records of the other only to the extent necessary to verify the accuracy of any statement, charge, computation, payment, or demand made under this Agreement.  Except as provided for herein, neither Party is required to disclose to the other Party, any information or data that it deems confidential or proprietary in its sole, good faith discretion.  Any information that either Party discloses which it considers to be confidential shall be marked "CONFIDENTIAL".  The other Party agrees that such confidential information shall be used solely for the purposes specified in this Agreement and shall not be disclosed to any third Party except as provided for in Article 17, </w:t>
      </w:r>
      <w:r>
        <w:rPr>
          <w:color w:val="000000"/>
          <w:u w:val="single"/>
        </w:rPr>
        <w:t>Miscellaneous</w:t>
      </w:r>
      <w:r>
        <w:rPr>
          <w:color w:val="000000"/>
        </w:rPr>
        <w:t>, herein.</w:t>
      </w:r>
    </w:p>
    <w:p>
      <w:pPr>
        <w:pStyle w:val="BodyText3"/>
        <w:bidi w:val="0"/>
        <w:spacing w:lineRule="exact" w:line="360" w:before="120" w:after="0"/>
        <w:rPr/>
      </w:pPr>
      <w:r>
        <w:rPr>
          <w:strike/>
        </w:rPr>
        <w:t>{7.7}</w:t>
      </w:r>
      <w:r>
        <w:rPr/>
        <w:t xml:space="preserve"> </w:t>
      </w:r>
      <w:r>
        <w:rPr>
          <w:u w:val="double"/>
        </w:rPr>
        <w:t>{7.6}</w:t>
      </w:r>
      <w:r>
        <w:rPr/>
        <w:tab/>
      </w:r>
      <w:r>
        <w:rPr>
          <w:color w:val="000000"/>
        </w:rPr>
        <w:t xml:space="preserve">If </w:t>
      </w:r>
      <w:r>
        <w:rPr>
          <w:strike/>
          <w:color w:val="000000"/>
        </w:rPr>
        <w:t>{monthly}</w:t>
      </w:r>
      <w:r>
        <w:rPr>
          <w:color w:val="000000"/>
        </w:rPr>
        <w:t xml:space="preserve"> payments </w:t>
      </w:r>
      <w:r>
        <w:rPr>
          <w:strike/>
          <w:color w:val="000000"/>
        </w:rPr>
        <w:t>{for Gas deliveries}</w:t>
      </w:r>
      <w:r>
        <w:rPr>
          <w:color w:val="000000"/>
        </w:rPr>
        <w:t xml:space="preserve"> are due from one Party to the other Party under this Agreement, such payments (the </w:t>
      </w:r>
      <w:r>
        <w:rPr>
          <w:strike/>
          <w:color w:val="000000"/>
        </w:rPr>
        <w:t>{“net settlement”}</w:t>
      </w:r>
      <w:r>
        <w:rPr>
          <w:color w:val="000000"/>
          <w:u w:val="double"/>
        </w:rPr>
        <w:t>{"net settlement"}</w:t>
      </w:r>
      <w:r>
        <w:rPr>
          <w:color w:val="000000"/>
        </w:rPr>
        <w:t xml:space="preserve"> of account balances) may be offset by amounts due from and not yet paid by said other Party under this Agreement so that the Party having the larger total payment obligation shall pay the net amount due to the other Party, provided that adequate documentation is provided by the paying Party with the net payment which indicates the amount owed to the paying Party has been offset.</w:t>
      </w:r>
    </w:p>
    <w:p>
      <w:pPr>
        <w:pStyle w:val="Header"/>
        <w:keepNext w:val="true"/>
        <w:bidi w:val="0"/>
        <w:spacing w:lineRule="exact" w:line="360" w:before="120" w:after="0"/>
        <w:jc w:val="center"/>
        <w:rPr>
          <w:b/>
        </w:rPr>
      </w:pPr>
      <w:r>
        <w:rPr>
          <w:b/>
        </w:rPr>
        <w:t>Article 8</w:t>
      </w:r>
    </w:p>
    <w:p>
      <w:pPr>
        <w:pStyle w:val="Proforma"/>
        <w:bidi w:val="0"/>
        <w:spacing w:lineRule="exact" w:line="360" w:before="120" w:after="0"/>
        <w:rPr>
          <w:color w:val="000000"/>
        </w:rPr>
      </w:pPr>
      <w:bookmarkStart w:id="12" w:name="_Toc453051614"/>
      <w:bookmarkStart w:id="13" w:name="_Toc472239479"/>
      <w:r>
        <w:rPr>
          <w:color w:val="000000"/>
        </w:rPr>
        <w:t>FINANCIAL RESPONSIBILITY</w:t>
      </w:r>
      <w:bookmarkEnd w:id="12"/>
      <w:bookmarkEnd w:id="13"/>
    </w:p>
    <w:p>
      <w:pPr>
        <w:pStyle w:val="BodyText3"/>
        <w:keepNext w:val="true"/>
        <w:bidi w:val="0"/>
        <w:spacing w:lineRule="exact" w:line="360" w:before="120" w:after="0"/>
        <w:rPr/>
      </w:pPr>
      <w:r>
        <w:rPr/>
        <w:t>8.1</w:t>
        <w:tab/>
        <w:t xml:space="preserve">Each Party shall meet or exceed the other’s credit requirements during the term of this Agreement, and shall provide any financial information as requested by the other Party for the purposes of establishing creditworthiness.  Either Party may require a payment guarantee or parent company’s guarantee, in form and substance acceptable to the requesting Party, and such guarantee shall be construed and enforced under the laws of the State of </w:t>
      </w:r>
      <w:r>
        <w:rPr>
          <w:strike/>
        </w:rPr>
        <w:t>{California.}</w:t>
      </w:r>
      <w:r>
        <w:rPr/>
        <w:t xml:space="preserve"> </w:t>
      </w:r>
      <w:r>
        <w:rPr>
          <w:u w:val="double"/>
        </w:rPr>
        <w:t>{Texas (with respect to any guarantee provided on behalf of Company) or the State of California (with respect to any guarantee provided on behalf of PG&amp;E Core).}</w:t>
      </w:r>
    </w:p>
    <w:p>
      <w:pPr>
        <w:pStyle w:val="BodyText3"/>
        <w:bidi w:val="0"/>
        <w:spacing w:lineRule="exact" w:line="360" w:before="120" w:after="0"/>
        <w:rPr>
          <w:color w:val="000000"/>
        </w:rPr>
      </w:pPr>
      <w:r>
        <w:rPr>
          <w:strike/>
        </w:rPr>
        <w:t>{8.2 If aParty}</w:t>
      </w:r>
      <w:r>
        <w:rPr/>
        <w:t xml:space="preserve"> </w:t>
      </w:r>
      <w:r>
        <w:rPr>
          <w:u w:val="double"/>
        </w:rPr>
        <w:t>{8.2</w:t>
      </w:r>
      <w:r>
        <w:rPr/>
        <w:tab/>
      </w:r>
      <w:r>
        <w:rPr>
          <w:color w:val="000000"/>
          <w:u w:val="double"/>
        </w:rPr>
        <w:t>If a Party}</w:t>
      </w:r>
      <w:r>
        <w:rPr>
          <w:color w:val="000000"/>
        </w:rPr>
        <w:t xml:space="preserve"> fails to meet the other Party’s credit requirements,</w:t>
      </w:r>
      <w:r>
        <w:rPr>
          <w:strike/>
          <w:color w:val="000000"/>
        </w:rPr>
        <w:t>{,}</w:t>
      </w:r>
      <w:r>
        <w:rPr>
          <w:color w:val="000000"/>
        </w:rPr>
        <w:t xml:space="preserve"> or when reasonable grounds for insecurity of payment arise, either Party may demand adequate assurance(s) of payment.  Adequate assurance </w:t>
      </w:r>
      <w:r>
        <w:rPr>
          <w:strike/>
          <w:color w:val="000000"/>
        </w:rPr>
        <w:t>{is}</w:t>
      </w:r>
      <w:r>
        <w:rPr>
          <w:color w:val="000000"/>
        </w:rPr>
        <w:t xml:space="preserve"> </w:t>
      </w:r>
      <w:r>
        <w:rPr>
          <w:color w:val="000000"/>
          <w:u w:val="double"/>
        </w:rPr>
        <w:t>{means}</w:t>
      </w:r>
      <w:r>
        <w:rPr>
          <w:color w:val="000000"/>
        </w:rPr>
        <w:t xml:space="preserve"> sufficient security for the term  </w:t>
      </w:r>
      <w:r>
        <w:rPr>
          <w:strike/>
          <w:color w:val="000000"/>
        </w:rPr>
        <w:t>{specified in}</w:t>
      </w:r>
      <w:r>
        <w:rPr>
          <w:color w:val="000000"/>
        </w:rPr>
        <w:t xml:space="preserve"> </w:t>
      </w:r>
      <w:r>
        <w:rPr>
          <w:color w:val="000000"/>
          <w:u w:val="double"/>
        </w:rPr>
        <w:t>{of any Transaction under}</w:t>
      </w:r>
      <w:r>
        <w:rPr>
          <w:color w:val="000000"/>
        </w:rPr>
        <w:t xml:space="preserve"> this Agreement </w:t>
      </w:r>
      <w:r>
        <w:rPr>
          <w:strike/>
          <w:color w:val="000000"/>
        </w:rPr>
        <w:t>{or in an applicable Confirmation Notice,}</w:t>
      </w:r>
      <w:r>
        <w:rPr>
          <w:color w:val="000000"/>
        </w:rPr>
        <w:t xml:space="preserve"> and may include, but not </w:t>
      </w:r>
      <w:r>
        <w:rPr>
          <w:strike/>
          <w:color w:val="000000"/>
        </w:rPr>
        <w:t>{be}</w:t>
      </w:r>
      <w:r>
        <w:rPr>
          <w:color w:val="000000"/>
        </w:rPr>
        <w:t xml:space="preserve"> limited to, a standby irrevocable letter of credit, a prepayment, a security in an asset acceptable to the other Party or a guarantee by a creditworthy entity in form and substance acceptable to the Party to be assured</w:t>
      </w:r>
      <w:r>
        <w:rPr>
          <w:strike/>
          <w:color w:val="000000"/>
        </w:rPr>
        <w:t>{. The Parties acknowledge that during the period that a Party may be a debtor in a bankruptcy proceeding, that a bankruptcy court may be required to approve any security interest or liens on the debtor’s property provided which may be provided as security or adequate assurance. Further provided that, after a Transaction has been entered into, a Party may not demand adequate assurances for performance thereunder, unless the Party from whom assurance is requested has similarly, after the Transaction was entered into, undergone a material change in its financial condition or its ability to perform hereunder.}</w:t>
      </w:r>
      <w:r>
        <w:rPr>
          <w:color w:val="000000"/>
          <w:u w:val="double"/>
        </w:rPr>
        <w:t>{, provided that: (a) Enron Canada shall only be required to provide assurances of payment in the event that Enron Canada's net exposure to PG&amp;E Core under all Transactions under this Agreement exceeds U.S. $</w:t>
      </w:r>
      <w:r>
        <w:rPr>
          <w:b/>
          <w:color w:val="000000"/>
          <w:u w:val="double"/>
        </w:rPr>
        <w:t>[</w:t>
      </w:r>
      <w:r>
        <w:rPr>
          <w:rFonts w:eastAsia="Symbol" w:cs="Symbol" w:ascii="Symbol" w:hAnsi="Symbol"/>
          <w:b/>
          <w:color w:val="000000"/>
        </w:rPr>
        <w:sym w:font="Symbol" w:char="b7"/>
      </w:r>
      <w:r>
        <w:rPr>
          <w:b/>
          <w:color w:val="000000"/>
          <w:u w:val="double"/>
        </w:rPr>
        <w:t>]</w:t>
      </w:r>
      <w:r>
        <w:rPr>
          <w:color w:val="000000"/>
        </w:rPr>
        <w:t xml:space="preserve"> </w:t>
      </w:r>
      <w:r>
        <w:rPr>
          <w:color w:val="000000"/>
          <w:u w:val="double"/>
        </w:rPr>
        <w:t>million; and (b) PG&amp;E Core shall only be required to provide assurances of payment in the event that PG&amp;E Core's net exposure to Enron Canada under all Transactions under this Agreement exceeds U.S. $</w:t>
      </w:r>
      <w:r>
        <w:rPr>
          <w:b/>
          <w:color w:val="000000"/>
          <w:u w:val="double"/>
        </w:rPr>
        <w:t>[</w:t>
      </w:r>
      <w:r>
        <w:rPr>
          <w:rFonts w:eastAsia="Symbol" w:cs="Symbol" w:ascii="Symbol" w:hAnsi="Symbol"/>
          <w:b/>
          <w:color w:val="000000"/>
        </w:rPr>
        <w:sym w:font="Symbol" w:char="b7"/>
      </w:r>
      <w:r>
        <w:rPr>
          <w:b/>
          <w:color w:val="000000"/>
          <w:u w:val="double"/>
        </w:rPr>
        <w:t>]</w:t>
      </w:r>
      <w:r>
        <w:rPr>
          <w:color w:val="000000"/>
        </w:rPr>
        <w:t xml:space="preserve"> </w:t>
      </w:r>
      <w:r>
        <w:rPr>
          <w:color w:val="000000"/>
          <w:u w:val="double"/>
        </w:rPr>
        <w:t>million.}</w:t>
      </w:r>
    </w:p>
    <w:p>
      <w:pPr>
        <w:pStyle w:val="BodyText3"/>
        <w:bidi w:val="0"/>
        <w:spacing w:lineRule="exact" w:line="360" w:before="120" w:after="0"/>
        <w:rPr>
          <w:b/>
          <w:color w:val="000000"/>
          <w:u w:val="double"/>
        </w:rPr>
      </w:pPr>
      <w:r>
        <w:rPr>
          <w:color w:val="000000"/>
        </w:rPr>
        <w:tab/>
      </w:r>
      <w:r>
        <w:rPr>
          <w:b/>
          <w:strike/>
          <w:color w:val="000000"/>
        </w:rPr>
        <w:t>{8.3 To the extent not inconsistent with any order of a bankruptcy court if}</w:t>
      </w:r>
      <w:r>
        <w:rPr>
          <w:b/>
          <w:color w:val="000000"/>
          <w:u w:val="double"/>
        </w:rPr>
        <w:t>{[NTD:  Credit thresholds to be determined by Enron and PG&amp;E Credit Departments.  Also, Credit may require a MAC concept.]</w:t>
      </w:r>
    </w:p>
    <w:p>
      <w:pPr>
        <w:pStyle w:val="BodyText3"/>
        <w:bidi w:val="0"/>
        <w:spacing w:lineRule="exact" w:line="360" w:before="120" w:after="0"/>
        <w:rPr/>
      </w:pPr>
      <w:r>
        <w:rPr>
          <w:u w:val="double"/>
        </w:rPr>
        <w:t>8.3</w:t>
      </w:r>
      <w:r>
        <w:rPr/>
        <w:tab/>
      </w:r>
      <w:r>
        <w:rPr>
          <w:color w:val="000000"/>
          <w:u w:val="double"/>
        </w:rPr>
        <w:t>If}</w:t>
      </w:r>
      <w:r>
        <w:rPr>
          <w:color w:val="000000"/>
        </w:rPr>
        <w:t xml:space="preserve"> either Party fails to give adequate assurances or satisfactory security to the other Party</w:t>
      </w:r>
      <w:r>
        <w:rPr>
          <w:color w:val="000000"/>
          <w:u w:val="double"/>
        </w:rPr>
        <w:t>{, as contemplated in Section 8.2 above,}</w:t>
      </w:r>
      <w:r>
        <w:rPr>
          <w:color w:val="000000"/>
        </w:rPr>
        <w:t xml:space="preserve"> within five (5) Business Days of a </w:t>
      </w:r>
      <w:r>
        <w:rPr>
          <w:strike/>
          <w:color w:val="000000"/>
        </w:rPr>
        <w:t>{reasonable}</w:t>
      </w:r>
      <w:r>
        <w:rPr>
          <w:color w:val="000000"/>
        </w:rPr>
        <w:t xml:space="preserve"> request by the other Party, then the other Party may suspend, or refuse to enter into, any and all Transactions, until such time that credit is established to the other Party’s satisfaction, or such Party may terminate this Agreement upon  prior written notice of at least two (2) Business Days.  Such termination will not release either  Party of any prior or outstanding obligations.  </w:t>
      </w:r>
      <w:r>
        <w:rPr>
          <w:color w:val="000000"/>
          <w:u w:val="double"/>
        </w:rPr>
        <w:t>{If during the pendency of the Bankruptcy Case, the grant of satisfactory security by PG&amp;E Core shall require the approval of the Bankruptcy Court, PG&amp;E Core shall file the motion seeking such approval on an expedited basis within two (2) Business Days from a request by the Company pursuant to this Section.  If an order approving the grant of security by PG&amp;E Core is not entered by the Bankruptcy Court within eight (8) Business Days of the request by the Company, then the Company may take such action as it would be entitled to take under this Section if PG&amp;E Core had failed to otherwise timely give adequate assurances or satisfactory security.}</w:t>
      </w:r>
      <w:r>
        <w:rPr>
          <w:color w:val="000000"/>
        </w:rPr>
        <w:t xml:space="preserve"> </w:t>
      </w:r>
    </w:p>
    <w:p>
      <w:pPr>
        <w:pStyle w:val="Normal"/>
        <w:keepNext w:val="true"/>
        <w:bidi w:val="0"/>
        <w:spacing w:lineRule="exact" w:line="360" w:before="120" w:after="0"/>
        <w:ind w:hanging="0" w:start="0" w:end="0"/>
        <w:jc w:val="center"/>
        <w:rPr>
          <w:b/>
          <w:color w:val="000000"/>
        </w:rPr>
      </w:pPr>
      <w:r>
        <w:rPr>
          <w:b/>
          <w:color w:val="000000"/>
        </w:rPr>
        <w:t>Article 9</w:t>
      </w:r>
    </w:p>
    <w:p>
      <w:pPr>
        <w:pStyle w:val="Proforma"/>
        <w:bidi w:val="0"/>
        <w:spacing w:lineRule="exact" w:line="360" w:before="120" w:after="0"/>
        <w:rPr>
          <w:color w:val="000000"/>
        </w:rPr>
      </w:pPr>
      <w:bookmarkStart w:id="14" w:name="_Toc453051615"/>
      <w:bookmarkStart w:id="15" w:name="_Toc472239480"/>
      <w:r>
        <w:rPr>
          <w:color w:val="000000"/>
        </w:rPr>
        <w:t>WARRANTY, TITLE AND INDEMNITY</w:t>
      </w:r>
      <w:bookmarkEnd w:id="14"/>
      <w:bookmarkEnd w:id="15"/>
    </w:p>
    <w:p>
      <w:pPr>
        <w:pStyle w:val="BodyText3"/>
        <w:keepNext w:val="true"/>
        <w:bidi w:val="0"/>
        <w:spacing w:lineRule="exact" w:line="360" w:before="120" w:after="0"/>
        <w:rPr/>
      </w:pPr>
      <w:r>
        <w:rPr/>
        <w:t>9.1</w:t>
        <w:tab/>
        <w:t xml:space="preserve">Title to the Gas shall pass from Seller to Buyer at the Delivery Point.  Seller warrants it will have the right to sell the Gas delivered hereunder, that the title on such Gas will be free from liens and adverse claims of every kind, and that it will indemnify, protect, and hold Buyer harmless from and against any and all adverse claims or encumbrances on said Gas which claims arise or charges attach before </w:t>
      </w:r>
      <w:r>
        <w:rPr>
          <w:strike/>
        </w:rPr>
        <w:t>{Title}</w:t>
      </w:r>
      <w:r>
        <w:rPr/>
        <w:t xml:space="preserve"> </w:t>
      </w:r>
      <w:r>
        <w:rPr>
          <w:u w:val="double"/>
        </w:rPr>
        <w:t>{title}</w:t>
      </w:r>
      <w:r>
        <w:rPr/>
        <w:t xml:space="preserve"> passes to Buyer, notwithstanding that such claims or charges may be asserted after </w:t>
      </w:r>
      <w:r>
        <w:rPr>
          <w:strike/>
        </w:rPr>
        <w:t>{Title}</w:t>
      </w:r>
      <w:r>
        <w:rPr/>
        <w:t xml:space="preserve"> </w:t>
      </w:r>
      <w:r>
        <w:rPr>
          <w:u w:val="double"/>
        </w:rPr>
        <w:t>{title}</w:t>
      </w:r>
      <w:r>
        <w:rPr/>
        <w:t xml:space="preserve"> passes.  Seller shall be deemed to be in exclusive control and possession of the Gas and responsible for any damage or injury caused thereby until the Gas has been delivered to Buyer</w:t>
      </w:r>
      <w:r>
        <w:rPr>
          <w:strike/>
        </w:rPr>
        <w:t>{,}</w:t>
      </w:r>
      <w:r>
        <w:rPr/>
        <w:t xml:space="preserve"> or </w:t>
      </w:r>
      <w:r>
        <w:rPr>
          <w:strike/>
        </w:rPr>
        <w:t>{for}</w:t>
      </w:r>
      <w:r>
        <w:rPr/>
        <w:t xml:space="preserve"> Buyer’s </w:t>
      </w:r>
      <w:r>
        <w:rPr>
          <w:strike/>
        </w:rPr>
        <w:t>{account}</w:t>
      </w:r>
      <w:r>
        <w:rPr/>
        <w:t xml:space="preserve"> </w:t>
      </w:r>
      <w:r>
        <w:rPr>
          <w:u w:val="double"/>
        </w:rPr>
        <w:t>{Transporter}</w:t>
      </w:r>
      <w:r>
        <w:rPr/>
        <w:t xml:space="preserve">, at the Delivery Point.  In addition, Seller warrants that it will have any governmental authorizations required for the delivery and sale of said Gas at the Delivery Point.  </w:t>
      </w:r>
    </w:p>
    <w:p>
      <w:pPr>
        <w:pStyle w:val="BodyText3"/>
        <w:bidi w:val="0"/>
        <w:spacing w:lineRule="exact" w:line="360" w:before="120" w:after="0"/>
        <w:rPr/>
      </w:pPr>
      <w:r>
        <w:rPr/>
        <w:t>9.2</w:t>
        <w:tab/>
      </w:r>
      <w:r>
        <w:rPr>
          <w:color w:val="000000"/>
        </w:rPr>
        <w:t xml:space="preserve">Without limiting the obligation of Seller, Buyer agrees to indemnify Seller and save it harmless from any and all adverse claims or encumbrances on said Gas which claims arise or charges attach after </w:t>
      </w:r>
      <w:r>
        <w:rPr>
          <w:strike/>
          <w:color w:val="000000"/>
        </w:rPr>
        <w:t>{Title}</w:t>
      </w:r>
      <w:r>
        <w:rPr>
          <w:color w:val="000000"/>
        </w:rPr>
        <w:t xml:space="preserve"> </w:t>
      </w:r>
      <w:r>
        <w:rPr>
          <w:color w:val="000000"/>
          <w:u w:val="double"/>
        </w:rPr>
        <w:t>{title}</w:t>
      </w:r>
      <w:r>
        <w:rPr>
          <w:color w:val="000000"/>
        </w:rPr>
        <w:t xml:space="preserve"> passes to Buyer.</w:t>
      </w:r>
    </w:p>
    <w:p>
      <w:pPr>
        <w:pStyle w:val="Header"/>
        <w:keepNext w:val="true"/>
        <w:bidi w:val="0"/>
        <w:spacing w:lineRule="exact" w:line="360" w:before="120" w:after="0"/>
        <w:jc w:val="center"/>
        <w:rPr>
          <w:b/>
        </w:rPr>
      </w:pPr>
      <w:r>
        <w:rPr>
          <w:b/>
        </w:rPr>
        <w:t>Article 10</w:t>
      </w:r>
    </w:p>
    <w:p>
      <w:pPr>
        <w:pStyle w:val="Proforma"/>
        <w:bidi w:val="0"/>
        <w:spacing w:lineRule="exact" w:line="360" w:before="120" w:after="0"/>
        <w:rPr>
          <w:color w:val="000000"/>
        </w:rPr>
      </w:pPr>
      <w:bookmarkStart w:id="16" w:name="_Toc453051616"/>
      <w:bookmarkStart w:id="17" w:name="_Toc472239481"/>
      <w:r>
        <w:rPr>
          <w:color w:val="000000"/>
        </w:rPr>
        <w:t>TERM</w:t>
      </w:r>
      <w:bookmarkEnd w:id="16"/>
      <w:bookmarkEnd w:id="17"/>
    </w:p>
    <w:p>
      <w:pPr>
        <w:pStyle w:val="BodyText3"/>
        <w:keepNext w:val="true"/>
        <w:bidi w:val="0"/>
        <w:spacing w:lineRule="exact" w:line="360" w:before="120" w:after="0"/>
        <w:rPr/>
      </w:pPr>
      <w:r>
        <w:rPr/>
        <w:t>10.1</w:t>
        <w:tab/>
      </w:r>
      <w:r>
        <w:rPr>
          <w:color w:val="000000"/>
        </w:rPr>
        <w:t>The terms and conditions of this Agreement shall be effective from and after the Effective Date and shall remain in full force and effect unless terminated.  Either Party may, at its sole option, terminate this Agreement effective thirty (30) days after giving written notice to the other Party.  Any liabilities or obligations outstanding hereunder as of the termination of the Agreement shall survive such termination.</w:t>
      </w:r>
    </w:p>
    <w:p>
      <w:pPr>
        <w:pStyle w:val="Header"/>
        <w:bidi w:val="0"/>
        <w:spacing w:lineRule="exact" w:line="360" w:before="120" w:after="0"/>
        <w:jc w:val="center"/>
        <w:rPr>
          <w:b/>
        </w:rPr>
      </w:pPr>
      <w:r>
        <w:rPr>
          <w:b/>
        </w:rPr>
        <w:t>Article 11</w:t>
      </w:r>
    </w:p>
    <w:p>
      <w:pPr>
        <w:pStyle w:val="Proforma"/>
        <w:bidi w:val="0"/>
        <w:spacing w:lineRule="exact" w:line="360" w:before="120" w:after="0"/>
        <w:rPr>
          <w:color w:val="000000"/>
        </w:rPr>
      </w:pPr>
      <w:bookmarkStart w:id="18" w:name="_Toc453051617"/>
      <w:bookmarkStart w:id="19" w:name="_Toc472239482"/>
      <w:r>
        <w:rPr>
          <w:color w:val="000000"/>
        </w:rPr>
        <w:t>NON-PERFORMANCE</w:t>
      </w:r>
      <w:bookmarkEnd w:id="18"/>
      <w:bookmarkEnd w:id="19"/>
      <w:r>
        <w:rPr>
          <w:color w:val="000000"/>
        </w:rPr>
        <w:t xml:space="preserve"> AND </w:t>
      </w:r>
      <w:r>
        <w:rPr>
          <w:i/>
          <w:color w:val="000000"/>
        </w:rPr>
        <w:t>FORCE MAJEURE</w:t>
      </w:r>
    </w:p>
    <w:p>
      <w:pPr>
        <w:pStyle w:val="BodyText3"/>
        <w:tabs>
          <w:tab w:val="clear" w:pos="720"/>
          <w:tab w:val="left" w:pos="360" w:leader="none"/>
        </w:tabs>
        <w:bidi w:val="0"/>
        <w:spacing w:lineRule="exact" w:line="360" w:before="120" w:after="0"/>
        <w:rPr>
          <w:color w:val="000000"/>
          <w:u w:val="double"/>
        </w:rPr>
      </w:pPr>
      <w:r>
        <w:rPr>
          <w:color w:val="000000"/>
        </w:rPr>
        <w:t>11.1</w:t>
        <w:tab/>
      </w:r>
      <w:r>
        <w:rPr/>
        <w:t xml:space="preserve">This Article 11 entitled </w:t>
      </w:r>
      <w:r>
        <w:rPr>
          <w:strike/>
        </w:rPr>
        <w:t>{“Non-Performance”}</w:t>
      </w:r>
      <w:r>
        <w:rPr>
          <w:u w:val="double"/>
        </w:rPr>
        <w:t xml:space="preserve">{"Non-Performance and </w:t>
      </w:r>
      <w:r>
        <w:rPr>
          <w:i/>
          <w:u w:val="double"/>
        </w:rPr>
        <w:t>Force Majeure</w:t>
      </w:r>
      <w:r>
        <w:rPr>
          <w:u w:val="double"/>
        </w:rPr>
        <w:t>"}</w:t>
      </w:r>
      <w:r>
        <w:rPr/>
        <w:t xml:space="preserve"> is the sole and exclusive excuse for non-performance permitted under this Agreement, and all other excuses at law or in equity are waived.  Except with regard to payment obligations, in the event either Party is rendered unable, wholly or in part, by </w:t>
      </w:r>
      <w:r>
        <w:rPr>
          <w:i/>
        </w:rPr>
        <w:t xml:space="preserve">Force Majeure </w:t>
      </w:r>
      <w:r>
        <w:rPr/>
        <w:t xml:space="preserve">to carry out its obligations under this Agreement, it is agreed that upon such Party giving notice and full particulars of such </w:t>
      </w:r>
      <w:r>
        <w:rPr>
          <w:i/>
        </w:rPr>
        <w:t>Force Majeure</w:t>
      </w:r>
      <w:r>
        <w:rPr/>
        <w:t xml:space="preserve"> to the other Party as soon as reasonably possible, such notice to be confirmed in writing, then the obligations of the Party giving such notice, to the extent that they are affected by such </w:t>
      </w:r>
      <w:r>
        <w:rPr>
          <w:i/>
        </w:rPr>
        <w:t>Force Majeure</w:t>
      </w:r>
      <w:r>
        <w:rPr/>
        <w:t xml:space="preserve">, shall be suspended, from its inception during the continuance of the </w:t>
      </w:r>
      <w:r>
        <w:rPr>
          <w:i/>
        </w:rPr>
        <w:t>Force Majeure</w:t>
      </w:r>
      <w:r>
        <w:rPr/>
        <w:t xml:space="preserve"> </w:t>
      </w:r>
      <w:r>
        <w:rPr>
          <w:u w:val="double"/>
        </w:rPr>
        <w:t>{for a period of 60 days, in the aggregate, during any 365-day period, but for no longer period.  After the 60</w:t>
      </w:r>
      <w:r>
        <w:rPr>
          <w:u w:val="double"/>
          <w:vertAlign w:val="superscript"/>
        </w:rPr>
        <w:t>th</w:t>
      </w:r>
      <w:r>
        <w:rPr/>
        <w:t xml:space="preserve"> </w:t>
      </w:r>
      <w:r>
        <w:rPr>
          <w:u w:val="double"/>
        </w:rPr>
        <w:t>day, the Parties shall again be obligated to perform.</w:t>
      </w:r>
    </w:p>
    <w:p>
      <w:pPr>
        <w:pStyle w:val="BodyText3"/>
        <w:tabs>
          <w:tab w:val="clear" w:pos="720"/>
          <w:tab w:val="left" w:pos="360" w:leader="none"/>
        </w:tabs>
        <w:bidi w:val="0"/>
        <w:spacing w:lineRule="exact" w:line="360" w:before="120" w:after="0"/>
        <w:rPr>
          <w:strike/>
          <w:color w:val="000000"/>
        </w:rPr>
      </w:pPr>
      <w:r>
        <w:rPr>
          <w:color w:val="000000"/>
          <w:u w:val="double"/>
        </w:rPr>
        <w:t>11.2}</w:t>
      </w:r>
      <w:r>
        <w:rPr>
          <w:strike/>
          <w:color w:val="000000"/>
        </w:rPr>
        <w:t>{.</w:t>
      </w:r>
    </w:p>
    <w:p>
      <w:pPr>
        <w:pStyle w:val="BodyText3"/>
        <w:tabs>
          <w:tab w:val="clear" w:pos="720"/>
          <w:tab w:val="left" w:pos="360" w:leader="none"/>
        </w:tabs>
        <w:bidi w:val="0"/>
        <w:spacing w:lineRule="exact" w:line="360" w:before="120" w:after="0"/>
        <w:rPr>
          <w:strike/>
          <w:color w:val="000000"/>
        </w:rPr>
      </w:pPr>
      <w:r>
        <w:rPr>
          <w:strike/>
          <w:color w:val="000000"/>
        </w:rPr>
        <w:t xml:space="preserve">11.2 Under this Agreement, a Force Majeure shall be an event or occurrence that could not have been reasonably anticipated or controlled that prevents performance in whole or in part of this Agreement or shall be an event or occurrence as further specified in this Article 11. </w:t>
      </w:r>
    </w:p>
    <w:p>
      <w:pPr>
        <w:pStyle w:val="BodyText3"/>
        <w:tabs>
          <w:tab w:val="clear" w:pos="720"/>
          <w:tab w:val="left" w:pos="360" w:leader="none"/>
        </w:tabs>
        <w:bidi w:val="0"/>
        <w:spacing w:lineRule="exact" w:line="360" w:before="120" w:after="0"/>
        <w:rPr>
          <w:strike/>
          <w:color w:val="000000"/>
        </w:rPr>
      </w:pPr>
      <w:r>
        <w:rPr>
          <w:strike/>
          <w:color w:val="000000"/>
        </w:rPr>
        <w:t>11.3 The term Force Majeure shall include the following events or occurrences, to the extent that transportation on any pipeline from the source of supply to ultimate point of consumption, or Seller’s supply of Gas or Buyer’s ability to receive Gas, is curtailed or interrupted as a result thereof, (i) acts of God including, without limitation, epidemics, landslides, lightning, earthquakes, fire, storms, floods or washouts; (ii) strikes, lockouts or industrial disputes or disturbances; (iii) arrests and restraints of ruler or people or interruptions by reason of government or court orders or the necessity for compliance with any court order, law, statute, ordinance of regulation promulgated by any governmental authority having or asserting jurisdiction; (iv) acts of the public enemy, wars, riots, blockades or insurrections; (v) inability to secure labor or inability to produce, supply, or transport Gas by reason of allocations promulgated by authorized governmental agencies; (vi) explosions, breakage or accident to machinery or lines of pipe at sources of supply or in pipelines; (vii) freezing of wells or pipelines in a broad geographical area; (viii) shutting-down facilities for the making of repairs, alterations, tests or maintenance at sources of supply or on pipelines (including, without limitation, delays which are caused by the delay in receiving major items of equipment or necessary services); and (ix) any act or omission or a cause by parties not controlled by the Party having the difficulty and any other similar causes not within the control of the Party claiming suspension and which by exercise of due diligence such Party is unable to prevent or overcome.</w:t>
      </w:r>
    </w:p>
    <w:p>
      <w:pPr>
        <w:pStyle w:val="BodyText3"/>
        <w:tabs>
          <w:tab w:val="clear" w:pos="720"/>
          <w:tab w:val="left" w:pos="360" w:leader="none"/>
        </w:tabs>
        <w:bidi w:val="0"/>
        <w:spacing w:lineRule="exact" w:line="360" w:before="120" w:after="0"/>
        <w:rPr>
          <w:strike/>
          <w:color w:val="000000"/>
        </w:rPr>
      </w:pPr>
      <w:r>
        <w:rPr>
          <w:strike/>
          <w:color w:val="000000"/>
        </w:rPr>
        <w:t xml:space="preserve">11.4 However, for Baseload and Multi-Month Transactions, the term Force Majeure shall not include: (i) any preferential right by third parties to purchase or call back Gas; (ii) any increases or decreases in the cost or resale price of Gas or market demand for Gas; (iii) any increases or decreases in the cost of processing or transporting Gas; (iv) any non-performance or interruption of Interruptible transportation service; and (v) any non-performance by Seller’s Gas supplier, other than as set forth in section 11.3. </w:t>
      </w:r>
    </w:p>
    <w:p>
      <w:pPr>
        <w:pStyle w:val="BodyText3"/>
        <w:tabs>
          <w:tab w:val="clear" w:pos="720"/>
          <w:tab w:val="left" w:pos="360" w:leader="none"/>
        </w:tabs>
        <w:bidi w:val="0"/>
        <w:spacing w:lineRule="exact" w:line="360" w:before="120" w:after="0"/>
        <w:rPr>
          <w:strike/>
          <w:color w:val="000000"/>
        </w:rPr>
      </w:pPr>
      <w:r>
        <w:rPr>
          <w:strike/>
          <w:color w:val="000000"/>
        </w:rPr>
        <w:t xml:space="preserve">11.5 A Force Majeure shall not be deemed to occur for any Transaction (i) to the extent it is caused by the negligence or contributory negligence of the Party claiming the event; (ii) if the Party claiming the event, upon first becoming aware of its occurrence and nature, fails to provide prompt notice of such to the other Party; (iii) if the Party claiming the event fails to exercise, to the extent which is reasonable under the circumstances, due diligence to remove or overcome any disability to its performance caused by it. </w:t>
      </w:r>
    </w:p>
    <w:p>
      <w:pPr>
        <w:pStyle w:val="BodyText3"/>
        <w:tabs>
          <w:tab w:val="clear" w:pos="720"/>
          <w:tab w:val="left" w:pos="360" w:leader="none"/>
        </w:tabs>
        <w:bidi w:val="0"/>
        <w:spacing w:lineRule="exact" w:line="360" w:before="120" w:after="0"/>
        <w:rPr>
          <w:strike/>
        </w:rPr>
      </w:pPr>
      <w:r>
        <w:rPr>
          <w:strike/>
          <w:color w:val="000000"/>
        </w:rPr>
        <w:t>11.6}</w:t>
      </w:r>
      <w:r>
        <w:rPr>
          <w:color w:val="000000"/>
        </w:rPr>
        <w:tab/>
      </w:r>
      <w:r>
        <w:rPr/>
        <w:t xml:space="preserve">When the Delivery Point for a Transaction is NOVA Inventory Transfer </w:t>
      </w:r>
      <w:r>
        <w:rPr>
          <w:strike/>
        </w:rPr>
        <w:t>{(“NIT”),}</w:t>
      </w:r>
      <w:r>
        <w:rPr>
          <w:u w:val="double"/>
        </w:rPr>
        <w:t>{("NIT"), this Section 11.2 shall apply.  "</w:t>
      </w:r>
      <w:r>
        <w:rPr>
          <w:i/>
          <w:u w:val="double"/>
        </w:rPr>
        <w:t>}</w:t>
      </w:r>
      <w:r>
        <w:rPr>
          <w:i/>
        </w:rPr>
        <w:t xml:space="preserve">Force </w:t>
      </w:r>
      <w:r>
        <w:rPr/>
        <w:t xml:space="preserve">Majeure </w:t>
      </w:r>
      <w:r>
        <w:rPr>
          <w:strike/>
        </w:rPr>
        <w:t>{shall be limited to}</w:t>
      </w:r>
      <w:r>
        <w:rPr>
          <w:u w:val="double"/>
        </w:rPr>
        <w:t>{" means}</w:t>
      </w:r>
      <w:r>
        <w:rPr/>
        <w:t xml:space="preserve"> only an interruption, curtailment or pro-rationing by NOVA of NIT service</w:t>
      </w:r>
      <w:r>
        <w:rPr>
          <w:strike/>
        </w:rPr>
        <w:t>{(and not an interruption, curtailment or pro-rationing by either Party)}</w:t>
      </w:r>
      <w:r>
        <w:rPr/>
        <w:t xml:space="preserve">, which affects all, or substantially all, NOVA shippers who had nominated for deliveries or receipts to take place by NIT on that Gas day.  On any Gas day or any portion of a Gas day that there is a </w:t>
      </w:r>
      <w:r>
        <w:rPr>
          <w:i/>
        </w:rPr>
        <w:t>Force Majeure</w:t>
      </w:r>
      <w:r>
        <w:rPr/>
        <w:t xml:space="preserve"> and either Party provides notice of the </w:t>
      </w:r>
      <w:r>
        <w:rPr>
          <w:i/>
        </w:rPr>
        <w:t>Force Majeure</w:t>
      </w:r>
      <w:r>
        <w:rPr/>
        <w:t xml:space="preserve"> to the other, Seller shall deliver to Buyer, and Buyer shall receive from Seller, that percentage of the DCQ which is equal to the percentage amount of Gas which </w:t>
      </w:r>
      <w:r>
        <w:rPr>
          <w:u w:val="double"/>
        </w:rPr>
        <w:t>{according to NOVA}</w:t>
      </w:r>
      <w:r>
        <w:rPr/>
        <w:t xml:space="preserve"> had been nominated by all NOVA shippers for NIT and which NOVA is not interrupting, curtailing or pro-rationing on that Gas day</w:t>
      </w:r>
      <w:r>
        <w:rPr>
          <w:strike/>
        </w:rPr>
        <w:t>{. If Seller or Buyer has notice or knowledge of a Force Majeure under this section, such Party shall promptly notify the other Party, and if the absence of, or delay in, such notice causes the other Party to reasonably incur imbalance charge(s) on any affected Transporter from the supply area to Northern California, the Party with initial notice or knowledge of the Force Majeure shall reimburse the Party incurring the charges.</w:t>
      </w:r>
    </w:p>
    <w:p>
      <w:pPr>
        <w:pStyle w:val="BodyText3"/>
        <w:tabs>
          <w:tab w:val="clear" w:pos="720"/>
          <w:tab w:val="left" w:pos="360" w:leader="none"/>
        </w:tabs>
        <w:bidi w:val="0"/>
        <w:spacing w:lineRule="exact" w:line="360" w:before="120" w:after="0"/>
        <w:rPr>
          <w:strike/>
        </w:rPr>
      </w:pPr>
      <w:r>
        <w:rPr>
          <w:strike/>
        </w:rPr>
        <w:t>11.7 If a Party fails to fulfill its obligation to sell or purchase Gas hereunder and such failure is not due to a Force Majeure, this shall be considered non-performance. Remedies for non-performance for Baseload and Multi-Month transactions shall be specified below. Additionally, non-performance on Baseload or Swing Gas Transactions may result, at the performing Party’s sole option, in the non-performing Party’s suspension from eligibility for future Multi-Month and Baseload sales and purchases for a period of up to one year or longer. Non-performance on Baseload or Swing Gas shall not be grounds for termination of any existing Multi-Month or Baseload purchase or sale Transactions, except as provided under Article 12, Default, below.</w:t>
      </w:r>
    </w:p>
    <w:p>
      <w:pPr>
        <w:pStyle w:val="BodyText3"/>
        <w:tabs>
          <w:tab w:val="clear" w:pos="720"/>
          <w:tab w:val="left" w:pos="360" w:leader="none"/>
        </w:tabs>
        <w:bidi w:val="0"/>
        <w:spacing w:lineRule="exact" w:line="360" w:before="120" w:after="0"/>
        <w:rPr>
          <w:color w:val="000000"/>
          <w:u w:val="double"/>
        </w:rPr>
      </w:pPr>
      <w:r>
        <w:rPr>
          <w:strike/>
        </w:rPr>
        <w:t>11.8}</w:t>
      </w:r>
      <w:r>
        <w:rPr/>
        <w:t xml:space="preserve"> </w:t>
      </w:r>
      <w:r>
        <w:rPr>
          <w:u w:val="double"/>
        </w:rPr>
        <w:t>{or that portion of a Gas day.</w:t>
      </w:r>
    </w:p>
    <w:p>
      <w:pPr>
        <w:pStyle w:val="BodyText3"/>
        <w:tabs>
          <w:tab w:val="clear" w:pos="720"/>
          <w:tab w:val="left" w:pos="360" w:leader="none"/>
        </w:tabs>
        <w:bidi w:val="0"/>
        <w:spacing w:lineRule="exact" w:line="360" w:before="120" w:after="0"/>
        <w:rPr>
          <w:color w:val="000000"/>
          <w:u w:val="double"/>
        </w:rPr>
      </w:pPr>
      <w:r>
        <w:rPr>
          <w:color w:val="000000"/>
          <w:u w:val="double"/>
        </w:rPr>
        <w:t>11.3</w:t>
      </w:r>
      <w:r>
        <w:rPr>
          <w:color w:val="000000"/>
        </w:rPr>
        <w:tab/>
      </w:r>
      <w:r>
        <w:rPr>
          <w:u w:val="double"/>
        </w:rPr>
        <w:t>When the Delivery Point for a Transaction is other than NIT, this Section 11.3 shall apply.  "</w:t>
      </w:r>
      <w:r>
        <w:rPr>
          <w:i/>
          <w:u w:val="double"/>
        </w:rPr>
        <w:t>Force Majeure</w:t>
      </w:r>
      <w:r>
        <w:rPr>
          <w:u w:val="double"/>
        </w:rPr>
        <w:t xml:space="preserve">" means only interruptions or curtailments of firm service at the Delivery Point(s) by Seller’s Transporter or Buyer’s Transporter, regardless of whether Buyer’s Transporter or Seller’s Transporter is declaring any event of </w:t>
      </w:r>
      <w:r>
        <w:rPr>
          <w:i/>
          <w:u w:val="double"/>
        </w:rPr>
        <w:t>Force Majeure</w:t>
      </w:r>
      <w:r>
        <w:rPr>
          <w:u w:val="double"/>
        </w:rPr>
        <w:t xml:space="preserve">.  On any Gas day that </w:t>
      </w:r>
      <w:r>
        <w:rPr>
          <w:i/>
          <w:u w:val="double"/>
        </w:rPr>
        <w:t>Force Majeure</w:t>
      </w:r>
      <w:r>
        <w:rPr/>
        <w:t xml:space="preserve"> </w:t>
      </w:r>
      <w:r>
        <w:rPr>
          <w:u w:val="double"/>
        </w:rPr>
        <w:t>applies, both Parties’ obligations to deliver and receive Gas shall be reduced by the same percentage that Buyer’s Transporter or Seller’s Transporter interrupts or curtails firm service at the Delivery Point(s) on such Gas day.</w:t>
      </w:r>
    </w:p>
    <w:p>
      <w:pPr>
        <w:pStyle w:val="BodyText3"/>
        <w:tabs>
          <w:tab w:val="clear" w:pos="720"/>
          <w:tab w:val="left" w:pos="360" w:leader="none"/>
        </w:tabs>
        <w:bidi w:val="0"/>
        <w:spacing w:lineRule="exact" w:line="360" w:before="120" w:after="0"/>
        <w:rPr>
          <w:color w:val="000000"/>
        </w:rPr>
      </w:pPr>
      <w:r>
        <w:rPr>
          <w:color w:val="000000"/>
          <w:u w:val="double"/>
        </w:rPr>
        <w:t>11.4}</w:t>
      </w:r>
      <w:r>
        <w:rPr>
          <w:color w:val="000000"/>
        </w:rPr>
        <w:tab/>
      </w:r>
      <w:r>
        <w:rPr/>
        <w:t xml:space="preserve">Except for an event of </w:t>
      </w:r>
      <w:r>
        <w:rPr>
          <w:i/>
        </w:rPr>
        <w:t>Force Majeure</w:t>
      </w:r>
      <w:r>
        <w:rPr/>
        <w:t xml:space="preserve"> </w:t>
      </w:r>
      <w:r>
        <w:rPr>
          <w:strike/>
        </w:rPr>
        <w:t>{of the Agreement}</w:t>
      </w:r>
      <w:r>
        <w:rPr/>
        <w:t xml:space="preserve">, any Party that does not fulfill 100% of its obligation </w:t>
      </w:r>
      <w:r>
        <w:rPr>
          <w:u w:val="double"/>
        </w:rPr>
        <w:t>{to deliver or accept delivery, as applicable,}</w:t>
      </w:r>
      <w:r>
        <w:rPr/>
        <w:t xml:space="preserve"> shall pay the other Party a Liquidated Damages Fee, which shall be determined as  set forth below. The determination  shall be based on the Price for the specified Daily Contract Quantity, and a fixed </w:t>
      </w:r>
      <w:r>
        <w:rPr>
          <w:b/>
          <w:strike/>
        </w:rPr>
        <w:t>{US $0.25 per MMBtu}</w:t>
      </w:r>
      <w:r>
        <w:rPr>
          <w:b/>
          <w:u w:val="double"/>
        </w:rPr>
        <w:t>{[US $0.25]</w:t>
      </w:r>
      <w:r>
        <w:rPr/>
        <w:t xml:space="preserve"> </w:t>
      </w:r>
      <w:r>
        <w:rPr>
          <w:u w:val="double"/>
        </w:rPr>
        <w:t xml:space="preserve">per MMBtu or </w:t>
      </w:r>
      <w:r>
        <w:rPr>
          <w:b/>
          <w:u w:val="double"/>
        </w:rPr>
        <w:t>[Cdn. $0.375]</w:t>
      </w:r>
      <w:r>
        <w:rPr/>
        <w:t xml:space="preserve"> </w:t>
      </w:r>
      <w:r>
        <w:rPr>
          <w:u w:val="double"/>
        </w:rPr>
        <w:t>per GJ, as applicable to the Transaction}</w:t>
      </w:r>
      <w:r>
        <w:rPr/>
        <w:t>.  The Parties acknowledge and agree that the amounts which may be payable hereunder shall be conclusively deemed to be Liquidated Damages and shall not be construed as a penalty.  No Party shall be liable to the other Party for loss of profit, punitive, exemplary, consequential, incidental or other business interruption damages in tort, contract or otherwise.</w:t>
      </w:r>
    </w:p>
    <w:p>
      <w:pPr>
        <w:pStyle w:val="Normal"/>
        <w:bidi w:val="0"/>
        <w:spacing w:lineRule="exact" w:line="360" w:before="120" w:after="0"/>
        <w:ind w:hanging="0" w:start="0" w:end="0"/>
        <w:rPr>
          <w:color w:val="000000"/>
        </w:rPr>
      </w:pPr>
      <w:r>
        <w:rPr>
          <w:strike/>
          <w:color w:val="000000"/>
        </w:rPr>
        <w:t>{11.9}</w:t>
      </w:r>
      <w:r>
        <w:rPr>
          <w:color w:val="000000"/>
        </w:rPr>
        <w:t xml:space="preserve"> The Seller’s Liquidated Damages Fee, paid to Buyer, shall be determined as follows for each Day of non-performance:</w:t>
      </w:r>
    </w:p>
    <w:p>
      <w:pPr>
        <w:pStyle w:val="Normal"/>
        <w:keepNext w:val="true"/>
        <w:bidi w:val="0"/>
        <w:spacing w:lineRule="exact" w:line="360" w:before="120" w:after="0"/>
        <w:ind w:hanging="0" w:start="0" w:end="0"/>
        <w:jc w:val="start"/>
        <w:rPr>
          <w:color w:val="000000"/>
        </w:rPr>
      </w:pPr>
      <w:r>
        <w:rPr>
          <w:color w:val="000000"/>
        </w:rPr>
        <w:t>LD  =</w:t>
        <w:tab/>
        <w:tab/>
        <w:t xml:space="preserve">(DD + </w:t>
      </w:r>
      <w:r>
        <w:rPr>
          <w:b/>
          <w:strike/>
          <w:color w:val="000000"/>
        </w:rPr>
        <w:t>{US$0.25) x FV}</w:t>
      </w:r>
      <w:r>
        <w:rPr>
          <w:b/>
          <w:color w:val="000000"/>
          <w:u w:val="double"/>
        </w:rPr>
        <w:t>{[US $0.25]</w:t>
      </w:r>
      <w:r>
        <w:rPr>
          <w:color w:val="000000"/>
        </w:rPr>
        <w:t xml:space="preserve"> </w:t>
      </w:r>
      <w:r>
        <w:rPr>
          <w:color w:val="000000"/>
          <w:u w:val="double"/>
        </w:rPr>
        <w:t xml:space="preserve">per MMBtu or </w:t>
      </w:r>
      <w:r>
        <w:rPr>
          <w:b/>
          <w:color w:val="000000"/>
          <w:u w:val="double"/>
        </w:rPr>
        <w:t>[Cdn. $0.375]</w:t>
      </w:r>
      <w:r>
        <w:rPr>
          <w:color w:val="000000"/>
        </w:rPr>
        <w:t xml:space="preserve"> </w:t>
      </w:r>
      <w:r>
        <w:rPr>
          <w:color w:val="000000"/>
          <w:u w:val="double"/>
        </w:rPr>
        <w:t>per GJ) x FV</w:t>
      </w:r>
      <w:r>
        <w:rPr>
          <w:color w:val="000000"/>
        </w:rPr>
        <w:br/>
      </w:r>
      <w:r>
        <w:rPr>
          <w:color w:val="000000"/>
          <w:u w:val="double"/>
        </w:rPr>
        <w:t>DD  =</w:t>
      </w:r>
      <w:r>
        <w:rPr>
          <w:color w:val="000000"/>
        </w:rPr>
        <w:tab/>
        <w:tab/>
      </w:r>
      <w:r>
        <w:rPr>
          <w:color w:val="000000"/>
          <w:u w:val="double"/>
        </w:rPr>
        <w:t>(BDP - P)}</w:t>
      </w:r>
    </w:p>
    <w:p>
      <w:pPr>
        <w:pStyle w:val="Normal"/>
        <w:bidi w:val="0"/>
        <w:spacing w:lineRule="exact" w:line="360" w:before="120" w:after="0"/>
        <w:ind w:hanging="0" w:start="0" w:end="0"/>
        <w:rPr>
          <w:strike/>
          <w:color w:val="000000"/>
        </w:rPr>
      </w:pPr>
      <w:r>
        <w:rPr>
          <w:strike/>
          <w:color w:val="000000"/>
        </w:rPr>
        <w:t>{DD = (BDP - CP)</w:t>
      </w:r>
    </w:p>
    <w:p>
      <w:pPr>
        <w:pStyle w:val="Normal"/>
        <w:bidi w:val="0"/>
        <w:spacing w:lineRule="exact" w:line="360" w:before="120" w:after="0"/>
        <w:ind w:hanging="0" w:start="0" w:end="0"/>
        <w:rPr>
          <w:color w:val="000000"/>
        </w:rPr>
      </w:pPr>
      <w:r>
        <w:rPr>
          <w:strike/>
          <w:color w:val="000000"/>
        </w:rPr>
        <w:t>11.10}</w:t>
      </w:r>
      <w:r>
        <w:rPr>
          <w:color w:val="000000"/>
        </w:rPr>
        <w:t xml:space="preserve"> The Buyer’s Liquidated Damages Fee, paid to Seller, shall be determined as follows for each Day of non-performance:</w:t>
      </w:r>
    </w:p>
    <w:p>
      <w:pPr>
        <w:pStyle w:val="Normal"/>
        <w:bidi w:val="0"/>
        <w:spacing w:lineRule="exact" w:line="360" w:before="120" w:after="0"/>
        <w:ind w:hanging="0" w:start="0" w:end="0"/>
        <w:jc w:val="start"/>
        <w:rPr>
          <w:color w:val="000000"/>
        </w:rPr>
      </w:pPr>
      <w:r>
        <w:rPr>
          <w:color w:val="000000"/>
        </w:rPr>
        <w:t>LD  =</w:t>
        <w:tab/>
        <w:tab/>
        <w:t xml:space="preserve">(DD + </w:t>
      </w:r>
      <w:r>
        <w:rPr>
          <w:b/>
          <w:strike/>
          <w:color w:val="000000"/>
        </w:rPr>
        <w:t>{US$0.25) x FV}</w:t>
      </w:r>
      <w:r>
        <w:rPr>
          <w:b/>
          <w:color w:val="000000"/>
          <w:u w:val="double"/>
        </w:rPr>
        <w:t>{[US $0.25]</w:t>
      </w:r>
      <w:r>
        <w:rPr>
          <w:color w:val="000000"/>
        </w:rPr>
        <w:t xml:space="preserve"> </w:t>
      </w:r>
      <w:r>
        <w:rPr>
          <w:color w:val="000000"/>
          <w:u w:val="double"/>
        </w:rPr>
        <w:t xml:space="preserve">per MMBtu or </w:t>
      </w:r>
      <w:r>
        <w:rPr>
          <w:b/>
          <w:color w:val="000000"/>
          <w:u w:val="double"/>
        </w:rPr>
        <w:t>[Cdn. $0.375]</w:t>
      </w:r>
      <w:r>
        <w:rPr>
          <w:color w:val="000000"/>
        </w:rPr>
        <w:t xml:space="preserve"> </w:t>
      </w:r>
      <w:r>
        <w:rPr>
          <w:color w:val="000000"/>
          <w:u w:val="double"/>
        </w:rPr>
        <w:t>per GJ) x FV</w:t>
      </w:r>
      <w:r>
        <w:rPr>
          <w:color w:val="000000"/>
        </w:rPr>
        <w:br/>
      </w:r>
      <w:r>
        <w:rPr>
          <w:color w:val="000000"/>
          <w:u w:val="double"/>
        </w:rPr>
        <w:t>DD  =</w:t>
      </w:r>
      <w:r>
        <w:rPr>
          <w:color w:val="000000"/>
        </w:rPr>
        <w:tab/>
        <w:tab/>
      </w:r>
      <w:r>
        <w:rPr>
          <w:color w:val="000000"/>
          <w:u w:val="double"/>
        </w:rPr>
        <w:t>(P - SDP)}</w:t>
      </w:r>
    </w:p>
    <w:p>
      <w:pPr>
        <w:pStyle w:val="Normal"/>
        <w:bidi w:val="0"/>
        <w:spacing w:lineRule="exact" w:line="360" w:before="120" w:after="0"/>
        <w:ind w:hanging="0" w:start="0" w:end="0"/>
        <w:rPr>
          <w:strike/>
          <w:color w:val="000000"/>
        </w:rPr>
      </w:pPr>
      <w:r>
        <w:rPr>
          <w:strike/>
          <w:color w:val="000000"/>
        </w:rPr>
        <w:t>{DD = (CP - SDP)</w:t>
      </w:r>
    </w:p>
    <w:p>
      <w:pPr>
        <w:pStyle w:val="Normal"/>
        <w:bidi w:val="0"/>
        <w:spacing w:lineRule="exact" w:line="360" w:before="120" w:after="0"/>
        <w:ind w:hanging="0" w:start="0" w:end="0"/>
        <w:rPr>
          <w:color w:val="000000"/>
        </w:rPr>
      </w:pPr>
      <w:r>
        <w:rPr>
          <w:strike/>
          <w:color w:val="000000"/>
        </w:rPr>
        <w:t>11.11}</w:t>
      </w:r>
      <w:r>
        <w:rPr>
          <w:color w:val="000000"/>
        </w:rPr>
        <w:t xml:space="preserve"> Definitions:</w:t>
      </w:r>
    </w:p>
    <w:p>
      <w:pPr>
        <w:pStyle w:val="Normal"/>
        <w:bidi w:val="0"/>
        <w:spacing w:lineRule="exact" w:line="360" w:before="120" w:after="0"/>
        <w:ind w:hanging="1440" w:start="1440" w:end="0"/>
        <w:rPr>
          <w:color w:val="000000"/>
        </w:rPr>
      </w:pPr>
      <w:r>
        <w:rPr>
          <w:color w:val="000000"/>
        </w:rPr>
        <w:t>LD  =</w:t>
        <w:tab/>
        <w:t xml:space="preserve">Liquidated Damages Fee.  The minimum non-performance fee, if the Daily Differential (DD) is less than zero, shall be </w:t>
      </w:r>
      <w:r>
        <w:rPr>
          <w:b/>
          <w:strike/>
          <w:color w:val="000000"/>
        </w:rPr>
        <w:t>{US$0.25}</w:t>
      </w:r>
      <w:r>
        <w:rPr>
          <w:b/>
          <w:color w:val="000000"/>
          <w:u w:val="double"/>
        </w:rPr>
        <w:t>{[US $0.25]}</w:t>
      </w:r>
      <w:r>
        <w:rPr>
          <w:color w:val="000000"/>
        </w:rPr>
        <w:t xml:space="preserve"> per MMBtu </w:t>
      </w:r>
      <w:r>
        <w:rPr>
          <w:color w:val="000000"/>
          <w:u w:val="double"/>
        </w:rPr>
        <w:t xml:space="preserve">{or </w:t>
      </w:r>
      <w:r>
        <w:rPr>
          <w:b/>
          <w:color w:val="000000"/>
          <w:u w:val="double"/>
        </w:rPr>
        <w:t>[Cdn. $0.375]</w:t>
      </w:r>
      <w:r>
        <w:rPr>
          <w:color w:val="000000"/>
        </w:rPr>
        <w:t xml:space="preserve"> </w:t>
      </w:r>
      <w:r>
        <w:rPr>
          <w:color w:val="000000"/>
          <w:u w:val="double"/>
        </w:rPr>
        <w:t>per GJ}</w:t>
      </w:r>
      <w:r>
        <w:rPr>
          <w:color w:val="000000"/>
        </w:rPr>
        <w:t xml:space="preserve"> times the Failed Volume (FV).</w:t>
      </w:r>
    </w:p>
    <w:p>
      <w:pPr>
        <w:pStyle w:val="Normal"/>
        <w:bidi w:val="0"/>
        <w:spacing w:lineRule="exact" w:line="360" w:before="120" w:after="0"/>
        <w:ind w:hanging="0" w:start="0" w:end="0"/>
        <w:rPr>
          <w:color w:val="000000"/>
        </w:rPr>
      </w:pPr>
      <w:r>
        <w:rPr>
          <w:color w:val="000000"/>
        </w:rPr>
        <w:t>DD  =</w:t>
        <w:tab/>
        <w:tab/>
        <w:t>Daily Differential.  If the Daily Differential is negative, then zero will be used.</w:t>
      </w:r>
    </w:p>
    <w:p>
      <w:pPr>
        <w:pStyle w:val="Normal"/>
        <w:bidi w:val="0"/>
        <w:spacing w:lineRule="exact" w:line="360" w:before="120" w:after="0"/>
        <w:ind w:hanging="1440" w:start="1440" w:end="0"/>
        <w:rPr>
          <w:color w:val="000000"/>
        </w:rPr>
      </w:pPr>
      <w:r>
        <w:rPr>
          <w:color w:val="000000"/>
        </w:rPr>
        <w:t>FV  =</w:t>
        <w:tab/>
        <w:t xml:space="preserve">Failed Volume.  The volume of Gas that was either undelivered or untaken and not excused by an event of </w:t>
      </w:r>
      <w:r>
        <w:rPr>
          <w:i/>
          <w:color w:val="000000"/>
        </w:rPr>
        <w:t>Force Majeure</w:t>
      </w:r>
      <w:r>
        <w:rPr>
          <w:color w:val="000000"/>
        </w:rPr>
        <w:t>.</w:t>
      </w:r>
    </w:p>
    <w:p>
      <w:pPr>
        <w:pStyle w:val="Normal"/>
        <w:bidi w:val="0"/>
        <w:spacing w:lineRule="exact" w:line="360" w:before="120" w:after="0"/>
        <w:ind w:hanging="0" w:start="0" w:end="0"/>
        <w:rPr>
          <w:color w:val="000000"/>
        </w:rPr>
      </w:pPr>
      <w:r>
        <w:rPr>
          <w:strike/>
          <w:color w:val="000000"/>
        </w:rPr>
        <w:t>{CP = Price (as set forth in Confirmation Notice)}</w:t>
      </w:r>
      <w:r>
        <w:rPr>
          <w:color w:val="000000"/>
        </w:rPr>
        <w:t xml:space="preserve"> </w:t>
      </w:r>
      <w:r>
        <w:rPr>
          <w:color w:val="000000"/>
          <w:u w:val="double"/>
        </w:rPr>
        <w:t>{P  =</w:t>
      </w:r>
      <w:r>
        <w:rPr>
          <w:color w:val="000000"/>
        </w:rPr>
        <w:tab/>
        <w:tab/>
      </w:r>
      <w:r>
        <w:rPr>
          <w:color w:val="000000"/>
          <w:u w:val="double"/>
        </w:rPr>
        <w:t>Price (as agreed upon for the purchase and sale of Gas under the Transaction)}</w:t>
      </w:r>
    </w:p>
    <w:p>
      <w:pPr>
        <w:pStyle w:val="Normal"/>
        <w:bidi w:val="0"/>
        <w:spacing w:lineRule="exact" w:line="360" w:before="120" w:after="0"/>
        <w:ind w:hanging="1440" w:start="1440" w:end="0"/>
        <w:rPr>
          <w:color w:val="000000"/>
        </w:rPr>
      </w:pPr>
      <w:r>
        <w:rPr>
          <w:color w:val="000000"/>
        </w:rPr>
        <w:t>BDP  =</w:t>
        <w:tab/>
        <w:t xml:space="preserve">Buyer’s Daily Price.  </w:t>
      </w:r>
      <w:r>
        <w:rPr>
          <w:strike/>
          <w:color w:val="000000"/>
        </w:rPr>
        <w:t>{The highest daily price determined by the index below for the Gas at the applicable Delivery Point.}</w:t>
      </w:r>
      <w:r>
        <w:rPr>
          <w:color w:val="000000"/>
        </w:rPr>
        <w:t xml:space="preserve"> </w:t>
      </w:r>
      <w:r>
        <w:rPr>
          <w:color w:val="000000"/>
          <w:u w:val="double"/>
        </w:rPr>
        <w:t>{If the Delivery Point is AECO "C" or NIT, the AECO Day Price (as defined below) for the Gas day on which the failure occurred; or, if the Delivery Point is other than AECO "C" or NIT, the cost, including transportation and basis differential adjustments, to Buyer, acting reasonably in an incremental, arms'-length purchase(s) from a third party, to replace the FV.}</w:t>
      </w:r>
    </w:p>
    <w:p>
      <w:pPr>
        <w:pStyle w:val="Normal"/>
        <w:bidi w:val="0"/>
        <w:spacing w:lineRule="exact" w:line="360" w:before="120" w:after="0"/>
        <w:ind w:hanging="1440" w:start="1440" w:end="0"/>
        <w:rPr>
          <w:color w:val="000000"/>
        </w:rPr>
      </w:pPr>
      <w:r>
        <w:rPr>
          <w:color w:val="000000"/>
        </w:rPr>
        <w:t>SDP  =</w:t>
        <w:tab/>
        <w:t xml:space="preserve">Seller’s Daily Price.  </w:t>
      </w:r>
      <w:r>
        <w:rPr>
          <w:strike/>
          <w:color w:val="000000"/>
        </w:rPr>
        <w:t>{The lowest daily price determined by the index below for the Gas at the applicable Delivery Point. }</w:t>
      </w:r>
      <w:r>
        <w:rPr>
          <w:color w:val="000000"/>
          <w:u w:val="double"/>
        </w:rPr>
        <w:t>{If the Delivery Point is AECO "C" or NIT, the AECO Day Price for the Gas day on which the failure occurred; or, if the Delivery Point is other than AECO "C" or NIT, the cost, including transportation and basis differential adjustments, to Buyer, acting reasonably in an incremental, arms'-length purchase(s) from a third party, to sell the FV.}</w:t>
      </w:r>
    </w:p>
    <w:p>
      <w:pPr>
        <w:pStyle w:val="Normal"/>
        <w:bidi w:val="0"/>
        <w:spacing w:lineRule="exact" w:line="360" w:before="120" w:after="0"/>
        <w:ind w:hanging="0" w:start="0" w:end="0"/>
        <w:rPr>
          <w:strike/>
        </w:rPr>
      </w:pPr>
      <w:r>
        <w:rPr>
          <w:strike/>
        </w:rPr>
        <w:t xml:space="preserve">{Index: </w:t>
      </w:r>
    </w:p>
    <w:p>
      <w:pPr>
        <w:pStyle w:val="Normal"/>
        <w:bidi w:val="0"/>
        <w:spacing w:lineRule="exact" w:line="360" w:before="120" w:after="0"/>
        <w:ind w:hanging="0" w:start="0" w:end="0"/>
        <w:rPr/>
      </w:pPr>
      <w:r>
        <w:rPr>
          <w:strike/>
        </w:rPr>
        <w:t>(i) Gas to be Delivered at NOVA NIT in Alberta: The daily price will be determined by reference to the table “Daily}</w:t>
      </w:r>
      <w:r>
        <w:rPr>
          <w:u w:val="double"/>
        </w:rPr>
        <w:t>{"</w:t>
      </w:r>
      <w:r>
        <w:rPr>
          <w:i/>
          <w:u w:val="double"/>
        </w:rPr>
        <w:t>AECO Day Price</w:t>
      </w:r>
      <w:r>
        <w:rPr>
          <w:u w:val="double"/>
        </w:rPr>
        <w:t xml:space="preserve">" means for any Gas day, the price set forth for the specific Gas day in the first edition of the </w:t>
      </w:r>
      <w:r>
        <w:rPr>
          <w:i/>
          <w:u w:val="double"/>
        </w:rPr>
        <w:t xml:space="preserve">Canadian Gas Price Reporter </w:t>
      </w:r>
      <w:r>
        <w:rPr>
          <w:u w:val="double"/>
        </w:rPr>
        <w:t xml:space="preserve">published in the calendar month immediately following the calendar month in which such Gas Day falls in the </w:t>
      </w:r>
      <w:r>
        <w:rPr>
          <w:color w:val="000000"/>
          <w:u w:val="double"/>
        </w:rPr>
        <w:t>table</w:t>
      </w:r>
      <w:r>
        <w:rPr/>
        <w:t xml:space="preserve"> </w:t>
      </w:r>
      <w:r>
        <w:rPr>
          <w:u w:val="double"/>
        </w:rPr>
        <w:t>"Daily}</w:t>
      </w:r>
      <w:r>
        <w:rPr/>
        <w:t xml:space="preserve"> Spot Gas Price at AECO C </w:t>
      </w:r>
      <w:r>
        <w:rPr>
          <w:strike/>
        </w:rPr>
        <w:t>{&amp; Nova Inventory Transfer, Avg. Price CDN$/GJ” (or successor table) in Canadian Enerdata Ltd.’s, publication Canadian Gas Price Reporter Canadian Domestic Gas Price Report }</w:t>
      </w:r>
      <w:r>
        <w:rPr>
          <w:u w:val="double"/>
        </w:rPr>
        <w:t>{and NOVA Inventory Transfer" under the column "Price ($/GJ)", in the further subcolumn "Avg." and the row for that specific Gas day (excluding those prices on rows identified as "Wkend" in such table), or any words or phrases used in substitution therefor.  }</w:t>
      </w:r>
    </w:p>
    <w:p>
      <w:pPr>
        <w:pStyle w:val="Normal"/>
        <w:bidi w:val="0"/>
        <w:spacing w:lineRule="exact" w:line="360" w:before="120" w:after="0"/>
        <w:ind w:hanging="0" w:start="0" w:end="0"/>
        <w:rPr>
          <w:strike/>
        </w:rPr>
      </w:pPr>
      <w:r>
        <w:rPr>
          <w:strike/>
        </w:rPr>
        <w:t xml:space="preserve">{(ii) Gas Delivered at Kingsgate, British Columbia: The daily price will be determined by reference to the “Gas Daily Gas Price Index” in the Daily Price Survey,” using the PGT (Kingsgate) price, in Financial Times Energy. </w:t>
      </w:r>
    </w:p>
    <w:p>
      <w:pPr>
        <w:pStyle w:val="Normal"/>
        <w:bidi w:val="0"/>
        <w:spacing w:lineRule="exact" w:line="360" w:before="120" w:after="0"/>
        <w:ind w:hanging="0" w:start="0" w:end="0"/>
        <w:rPr>
          <w:color w:val="000000"/>
          <w:sz w:val="18"/>
          <w:u w:val="single"/>
        </w:rPr>
      </w:pPr>
      <w:r>
        <w:rPr>
          <w:strike/>
        </w:rPr>
        <w:t>(iii) In the event that either index referred to in sub-paragraphs (i) or (ii) is no longer published or available, the Parties shall agree on an index which is a reasonable and optimum replacement for the index which is no longer available}</w:t>
      </w:r>
      <w:r>
        <w:rPr/>
        <w:t xml:space="preserve"> </w:t>
      </w:r>
      <w:r>
        <w:rPr>
          <w:u w:val="double"/>
        </w:rPr>
        <w:t xml:space="preserve">{If (a) Canadian Enerdata Ltd. </w:t>
      </w:r>
      <w:r>
        <w:rPr>
          <w:color w:val="000000"/>
          <w:u w:val="double"/>
        </w:rPr>
        <w:t>ceases</w:t>
      </w:r>
      <w:r>
        <w:rPr/>
        <w:t xml:space="preserve"> </w:t>
      </w:r>
      <w:r>
        <w:rPr>
          <w:u w:val="double"/>
        </w:rPr>
        <w:t>to publish the information required to determine the AECO Day Price or (b) there is a material change in the formula for or the method of calculating the AECO Day Price after the date the applicable Transaction is entered by the Parties (each, a "Price Disruption Event"), the Parties agree to promptly and in good faith negotiate a mutually satisfactory alternate index (the "Alternate Index") to base the AECO Day Price.  If the Parties cannot agree on a substitute methodology or publication by the end of the first calendar month in which a Price Index Disruption Event occurs, then Buyer and Seller shall each in good faith prepare a list of up to five (5) alternative published reference postings or prices representative of firm spot prices for Gas delivered at AECO "C" or "NIT".  Each list shall be set forth in that Party's priority order with the highest priority listed first.  Each Party shall submit its list to the other within ten (10) days after the end of the first calendar month in which a Price Index Disruption Event occurs.  The first alternate reference appearing in Buyer's list that also appears in Seller's list shall constitute the Alternate Index.  If either Party fails to provide a list of that Party's alternative published references within the time herein provided, such Party's list shall not be considered and the first alternate reference appearing in the other Party's list shall constitute the Alternate Index.  If Seller’s list and Buyer’s list do not contain a common alternate reference, then Buyer and Seller shall each in good faith prepare a list with at least one (1) and up to five (5) additional alternative published reference postings or prices representative of firm spot prices for Gas delivered at AECO "C" or "NIT", and repeat the process stated in the three (3) sentences immediately preceding this sentence.  If necessary, this process shall be repeated, with at least one (1) and up to five (5) additional alternate references to be included on each Party’s list each time the process is repeated, until the Alternate Index is determined.  From and after the date a Price Index Disruption Event occurs (the "Renegotiation Date"), until the Alternate Index is determined, the AECO "C" Day Price shall be the arithmetic average of the AECO "C" Day Prices which were in effect during the twelve (12) calendar months immediately preceding the calendar month in which the Renegotiation Date occurred.  Upon determination of an Alternate Index to base the AECO "C" Day Price, all amounts due and paid hereunder since the Renegotiation Date will be adjusted by the Parties retroactively to the Renegotiation Date, with interest at the Interest Rate, from the Renegotiation Date until the date of payment}</w:t>
      </w:r>
      <w:r>
        <w:rPr/>
        <w:t>.</w:t>
      </w:r>
    </w:p>
    <w:p>
      <w:pPr>
        <w:pStyle w:val="Header"/>
        <w:bidi w:val="0"/>
        <w:spacing w:lineRule="exact" w:line="360" w:before="120" w:after="0"/>
        <w:jc w:val="center"/>
        <w:rPr>
          <w:b/>
        </w:rPr>
      </w:pPr>
      <w:r>
        <w:rPr>
          <w:b/>
        </w:rPr>
        <w:t>Article 12</w:t>
      </w:r>
    </w:p>
    <w:p>
      <w:pPr>
        <w:pStyle w:val="Proforma"/>
        <w:bidi w:val="0"/>
        <w:spacing w:lineRule="exact" w:line="360" w:before="120" w:after="0"/>
        <w:rPr>
          <w:color w:val="000000"/>
        </w:rPr>
      </w:pPr>
      <w:bookmarkStart w:id="20" w:name="_Toc453051618"/>
      <w:bookmarkStart w:id="21" w:name="_Toc472239483"/>
      <w:r>
        <w:rPr>
          <w:color w:val="000000"/>
        </w:rPr>
        <w:t>DEFAULT</w:t>
      </w:r>
      <w:bookmarkEnd w:id="20"/>
      <w:bookmarkEnd w:id="21"/>
    </w:p>
    <w:p>
      <w:pPr>
        <w:pStyle w:val="BodyText3"/>
        <w:bidi w:val="0"/>
        <w:spacing w:lineRule="exact" w:line="360" w:before="120" w:after="0"/>
        <w:rPr/>
      </w:pPr>
      <w:r>
        <w:rPr/>
        <w:t>12.1</w:t>
        <w:tab/>
        <w:t xml:space="preserve">Notwithstanding any other provision hereof, </w:t>
      </w:r>
      <w:r>
        <w:rPr>
          <w:strike/>
        </w:rPr>
        <w:t>{a “Default”}</w:t>
      </w:r>
      <w:r>
        <w:rPr/>
        <w:t xml:space="preserve"> </w:t>
      </w:r>
      <w:r>
        <w:rPr>
          <w:u w:val="double"/>
        </w:rPr>
        <w:t>{and subject to the provisions of Section 12.3 specifying additional Defaults applicable to PG&amp;E Core during the pendency of the Bankruptcy Case, a "Default"}</w:t>
      </w:r>
      <w:r>
        <w:rPr/>
        <w:t xml:space="preserve"> shall occur if either Party </w:t>
      </w:r>
      <w:r>
        <w:rPr>
          <w:strike/>
        </w:rPr>
        <w:t>{(the “Defaulting Party”)}</w:t>
      </w:r>
      <w:r>
        <w:rPr>
          <w:u w:val="double"/>
        </w:rPr>
        <w:t>{(such Party, the "Defaulting Party" and the other Party, the "Performing Party")}</w:t>
      </w:r>
      <w:r>
        <w:rPr/>
        <w:t xml:space="preserve"> shall: (a) become bankrupt or insolvent, however evidenced, or be unable to pay its debts as they become due; (b) file a petition or otherwise commence a proceeding under any bankruptcy, insolvency, reorganization or similar law, or have an involuntary bankruptcy petition filed, or other insolvency proceeding commenced against it</w:t>
      </w:r>
      <w:r>
        <w:rPr>
          <w:strike/>
        </w:rPr>
        <w:t>{, provided such involuntary proceeding is not dismissed within 60 days of filing or commencement}</w:t>
      </w:r>
      <w:r>
        <w:rPr/>
        <w:t xml:space="preserve">; (c) have a liquidator, administrator, receiver, conservator or trustee appointed with respect to it or any substantial portion of its property or assets; (d) fail to pay when due </w:t>
      </w:r>
      <w:r>
        <w:rPr>
          <w:strike/>
        </w:rPr>
        <w:t>{any material obligation to the other Party (the “Performing Party”); or (e) fail }</w:t>
      </w:r>
      <w:r>
        <w:rPr>
          <w:u w:val="double"/>
        </w:rPr>
        <w:t xml:space="preserve">{to the Performing Party any amount due under this Agreement and such failure is not cured within five Business Days after written notice thereof to the Defaulting Party; (e) fail to perform any </w:t>
      </w:r>
      <w:r>
        <w:rPr>
          <w:b/>
          <w:u w:val="double"/>
        </w:rPr>
        <w:t>[material]</w:t>
      </w:r>
      <w:r>
        <w:rPr/>
        <w:t xml:space="preserve"> </w:t>
      </w:r>
      <w:r>
        <w:rPr>
          <w:u w:val="double"/>
        </w:rPr>
        <w:t xml:space="preserve">obligation under this Agreement or any Transaction hereunder (other than its obligations to make any payment or obligations which are otherwise specifically covered in this Section 12.1 as a separate Default), and such failure is not excused by </w:t>
      </w:r>
      <w:r>
        <w:rPr>
          <w:i/>
          <w:u w:val="double"/>
        </w:rPr>
        <w:t>Force Majeure</w:t>
      </w:r>
      <w:r>
        <w:rPr/>
        <w:t xml:space="preserve"> </w:t>
      </w:r>
      <w:r>
        <w:rPr>
          <w:u w:val="double"/>
        </w:rPr>
        <w:t>or not cured within five Business Days after written notice thereof to the Defaulting Party; or (f) fail}</w:t>
      </w:r>
      <w:r>
        <w:rPr/>
        <w:t xml:space="preserve"> to provide adequate assurance of its ability to perform all of its outstanding obligations to the Performing Party under this Agreement </w:t>
      </w:r>
      <w:r>
        <w:rPr>
          <w:strike/>
        </w:rPr>
        <w:t>{within five Business Days of a demand thereof when the Performing Party has reasonable grounds for insecurity}</w:t>
      </w:r>
      <w:r>
        <w:rPr/>
        <w:t xml:space="preserve"> </w:t>
      </w:r>
      <w:r>
        <w:rPr>
          <w:u w:val="double"/>
        </w:rPr>
        <w:t xml:space="preserve">{as contemplated in Article 8 hereof.  A Default shall also occur if, pursuant to any bankruptcy, insolvency or similar law (regardless of the jurisdiction of application or competence of such law), affecting the Defaulting Party, or any ruling, order, directive or pronouncement made pursuant thereto (regardless of the jurisdiction of application or competence of such ruling, order, directive or pronouncement), this Agreement or any Transaction under this Agreement shall be terminated or deemed to be terminated (an "Involuntary Termination") or any representation made by the Defaulting Party in this Agreement shall prove to be false or misleading </w:t>
      </w:r>
      <w:r>
        <w:rPr>
          <w:b/>
          <w:u w:val="double"/>
        </w:rPr>
        <w:t>[in any material respect]</w:t>
      </w:r>
      <w:r>
        <w:rPr/>
        <w:t xml:space="preserve"> </w:t>
      </w:r>
      <w:r>
        <w:rPr>
          <w:u w:val="double"/>
        </w:rPr>
        <w:t>when made or deemed to be repeated}</w:t>
      </w:r>
      <w:r>
        <w:rPr/>
        <w:t xml:space="preserve">.  After a Default, the Performing Party shall have the right on two </w:t>
      </w:r>
      <w:r>
        <w:rPr>
          <w:strike/>
        </w:rPr>
        <w:t>{business days}</w:t>
      </w:r>
      <w:r>
        <w:rPr/>
        <w:t xml:space="preserve"> </w:t>
      </w:r>
      <w:r>
        <w:rPr>
          <w:u w:val="double"/>
        </w:rPr>
        <w:t>{Business Days}</w:t>
      </w:r>
      <w:r>
        <w:rPr/>
        <w:t xml:space="preserve"> prior written notice to the Defaulting Party (except in the case of a Default specified in clause (b) above, in which case no </w:t>
      </w:r>
      <w:r>
        <w:rPr>
          <w:strike/>
        </w:rPr>
        <w:t>{notice is required)}</w:t>
      </w:r>
      <w:r>
        <w:rPr/>
        <w:t xml:space="preserve"> </w:t>
      </w:r>
      <w:r>
        <w:rPr>
          <w:u w:val="double"/>
        </w:rPr>
        <w:t>{prior notice period is required for Performing Party to terminate, such termination being effective upon the date notice of termination is deemed given as provided in Article 15)}</w:t>
      </w:r>
      <w:r>
        <w:rPr/>
        <w:t xml:space="preserve"> if there has been no cure, to terminate this Agreement, </w:t>
      </w:r>
      <w:r>
        <w:rPr>
          <w:u w:val="double"/>
        </w:rPr>
        <w:t>{all}</w:t>
      </w:r>
      <w:r>
        <w:rPr/>
        <w:t xml:space="preserve"> Transactions hereunder, and all Exhibits and Amendments attached hereto.</w:t>
      </w:r>
    </w:p>
    <w:p>
      <w:pPr>
        <w:pStyle w:val="BodyText3"/>
        <w:tabs>
          <w:tab w:val="left" w:pos="720" w:leader="none"/>
        </w:tabs>
        <w:bidi w:val="0"/>
        <w:spacing w:lineRule="exact" w:line="360" w:before="120" w:after="0"/>
        <w:rPr>
          <w:u w:val="double"/>
        </w:rPr>
      </w:pPr>
      <w:r>
        <w:rPr/>
        <w:t>12.2</w:t>
        <w:tab/>
        <w:t xml:space="preserve">The provisions of Section 12.1(a) and (b) shall not apply to PG&amp;E as a Defaulting Party during the </w:t>
      </w:r>
      <w:r>
        <w:rPr>
          <w:strike/>
        </w:rPr>
        <w:t>{pendancy of Case No. 01-30923 DM (Chapter 11)}</w:t>
      </w:r>
      <w:r>
        <w:rPr/>
        <w:t xml:space="preserve"> </w:t>
      </w:r>
      <w:r>
        <w:rPr>
          <w:u w:val="double"/>
        </w:rPr>
        <w:t>{pendency of the Bankruptcy Case.</w:t>
      </w:r>
    </w:p>
    <w:p>
      <w:pPr>
        <w:pStyle w:val="indent1"/>
        <w:widowControl/>
        <w:tabs>
          <w:tab w:val="left" w:pos="720" w:leader="none"/>
        </w:tabs>
        <w:bidi w:val="0"/>
        <w:spacing w:lineRule="exact" w:line="360" w:before="120" w:after="0"/>
        <w:rPr>
          <w:strike/>
        </w:rPr>
      </w:pPr>
      <w:r>
        <w:rPr>
          <w:u w:val="double"/>
        </w:rPr>
        <w:t>12.3</w:t>
      </w:r>
      <w:r>
        <w:rPr/>
        <w:tab/>
      </w:r>
      <w:r>
        <w:rPr>
          <w:u w:val="double"/>
        </w:rPr>
        <w:t>In addition to those Defaults set forth in Section 12.1 above, a Default shall have occurred as to PG&amp;E Core if: (a) a trustee, or examiner “with powers” beyond those set forth in paragraphs (3) and (4) of Section 1106(a)}</w:t>
      </w:r>
      <w:r>
        <w:rPr/>
        <w:t xml:space="preserve"> of the United States Bankruptcy </w:t>
      </w:r>
      <w:r>
        <w:rPr>
          <w:u w:val="double"/>
        </w:rPr>
        <w:t>{Code, is appointed in the Bankruptcy Case; (b) a motion to dismiss the Bankruptcy Case or convert the Bankruptcy Case to one under Chapter 7 of the United States Bankruptcy Code is filed and such motion is not dismissed, withdrawn or denied by the Bankruptcy Court within 30 days of filing of the motion; (c)}</w:t>
      </w:r>
      <w:r>
        <w:rPr/>
        <w:t xml:space="preserve"> </w:t>
      </w:r>
      <w:r>
        <w:rPr>
          <w:strike/>
        </w:rPr>
        <w:t xml:space="preserve">{Court of the Northern District of California, San Francisco Division. </w:t>
      </w:r>
    </w:p>
    <w:p>
      <w:pPr>
        <w:pStyle w:val="indent1"/>
        <w:widowControl/>
        <w:tabs>
          <w:tab w:val="left" w:pos="720" w:leader="none"/>
        </w:tabs>
        <w:bidi w:val="0"/>
        <w:spacing w:lineRule="exact" w:line="360" w:before="120" w:after="0"/>
        <w:rPr/>
      </w:pPr>
      <w:r>
        <w:rPr>
          <w:strike/>
        </w:rPr>
        <w:t>12.3 The provisions of Section 12.1(d) and (e) shall apply to PG&amp;E as a Defaulting Party only for obligations arising on or after April 6, 2001, the date upon which}</w:t>
      </w:r>
      <w:r>
        <w:rPr/>
        <w:t xml:space="preserve"> Pacific Gas and Electric Company </w:t>
      </w:r>
      <w:r>
        <w:rPr>
          <w:strike/>
        </w:rPr>
        <w:t>{filed for reorganization in Case No. 01-30923 DM (Chapter 11) of the United States Bankruptcy Court of the Northern District of California, San Francisco Division, and shall not apply to any obligations arising prior to April 6, 2001.}</w:t>
      </w:r>
      <w:r>
        <w:rPr/>
        <w:t xml:space="preserve"> </w:t>
      </w:r>
      <w:r>
        <w:rPr>
          <w:u w:val="double"/>
        </w:rPr>
        <w:t>{consents to, or requests, the dismissal or conversion of the Bankruptcy Case; (d) relief from the automatic stay is granted by the Bankruptcy Court as to a material asset of Pacific Gas and Electric Company; (e) Pacific Gas and Electric Company defaults under a material post-petition credit agreement or an agreement and/or order authorizing use of cash collateral, and such default is not cured within the time provided in the relevant agreement or order; (f) a plan of reorganization is confirmed by the Bankruptcy Court that materially alters the rights or obligations of Company under this Agreement or any Transaction; (g) the filing of a motion or other pleading in the Bankruptcy Case by any party challenging the validity, enforceability or legality of this Agreement or any Transaction; or (h) there is a material adverse change in (i) the business, condition (financial or otherwise), operations, performance, properties or prospects of Pacific Gas and Electric Company, (ii) the ability of Pacific Gas and Electric Company to perform its obligations under this Agreement or any Transaction or (iii) the validity or enforceability of this Agreement or any Transaction as to Pacific Gas and Electric Company.  Upon occurrence of a Default as provided in this Section (except as to a Default specified in clause (h) above which shall require two Business Days written notice) Company shall have the right to immediately terminate this Agreement, all Transactions hereunder, and all Exhibits and Amendments attached hereto.}</w:t>
      </w:r>
    </w:p>
    <w:p>
      <w:pPr>
        <w:pStyle w:val="indent1"/>
        <w:widowControl/>
        <w:tabs>
          <w:tab w:val="left" w:pos="720" w:leader="none"/>
        </w:tabs>
        <w:bidi w:val="0"/>
        <w:spacing w:lineRule="exact" w:line="360" w:before="120" w:after="0"/>
        <w:rPr/>
      </w:pPr>
      <w:r>
        <w:rPr/>
        <w:t>12.4</w:t>
        <w:tab/>
        <w:t xml:space="preserve">Upon termination, </w:t>
      </w:r>
      <w:r>
        <w:rPr>
          <w:u w:val="double"/>
        </w:rPr>
        <w:t>{as contemplated under Section 8.3, 12.1, or 12.3 above,}</w:t>
      </w:r>
      <w:r>
        <w:rPr/>
        <w:t xml:space="preserve"> the Defaulting Party shall be responsible for paying all costs and expenses reasonably incurred by the Performing Party as a result of that Default (including, without limitation, reasonable attorney’s fees and disbursements).</w:t>
      </w:r>
      <w:r>
        <w:rPr>
          <w:strike/>
        </w:rPr>
        <w:t>{ However, in no event shall either Party be liable for loss of profit, consequential, exemplary, punitive, indirect, or except as provided herein, incidental damages.}</w:t>
      </w:r>
    </w:p>
    <w:p>
      <w:pPr>
        <w:pStyle w:val="BodyText3"/>
        <w:tabs>
          <w:tab w:val="left" w:pos="720" w:leader="none"/>
        </w:tabs>
        <w:bidi w:val="0"/>
        <w:spacing w:lineRule="exact" w:line="360" w:before="120" w:after="0"/>
        <w:rPr/>
      </w:pPr>
      <w:r>
        <w:rPr/>
        <w:t>12.5</w:t>
        <w:tab/>
        <w:t xml:space="preserve">The Performing Party may set off or recoup any or all amounts which the Defaulting Party owes to it under this Agreement </w:t>
      </w:r>
      <w:r>
        <w:rPr>
          <w:u w:val="double"/>
        </w:rPr>
        <w:t>{or any Transaction hereunder}</w:t>
      </w:r>
      <w:r>
        <w:rPr/>
        <w:t xml:space="preserve"> including without limitation any or all amounts due to the Performing Party under </w:t>
      </w:r>
      <w:r>
        <w:rPr>
          <w:strike/>
        </w:rPr>
        <w:t>{section 12.2}</w:t>
      </w:r>
      <w:r>
        <w:rPr/>
        <w:t xml:space="preserve"> </w:t>
      </w:r>
      <w:r>
        <w:rPr>
          <w:u w:val="double"/>
        </w:rPr>
        <w:t>{this Article 12}</w:t>
      </w:r>
      <w:r>
        <w:rPr/>
        <w:t xml:space="preserve"> or resulting from any Transaction or other obligation which has arisen under this Agreement </w:t>
      </w:r>
      <w:r>
        <w:rPr>
          <w:strike/>
        </w:rPr>
        <w:t>{of}</w:t>
      </w:r>
      <w:r>
        <w:rPr/>
        <w:t xml:space="preserve"> which </w:t>
      </w:r>
      <w:r>
        <w:rPr>
          <w:u w:val="double"/>
        </w:rPr>
        <w:t>{may or}</w:t>
      </w:r>
      <w:r>
        <w:rPr/>
        <w:t xml:space="preserve"> may not have been caused by said Default, against any and all amounts it owes the Defaulting Party.  The Performing Party’s rights under this Article shall be in addition to, and not in limitation or exclusion of, any other rights, which the Performing Party may have under the terms of this Agreement.</w:t>
      </w:r>
    </w:p>
    <w:p>
      <w:pPr>
        <w:pStyle w:val="BodyText3"/>
        <w:tabs>
          <w:tab w:val="left" w:pos="720" w:leader="none"/>
        </w:tabs>
        <w:bidi w:val="0"/>
        <w:spacing w:lineRule="exact" w:line="360" w:before="120" w:after="0"/>
        <w:rPr/>
      </w:pPr>
      <w:r>
        <w:rPr>
          <w:strike/>
        </w:rPr>
        <w:t>{12.5}</w:t>
      </w:r>
      <w:r>
        <w:rPr/>
        <w:t xml:space="preserve"> </w:t>
      </w:r>
      <w:r>
        <w:rPr>
          <w:u w:val="double"/>
        </w:rPr>
        <w:t>{12.6}</w:t>
      </w:r>
      <w:r>
        <w:rPr/>
        <w:tab/>
        <w:t xml:space="preserve">In the event the Performing Party terminates this Agreement under </w:t>
      </w:r>
      <w:r>
        <w:rPr>
          <w:strike/>
        </w:rPr>
        <w:t>{Articles}</w:t>
      </w:r>
      <w:r>
        <w:rPr/>
        <w:t xml:space="preserve"> </w:t>
      </w:r>
      <w:r>
        <w:rPr>
          <w:u w:val="double"/>
        </w:rPr>
        <w:t>{Section}</w:t>
      </w:r>
      <w:r>
        <w:rPr/>
        <w:t xml:space="preserve"> 8.3 </w:t>
      </w:r>
      <w:r>
        <w:rPr>
          <w:strike/>
        </w:rPr>
        <w:t>{or}</w:t>
      </w:r>
      <w:r>
        <w:rPr>
          <w:u w:val="double"/>
        </w:rPr>
        <w:t>{,}</w:t>
      </w:r>
      <w:r>
        <w:rPr/>
        <w:t xml:space="preserve"> 12.1</w:t>
      </w:r>
      <w:r>
        <w:rPr>
          <w:u w:val="double"/>
        </w:rPr>
        <w:t>{, or 12.3}</w:t>
      </w:r>
      <w:r>
        <w:rPr/>
        <w:t xml:space="preserve"> above, the Performing Party shall designate in </w:t>
      </w:r>
      <w:r>
        <w:rPr>
          <w:strike/>
        </w:rPr>
        <w:t>{the notice a date (“Early Termination Date”) which }</w:t>
      </w:r>
      <w:r>
        <w:rPr>
          <w:u w:val="double"/>
        </w:rPr>
        <w:t>{any notice of termination a date ("Early Termination Date") which, if a prior notice period is applicable,}</w:t>
      </w:r>
      <w:r>
        <w:rPr/>
        <w:t xml:space="preserve"> shall be at least two </w:t>
      </w:r>
      <w:r>
        <w:rPr>
          <w:strike/>
        </w:rPr>
        <w:t>{business days}</w:t>
      </w:r>
      <w:r>
        <w:rPr/>
        <w:t xml:space="preserve"> </w:t>
      </w:r>
      <w:r>
        <w:rPr>
          <w:u w:val="double"/>
        </w:rPr>
        <w:t>{Business Days}</w:t>
      </w:r>
      <w:r>
        <w:rPr/>
        <w:t xml:space="preserve"> after the notice is sent </w:t>
      </w:r>
      <w:r>
        <w:rPr>
          <w:strike/>
        </w:rPr>
        <w:t>{under Article 12.1. Upon}</w:t>
      </w:r>
      <w:r>
        <w:rPr>
          <w:u w:val="double"/>
        </w:rPr>
        <w:t>{.  If the Default does not require a prior notice period to expire prior to termination,}</w:t>
      </w:r>
      <w:r>
        <w:rPr/>
        <w:t xml:space="preserve"> the Early Termination Date </w:t>
      </w:r>
      <w:r>
        <w:rPr>
          <w:u w:val="double"/>
        </w:rPr>
        <w:t>{shall be the date notice by the Performing Party of termination is deemed given under Article 15 of this Agreement.  Effective upon the Early Termination Date or immediately prior to any Involuntary Termination}</w:t>
      </w:r>
      <w:r>
        <w:rPr/>
        <w:t>, the Performing Party shall have the right to liquidate any and all Transactions under the Agreement (including any portion of a Transaction where gas is not fully delivered) then outstanding by:</w:t>
      </w:r>
    </w:p>
    <w:p>
      <w:pPr>
        <w:pStyle w:val="BodyText3"/>
        <w:bidi w:val="0"/>
        <w:spacing w:lineRule="exact" w:line="360" w:before="120" w:after="0"/>
        <w:ind w:hanging="720" w:start="1440" w:end="0"/>
        <w:rPr/>
      </w:pPr>
      <w:r>
        <w:rPr>
          <w:strike/>
        </w:rPr>
        <w:t>{(i)}</w:t>
      </w:r>
      <w:r>
        <w:rPr>
          <w:u w:val="double"/>
        </w:rPr>
        <w:t>{(a)}</w:t>
      </w:r>
      <w:r>
        <w:rPr/>
        <w:tab/>
        <w:t xml:space="preserve">Closing out each Transaction at its Market Value </w:t>
      </w:r>
      <w:r>
        <w:rPr>
          <w:u w:val="double"/>
        </w:rPr>
        <w:t>{(}</w:t>
      </w:r>
      <w:r>
        <w:rPr/>
        <w:t>as defined below</w:t>
      </w:r>
      <w:r>
        <w:rPr>
          <w:u w:val="double"/>
        </w:rPr>
        <w:t>{)}</w:t>
      </w:r>
      <w:r>
        <w:rPr/>
        <w:t>, so that each such Transaction is canceled and a settlement payment in an amount equal to the difference between such Market Value and Contract Value (as defined below) of such Transaction shall be due to the Buyer under the Transaction if such Market Value exceeds the Contract Value and to the Seller if the Contract Value exceeds the Market Value;</w:t>
      </w:r>
    </w:p>
    <w:p>
      <w:pPr>
        <w:pStyle w:val="BodyText3"/>
        <w:bidi w:val="0"/>
        <w:spacing w:lineRule="exact" w:line="360" w:before="120" w:after="0"/>
        <w:ind w:hanging="720" w:start="1440" w:end="0"/>
        <w:rPr>
          <w:color w:val="000000"/>
        </w:rPr>
      </w:pPr>
      <w:r>
        <w:rPr>
          <w:strike/>
        </w:rPr>
        <w:t>{(ii)}</w:t>
      </w:r>
      <w:r>
        <w:rPr>
          <w:u w:val="double"/>
        </w:rPr>
        <w:t>{(b)}</w:t>
      </w:r>
      <w:r>
        <w:rPr/>
        <w:tab/>
        <w:t>Discounting each amount then due under clause (i) to the net present value in a commercially reasonable manner at the time of liquidation (to take account of the period between the date of liquidation and the date on which such amount would have otherwise been due pursuant to the applicable Transaction); and</w:t>
      </w:r>
    </w:p>
    <w:p>
      <w:pPr>
        <w:pStyle w:val="BodyText3"/>
        <w:bidi w:val="0"/>
        <w:spacing w:lineRule="exact" w:line="360" w:before="120" w:after="0"/>
        <w:ind w:hanging="720" w:start="1440" w:end="0"/>
        <w:rPr>
          <w:color w:val="000000"/>
        </w:rPr>
      </w:pPr>
      <w:r>
        <w:rPr>
          <w:strike/>
        </w:rPr>
        <w:t>{(iii)}</w:t>
      </w:r>
      <w:r>
        <w:rPr>
          <w:u w:val="double"/>
        </w:rPr>
        <w:t>{(c)}</w:t>
      </w:r>
      <w:r>
        <w:rPr/>
        <w:tab/>
        <w:t xml:space="preserve">Setting off, recouping or aggregating, </w:t>
      </w:r>
      <w:r>
        <w:rPr>
          <w:strike/>
        </w:rPr>
        <w:t>{as appropriate, any or all settlement payments (discounted as appropriate) and (at the election of the Performing Party) any or all other amounts owing between the parties}</w:t>
      </w:r>
      <w:r>
        <w:rPr/>
        <w:t xml:space="preserve"> </w:t>
      </w:r>
      <w:r>
        <w:rPr>
          <w:u w:val="double"/>
        </w:rPr>
        <w:t>{at the option and discretion of the Performing Party, any and all amounts owed to the Defaulting Party by the Performing Party}</w:t>
      </w:r>
      <w:r>
        <w:rPr/>
        <w:t xml:space="preserve"> under this Agreement </w:t>
      </w:r>
      <w:r>
        <w:rPr>
          <w:strike/>
        </w:rPr>
        <w:t>{or under}</w:t>
      </w:r>
      <w:r>
        <w:rPr>
          <w:u w:val="double"/>
        </w:rPr>
        <w:t>{,}</w:t>
      </w:r>
      <w:r>
        <w:rPr/>
        <w:t xml:space="preserve"> any Transaction hereunder </w:t>
      </w:r>
      <w:r>
        <w:rPr>
          <w:strike/>
        </w:rPr>
        <w:t>{so that all such amounts are aggregated and/or netted to a single liquidated amount payable by one Party to the other Party. }</w:t>
      </w:r>
      <w:r>
        <w:rPr>
          <w:u w:val="double"/>
        </w:rPr>
        <w:t>{or under any other agreement(s), instrument(s) or undertaking(s), any amounts due or payable (whether at such time or in the future upon the occurrence of a contingency) by Defaulting Party to Performing Party under this Agreement, any Transaction hereunder, or under any other agreement(s), instrument(s) or undertaking(s).  The obligations of Performing Party and Defaulting Party under this Agreement or any Transactions hereunder in respect of such amounts shall be deemed satisfied and discharged to the extent of any such setoff.</w:t>
      </w:r>
      <w:r>
        <w:rPr>
          <w:color w:val="000000"/>
          <w:u w:val="double"/>
        </w:rPr>
        <w:t>}</w:t>
      </w:r>
    </w:p>
    <w:p>
      <w:pPr>
        <w:pStyle w:val="BodyText3"/>
        <w:bidi w:val="0"/>
        <w:spacing w:lineRule="exact" w:line="360" w:before="120" w:after="0"/>
        <w:ind w:hanging="0" w:start="1440" w:end="0"/>
        <w:rPr>
          <w:color w:val="000000"/>
          <w:u w:val="double"/>
        </w:rPr>
      </w:pPr>
      <w:r>
        <w:rPr>
          <w:strike/>
        </w:rPr>
        <w:t>{(iv)}</w:t>
      </w:r>
      <w:r>
        <w:rPr/>
        <w:t xml:space="preserve"> </w:t>
      </w:r>
      <w:r>
        <w:rPr>
          <w:u w:val="double"/>
        </w:rPr>
        <w:t>{The Performing Party will give the Defaulting Party notice of any setoff effected under this Section 12.6 as soon as is practicable after the setoff is effected provided that failure to give such notice shall not affect the validity of the setoff.</w:t>
      </w:r>
    </w:p>
    <w:p>
      <w:pPr>
        <w:pStyle w:val="BodyText3"/>
        <w:bidi w:val="0"/>
        <w:spacing w:lineRule="exact" w:line="360" w:before="120" w:after="0"/>
        <w:ind w:hanging="0" w:start="1440" w:end="0"/>
        <w:rPr>
          <w:color w:val="000000"/>
          <w:u w:val="double"/>
        </w:rPr>
      </w:pPr>
      <w:r>
        <w:rPr>
          <w:u w:val="double"/>
        </w:rPr>
        <w:t>If an obligation is unascertained, Performing Party may in good faith estimate that obligation and setoff in respect of the estimate, subject to the relevant party accounting to the other when the obligation is ascertained.</w:t>
      </w:r>
    </w:p>
    <w:p>
      <w:pPr>
        <w:pStyle w:val="BodyText3"/>
        <w:bidi w:val="0"/>
        <w:spacing w:lineRule="exact" w:line="360" w:before="120" w:after="0"/>
        <w:ind w:hanging="0" w:start="1440" w:end="0"/>
        <w:rPr>
          <w:u w:val="double"/>
        </w:rPr>
      </w:pPr>
      <w:r>
        <w:rPr>
          <w:u w:val="double"/>
        </w:rPr>
        <w:t>Amounts subject to setoff permitted in this Section 12.6 may be converted by the Performing Party into the currency in which the other is denominated at the rate of exchange at which the Performing Party, acting in a reasonable manner and in good faith, would be able to purchase the relevant amount of the currency being converted.</w:t>
      </w:r>
    </w:p>
    <w:p>
      <w:pPr>
        <w:pStyle w:val="BodyText3"/>
        <w:bidi w:val="0"/>
        <w:spacing w:lineRule="exact" w:line="360" w:before="120" w:after="0"/>
        <w:ind w:hanging="0" w:start="1440" w:end="0"/>
        <w:rPr>
          <w:u w:val="double"/>
        </w:rPr>
      </w:pPr>
      <w:r>
        <w:rPr>
          <w:u w:val="double"/>
        </w:rPr>
        <w:t>Nothing in this Section 12.6 shall be effective to create a charge or other security interest.  This setoff provision shall be without prejudice and in addition to any right of setoff, netting, offset, combination of accounts, counterclaim, lien or other right to which any party is at any time otherwise entitled (whether by operation of law, contract or otherwise).</w:t>
      </w:r>
    </w:p>
    <w:p>
      <w:pPr>
        <w:pStyle w:val="BodyText3"/>
        <w:bidi w:val="0"/>
        <w:spacing w:lineRule="exact" w:line="360" w:before="120" w:after="0"/>
        <w:ind w:hanging="720" w:start="1440" w:end="0"/>
        <w:rPr/>
      </w:pPr>
      <w:r>
        <w:rPr>
          <w:u w:val="double"/>
        </w:rPr>
        <w:t>(d)}</w:t>
      </w:r>
      <w:r>
        <w:rPr/>
        <w:tab/>
        <w:t xml:space="preserve">The Performing Party shall provide </w:t>
      </w:r>
      <w:r>
        <w:rPr>
          <w:strike/>
        </w:rPr>
        <w:t>{to}</w:t>
      </w:r>
      <w:r>
        <w:rPr/>
        <w:t xml:space="preserve"> the Defaulting Party its calculations of the </w:t>
      </w:r>
      <w:r>
        <w:rPr>
          <w:strike/>
        </w:rPr>
        <w:t>{amount under clauses (i) (iii). The Party owing }</w:t>
      </w:r>
      <w:r>
        <w:rPr>
          <w:u w:val="double"/>
        </w:rPr>
        <w:t>{amounts calculated pursuant to this Section 12.6 and the Party owing any amount thereunder}</w:t>
      </w:r>
      <w:r>
        <w:rPr/>
        <w:t xml:space="preserve"> shall pay such amount before the close of business </w:t>
      </w:r>
      <w:r>
        <w:rPr>
          <w:u w:val="double"/>
        </w:rPr>
        <w:t>{of}</w:t>
      </w:r>
      <w:r>
        <w:rPr/>
        <w:t xml:space="preserve"> the next Business Day. </w:t>
      </w:r>
    </w:p>
    <w:p>
      <w:pPr>
        <w:pStyle w:val="BodyText3"/>
        <w:bidi w:val="0"/>
        <w:spacing w:lineRule="exact" w:line="360" w:before="120" w:after="0"/>
        <w:ind w:hanging="0" w:start="720" w:end="0"/>
        <w:rPr>
          <w:u w:val="double"/>
        </w:rPr>
      </w:pPr>
      <w:r>
        <w:rPr>
          <w:u w:val="double"/>
        </w:rPr>
        <w:t>{Notwithstanding any provision to the contrary contained in this Agreement, the Performing Party shall not be required to pay the Defaulting Party any amount under Article 12 until the Performing Party receives confirmation satisfactory to it in its reasonable discretion (which may include an opinion of its counsel) that all other obligations of any kind whatsoever of the Defaulting Party to make any payments to the Performing Party under this Agreement, any Transaction hereunder or any other agreement(s), instrument(s) or undertaking(s), have been fully and finally performed.</w:t>
      </w:r>
    </w:p>
    <w:p>
      <w:pPr>
        <w:pStyle w:val="BodyText3"/>
        <w:bidi w:val="0"/>
        <w:spacing w:lineRule="exact" w:line="360" w:before="120" w:after="0"/>
        <w:rPr>
          <w:color w:val="000000"/>
        </w:rPr>
      </w:pPr>
      <w:r>
        <w:rPr>
          <w:u w:val="double"/>
        </w:rPr>
        <w:t>12.7}</w:t>
      </w:r>
      <w:r>
        <w:rPr/>
        <w:t xml:space="preserve"> </w:t>
      </w:r>
      <w:r>
        <w:rPr>
          <w:strike/>
        </w:rPr>
        <w:t>{12.5}</w:t>
      </w:r>
      <w:r>
        <w:rPr/>
        <w:tab/>
        <w:t xml:space="preserve">For purposes of this Agreement, </w:t>
      </w:r>
      <w:r>
        <w:rPr>
          <w:strike/>
        </w:rPr>
        <w:t>{“Contract Value”}</w:t>
      </w:r>
      <w:r>
        <w:rPr>
          <w:u w:val="double"/>
        </w:rPr>
        <w:t>{"Contract Value"}</w:t>
      </w:r>
      <w:r>
        <w:rPr/>
        <w:t xml:space="preserve"> is the amount of Gas remaining to be delivered on the Early Termination Date multiplied by the </w:t>
      </w:r>
      <w:r>
        <w:rPr>
          <w:strike/>
        </w:rPr>
        <w:t>{Contract}</w:t>
      </w:r>
      <w:r>
        <w:rPr/>
        <w:t xml:space="preserve"> </w:t>
      </w:r>
      <w:r>
        <w:rPr>
          <w:u w:val="double"/>
        </w:rPr>
        <w:t>{applicable}</w:t>
      </w:r>
      <w:r>
        <w:rPr/>
        <w:t xml:space="preserve"> Price; and </w:t>
      </w:r>
      <w:r>
        <w:rPr>
          <w:strike/>
        </w:rPr>
        <w:t>{“Market Value”}</w:t>
      </w:r>
      <w:r>
        <w:rPr>
          <w:u w:val="double"/>
        </w:rPr>
        <w:t>{"Market Value"}</w:t>
      </w:r>
      <w:r>
        <w:rPr/>
        <w:t xml:space="preserve"> means the amount of Gas remaining to be delivered multiplied by the market price per unit determined by the Performing Party.  The Performing Party shall determine the market price per unit by averaging the bids and offers of timely market quotes secured from three bona-fide, third party, energy market dealers or trading houses, not affiliated with either Party, which quotes shall be subject to the verification of the Defaulting Party.  The rate of interest used in calculating present value shall be the </w:t>
      </w:r>
      <w:r>
        <w:rPr>
          <w:strike/>
        </w:rPr>
        <w:t>{Prime Rate as published in the Wall Street Journal}</w:t>
      </w:r>
      <w:r>
        <w:rPr/>
        <w:t xml:space="preserve"> </w:t>
      </w:r>
      <w:r>
        <w:rPr>
          <w:u w:val="double"/>
        </w:rPr>
        <w:t>{Interest Rate minus 2% per annum}</w:t>
      </w:r>
      <w:r>
        <w:rPr/>
        <w:t xml:space="preserve"> on the date of termination. </w:t>
      </w:r>
    </w:p>
    <w:p>
      <w:pPr>
        <w:pStyle w:val="BodyText3"/>
        <w:bidi w:val="0"/>
        <w:spacing w:lineRule="exact" w:line="360" w:before="120" w:after="0"/>
        <w:rPr>
          <w:strike/>
          <w:color w:val="000000"/>
        </w:rPr>
      </w:pPr>
      <w:r>
        <w:rPr>
          <w:strike/>
          <w:color w:val="000000"/>
        </w:rPr>
        <w:t>{12.6 To the extent that a Party fails to perform any obligation hereunder prior to the date of Termination, and notwithstanding that such non-performance may have caused default under this Article in whole or in part, damages for such non-performance up to and including the Termination Date shall be imposed and limited as set forth in section 17.10.</w:t>
      </w:r>
    </w:p>
    <w:p>
      <w:pPr>
        <w:pStyle w:val="BodyText3"/>
        <w:bidi w:val="0"/>
        <w:spacing w:lineRule="exact" w:line="360" w:before="120" w:after="0"/>
        <w:rPr>
          <w:color w:val="000000"/>
        </w:rPr>
      </w:pPr>
      <w:r>
        <w:rPr>
          <w:strike/>
          <w:color w:val="000000"/>
        </w:rPr>
        <w:t>12.7}</w:t>
      </w:r>
      <w:r>
        <w:rPr>
          <w:color w:val="000000"/>
        </w:rPr>
        <w:t xml:space="preserve"> </w:t>
      </w:r>
      <w:r>
        <w:rPr>
          <w:color w:val="000000"/>
          <w:u w:val="double"/>
        </w:rPr>
        <w:t>{12.8}</w:t>
      </w:r>
      <w:r>
        <w:rPr>
          <w:color w:val="000000"/>
        </w:rPr>
        <w:tab/>
        <w:t xml:space="preserve">For purposes of the application of United States bankruptcy or insolvency law to this Agreement, each Transaction under this Agreement or Transaction closed out and liquidated pursuant to this Article 12 shall be a </w:t>
      </w:r>
      <w:r>
        <w:rPr>
          <w:strike/>
          <w:color w:val="000000"/>
        </w:rPr>
        <w:t>{“forward contract”}</w:t>
      </w:r>
      <w:r>
        <w:rPr>
          <w:color w:val="000000"/>
          <w:u w:val="double"/>
        </w:rPr>
        <w:t>{"forward contract"}</w:t>
      </w:r>
      <w:r>
        <w:rPr>
          <w:color w:val="000000"/>
        </w:rPr>
        <w:t xml:space="preserve"> within the meaning of United States Bankruptcy Code, section 101(25), provided such Transaction has a maturity date (end of Delivery Period) more than two days after the date the Transaction is entered into.  For purposes of this Agreement, PG&amp;E Core and Company shall be conclusively presumed to be forward contract merchants, as that term is defined in United States Bankruptcy Code, section 101(26); and each will be treated similarly under and in all proceedings related to any bankruptcy, insolvency or similar law (regardless of the jurisdiction of application or competence of such law) or any ruling, order, directive or pronouncement made pursuant thereto. </w:t>
      </w:r>
    </w:p>
    <w:p>
      <w:pPr>
        <w:pStyle w:val="BodyTextIndent2"/>
        <w:bidi w:val="0"/>
        <w:spacing w:lineRule="exact" w:line="360" w:before="120" w:after="0"/>
        <w:rPr/>
      </w:pPr>
      <w:r>
        <w:rPr>
          <w:strike/>
        </w:rPr>
        <w:t>{12.8}</w:t>
      </w:r>
      <w:r>
        <w:rPr/>
        <w:t xml:space="preserve"> </w:t>
      </w:r>
      <w:r>
        <w:rPr>
          <w:u w:val="double"/>
        </w:rPr>
        <w:t>{12.9}</w:t>
      </w:r>
      <w:r>
        <w:rPr/>
        <w:tab/>
        <w:t xml:space="preserve">For purposes of the application of Canadian bankruptcy or insolvency law to this Agreement, all Transactions under this Agreement, </w:t>
      </w:r>
      <w:r>
        <w:rPr>
          <w:u w:val="double"/>
        </w:rPr>
        <w:t>{and any guarantee or other performance assurances thereof, as applicable,}</w:t>
      </w:r>
      <w:r>
        <w:rPr/>
        <w:t xml:space="preserve"> each and together constitute an "eligible financial contract" under and in all proceedings related to the Bankruptcy and Insolvency Act (Canada), the Companies' Creditors Arrangement Act (Canada) or the Winding-up and Restructuring Act (Canada), as the same may be amended, restated, replaced or re-enacted from time to 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tabs>
          <w:tab w:val="clear" w:pos="720"/>
          <w:tab w:val="left" w:pos="4464" w:leader="none"/>
        </w:tabs>
        <w:bidi w:val="0"/>
        <w:spacing w:lineRule="exact" w:line="360" w:before="120" w:after="0"/>
        <w:ind w:hanging="0" w:start="0" w:end="0"/>
        <w:jc w:val="center"/>
        <w:rPr>
          <w:b/>
          <w:color w:val="000000"/>
        </w:rPr>
      </w:pPr>
      <w:r>
        <w:rPr>
          <w:b/>
          <w:color w:val="000000"/>
        </w:rPr>
        <w:t>Article 13</w:t>
      </w:r>
    </w:p>
    <w:p>
      <w:pPr>
        <w:pStyle w:val="Proforma"/>
        <w:bidi w:val="0"/>
        <w:spacing w:lineRule="exact" w:line="360" w:before="120" w:after="0"/>
        <w:rPr>
          <w:color w:val="000000"/>
        </w:rPr>
      </w:pPr>
      <w:bookmarkStart w:id="22" w:name="_Toc453051619"/>
      <w:bookmarkStart w:id="23" w:name="_Toc472239484"/>
      <w:bookmarkStart w:id="24" w:name="_Toc466101913"/>
      <w:r>
        <w:rPr>
          <w:color w:val="000000"/>
        </w:rPr>
        <w:t>GOVERNMENTAL RULES, REGULATIONS AND AUTHORIZATIONS</w:t>
      </w:r>
      <w:bookmarkEnd w:id="22"/>
      <w:bookmarkEnd w:id="23"/>
      <w:bookmarkEnd w:id="24"/>
    </w:p>
    <w:p>
      <w:pPr>
        <w:pStyle w:val="BodyText3"/>
        <w:bidi w:val="0"/>
        <w:spacing w:lineRule="exact" w:line="360" w:before="120" w:after="0"/>
        <w:rPr/>
      </w:pPr>
      <w:r>
        <w:rPr/>
        <w:t>13.1</w:t>
        <w:tab/>
        <w:t>This Agreement shall be subject to all valid applicable laws, orders, rules, and regulations of any Governmental Authority having jurisdiction in the sale and purchase of Gas hereunder and this Agreement shall be construed consistently with all applicable laws, orders, rules, and regulations to the extent possible.  If and to the extent that any court of competent jurisdiction determines it impossible to construe any provision of this Agreement consistently with any applicable law, order, rule, or regulation and consequently holds that provision to be invalid, such holding shall in no way affect the validity of the other provisions of this Agreement, which shall remain in full force and effect.</w:t>
      </w:r>
    </w:p>
    <w:p>
      <w:pPr>
        <w:pStyle w:val="BodyText3"/>
        <w:bidi w:val="0"/>
        <w:spacing w:lineRule="exact" w:line="360" w:before="120" w:after="0"/>
        <w:rPr/>
      </w:pPr>
      <w:r>
        <w:rPr/>
        <w:t>13.2</w:t>
        <w:tab/>
        <w:t>Buyer and Seller agree to file on a timely basis all of their respective applications, affidavits, statements, reports and notices required under the rules or regulations of any Governmental Authority having jurisdiction in the sale and purchase of Gas hereunder and shall, upon request, provide each other with any information necessary to comply with the reporting or filing requirements of any Governmental Authority having jurisdiction.</w:t>
      </w:r>
    </w:p>
    <w:p>
      <w:pPr>
        <w:pStyle w:val="Normal"/>
        <w:keepNext w:val="true"/>
        <w:bidi w:val="0"/>
        <w:spacing w:lineRule="exact" w:line="360" w:before="120" w:after="0"/>
        <w:ind w:hanging="0" w:start="0" w:end="0"/>
        <w:jc w:val="center"/>
        <w:rPr>
          <w:b/>
          <w:color w:val="000000"/>
        </w:rPr>
      </w:pPr>
      <w:r>
        <w:rPr>
          <w:b/>
          <w:color w:val="000000"/>
        </w:rPr>
        <w:t>Article 14</w:t>
      </w:r>
    </w:p>
    <w:p>
      <w:pPr>
        <w:pStyle w:val="Proforma"/>
        <w:bidi w:val="0"/>
        <w:spacing w:lineRule="exact" w:line="360" w:before="120" w:after="0"/>
        <w:rPr>
          <w:color w:val="000000"/>
        </w:rPr>
      </w:pPr>
      <w:bookmarkStart w:id="25" w:name="_Toc453051620"/>
      <w:bookmarkStart w:id="26" w:name="_Toc472239485"/>
      <w:r>
        <w:rPr>
          <w:color w:val="000000"/>
        </w:rPr>
        <w:t>ASSIGNMENT</w:t>
      </w:r>
      <w:bookmarkEnd w:id="25"/>
      <w:bookmarkEnd w:id="26"/>
    </w:p>
    <w:p>
      <w:pPr>
        <w:pStyle w:val="BodyText3"/>
        <w:tabs>
          <w:tab w:val="clear" w:pos="720"/>
          <w:tab w:val="left" w:pos="360" w:leader="none"/>
        </w:tabs>
        <w:bidi w:val="0"/>
        <w:spacing w:lineRule="exact" w:line="360" w:before="120" w:after="0"/>
        <w:rPr>
          <w:color w:val="000000"/>
        </w:rPr>
      </w:pPr>
      <w:r>
        <w:rPr>
          <w:color w:val="000000"/>
        </w:rPr>
        <w:t>14.1</w:t>
        <w:tab/>
      </w:r>
      <w:r>
        <w:rPr/>
        <w:t xml:space="preserve">The provisions of this Agreement will be binding upon and inure to the benefit of the successors and permitted assigns of each of the Parties hereto.  Neither Party shall transfer or assign this Agreement without the prior written approval of the other Party, </w:t>
      </w:r>
      <w:r>
        <w:rPr>
          <w:u w:val="double"/>
        </w:rPr>
        <w:t>{which approval may be withheld or given entirely at the option of such Party;}</w:t>
      </w:r>
      <w:r>
        <w:rPr/>
        <w:t xml:space="preserve"> provided, however, either Party may transfer or assign its interest hereunder to an affiliate, subsidiary or to any person or entity succeeding to all or substantially all of the assets of such Party, all without the prior written approval of the other Party,</w:t>
      </w:r>
      <w:r>
        <w:rPr>
          <w:strike/>
        </w:rPr>
        <w:t>{ provided such entity has a credit status which is at least as high as that of the assignor.}</w:t>
      </w:r>
      <w:r>
        <w:rPr/>
        <w:t xml:space="preserve"> but no such assignment will relieve the assigning Party of its obligations hereunder.</w:t>
      </w:r>
      <w:r>
        <w:rPr>
          <w:strike/>
          <w:color w:val="000000"/>
        </w:rPr>
        <w:t>{ Any consent required by this Article 14.1 shall not be unreasonably withheld.}</w:t>
      </w:r>
    </w:p>
    <w:p>
      <w:pPr>
        <w:pStyle w:val="BodyText3"/>
        <w:tabs>
          <w:tab w:val="clear" w:pos="720"/>
          <w:tab w:val="left" w:pos="360" w:leader="none"/>
        </w:tabs>
        <w:bidi w:val="0"/>
        <w:spacing w:lineRule="exact" w:line="360" w:before="120" w:after="0"/>
        <w:rPr>
          <w:color w:val="000000"/>
        </w:rPr>
      </w:pPr>
      <w:r>
        <w:rPr>
          <w:color w:val="000000"/>
        </w:rPr>
        <w:t>14.2</w:t>
        <w:tab/>
        <w:t>No future assignment will in any way operate to enlarge, alter or change any obligation of the non-assigning Party under this Agreement.</w:t>
      </w:r>
    </w:p>
    <w:p>
      <w:pPr>
        <w:pStyle w:val="Heading2"/>
        <w:numPr>
          <w:ilvl w:val="0"/>
          <w:numId w:val="0"/>
        </w:numPr>
        <w:bidi w:val="0"/>
        <w:spacing w:lineRule="exact" w:line="360" w:before="120" w:after="0"/>
        <w:ind w:hanging="0" w:start="0"/>
        <w:outlineLvl w:val="1"/>
        <w:rPr>
          <w:color w:val="000000"/>
        </w:rPr>
      </w:pPr>
      <w:r>
        <w:rPr>
          <w:color w:val="000000"/>
        </w:rPr>
        <w:t>Article 15</w:t>
      </w:r>
    </w:p>
    <w:p>
      <w:pPr>
        <w:pStyle w:val="Proforma"/>
        <w:bidi w:val="0"/>
        <w:spacing w:lineRule="exact" w:line="360" w:before="120" w:after="0"/>
        <w:rPr>
          <w:color w:val="000000"/>
        </w:rPr>
      </w:pPr>
      <w:bookmarkStart w:id="27" w:name="_Toc453051621"/>
      <w:bookmarkStart w:id="28" w:name="_Toc472239486"/>
      <w:r>
        <w:rPr>
          <w:color w:val="000000"/>
        </w:rPr>
        <w:t>NOTICES</w:t>
      </w:r>
      <w:bookmarkEnd w:id="27"/>
      <w:bookmarkEnd w:id="28"/>
    </w:p>
    <w:p>
      <w:pPr>
        <w:pStyle w:val="Normal"/>
        <w:bidi w:val="0"/>
        <w:spacing w:lineRule="exact" w:line="360" w:before="120" w:after="0"/>
        <w:ind w:hanging="720" w:start="720" w:end="0"/>
        <w:rPr>
          <w:color w:val="000000"/>
          <w:sz w:val="16"/>
        </w:rPr>
      </w:pPr>
      <w:r>
        <w:rPr>
          <w:color w:val="000000"/>
          <w:sz w:val="16"/>
        </w:rPr>
      </w:r>
    </w:p>
    <w:p>
      <w:pPr>
        <w:pStyle w:val="BodyText3"/>
        <w:bidi w:val="0"/>
        <w:spacing w:lineRule="exact" w:line="360" w:before="120" w:after="0"/>
        <w:ind w:hanging="0" w:start="0" w:end="0"/>
        <w:rPr>
          <w:color w:val="000000"/>
        </w:rPr>
      </w:pPr>
      <w:r>
        <w:rPr>
          <w:color w:val="000000"/>
        </w:rPr>
        <w:t>Any notice, request, demand, or statement provided for in this Agreement shall be in writing and deemed given when transmitted via telecopy to the telecopier number of the Parties as follows or when delivered by courier to the applicable address below:</w:t>
      </w:r>
    </w:p>
    <w:p>
      <w:pPr>
        <w:pStyle w:val="BodyText3"/>
        <w:bidi w:val="0"/>
        <w:spacing w:lineRule="exact" w:line="360" w:before="120" w:after="0"/>
        <w:ind w:hanging="0" w:start="0" w:end="0"/>
        <w:rPr>
          <w:color w:val="000000"/>
        </w:rPr>
      </w:pPr>
      <w:r>
        <w:rPr>
          <w:color w:val="000000"/>
        </w:rPr>
      </w:r>
    </w:p>
    <w:tbl>
      <w:tblPr>
        <w:tblW w:w="9558" w:type="dxa"/>
        <w:jc w:val="start"/>
        <w:tblInd w:w="0" w:type="dxa"/>
        <w:tblLayout w:type="fixed"/>
        <w:tblCellMar>
          <w:top w:w="0" w:type="dxa"/>
          <w:start w:w="108" w:type="dxa"/>
          <w:bottom w:w="0" w:type="dxa"/>
          <w:end w:w="108" w:type="dxa"/>
        </w:tblCellMar>
      </w:tblPr>
      <w:tblGrid>
        <w:gridCol w:w="4787"/>
        <w:gridCol w:w="4770"/>
      </w:tblGrid>
      <w:tr>
        <w:trPr/>
        <w:tc>
          <w:tcPr>
            <w:tcW w:w="4787" w:type="dxa"/>
            <w:tcBorders/>
          </w:tcPr>
          <w:p>
            <w:pPr>
              <w:pStyle w:val="Normal"/>
              <w:tabs>
                <w:tab w:val="clear" w:pos="720"/>
              </w:tabs>
              <w:bidi w:val="0"/>
              <w:spacing w:lineRule="auto" w:line="240"/>
              <w:ind w:hanging="0" w:start="0" w:end="0"/>
              <w:rPr/>
            </w:pPr>
            <w:r>
              <w:rPr>
                <w:b/>
                <w:color w:val="000000"/>
              </w:rPr>
              <w:t>PACIFIC GAS AND ELECTRIC COMPANY</w:t>
            </w:r>
          </w:p>
        </w:tc>
        <w:tc>
          <w:tcPr>
            <w:tcW w:w="4770" w:type="dxa"/>
            <w:tcBorders/>
          </w:tcPr>
          <w:p>
            <w:pPr>
              <w:pStyle w:val="Normal"/>
              <w:tabs>
                <w:tab w:val="clear" w:pos="720"/>
              </w:tabs>
              <w:bidi w:val="0"/>
              <w:spacing w:lineRule="auto" w:line="240"/>
              <w:ind w:hanging="0" w:start="0" w:end="0"/>
              <w:rPr/>
            </w:pPr>
            <w:r>
              <w:rPr>
                <w:b/>
                <w:color w:val="000000"/>
              </w:rPr>
              <w:t>ENRON CANADA CORP.</w:t>
            </w:r>
          </w:p>
        </w:tc>
      </w:tr>
      <w:tr>
        <w:trPr/>
        <w:tc>
          <w:tcPr>
            <w:tcW w:w="4787" w:type="dxa"/>
            <w:tcBorders/>
          </w:tcPr>
          <w:p>
            <w:pPr>
              <w:pStyle w:val="Normal"/>
              <w:tabs>
                <w:tab w:val="clear" w:pos="720"/>
              </w:tabs>
              <w:bidi w:val="0"/>
              <w:spacing w:lineRule="auto" w:line="240"/>
              <w:ind w:hanging="0" w:start="0" w:end="0"/>
              <w:rPr>
                <w:color w:val="000000"/>
                <w:sz w:val="8"/>
                <w:u w:val="single"/>
              </w:rPr>
            </w:pPr>
            <w:r>
              <w:rPr>
                <w:color w:val="000000"/>
                <w:sz w:val="8"/>
                <w:u w:val="single"/>
              </w:rPr>
            </w:r>
          </w:p>
          <w:p>
            <w:pPr>
              <w:pStyle w:val="Normal"/>
              <w:tabs>
                <w:tab w:val="clear" w:pos="720"/>
              </w:tabs>
              <w:bidi w:val="0"/>
              <w:spacing w:lineRule="auto" w:line="240"/>
              <w:ind w:hanging="0" w:start="0" w:end="0"/>
              <w:rPr>
                <w:b/>
                <w:color w:val="000000"/>
              </w:rPr>
            </w:pPr>
            <w:r>
              <w:rPr>
                <w:b/>
                <w:color w:val="000000"/>
                <w:u w:val="single"/>
              </w:rPr>
              <w:t>Notices and Correspondence</w:t>
            </w:r>
          </w:p>
          <w:p>
            <w:pPr>
              <w:pStyle w:val="Normal"/>
              <w:tabs>
                <w:tab w:val="clear" w:pos="720"/>
              </w:tabs>
              <w:bidi w:val="0"/>
              <w:spacing w:lineRule="auto" w:line="240"/>
              <w:ind w:hanging="0" w:start="0" w:end="0"/>
              <w:rPr>
                <w:color w:val="000000"/>
                <w:sz w:val="8"/>
              </w:rPr>
            </w:pPr>
            <w:r>
              <w:rPr>
                <w:color w:val="000000"/>
                <w:sz w:val="8"/>
              </w:rPr>
            </w:r>
          </w:p>
          <w:p>
            <w:pPr>
              <w:pStyle w:val="Normal"/>
              <w:tabs>
                <w:tab w:val="clear" w:pos="720"/>
              </w:tabs>
              <w:bidi w:val="0"/>
              <w:spacing w:lineRule="auto" w:line="240"/>
              <w:ind w:hanging="0" w:start="0" w:end="0"/>
              <w:rPr>
                <w:color w:val="000000"/>
              </w:rPr>
            </w:pPr>
            <w:r>
              <w:rPr>
                <w:color w:val="000000"/>
                <w:u w:val="single"/>
              </w:rPr>
              <w:t>Street Address</w:t>
            </w:r>
            <w:r>
              <w:rPr>
                <w:color w:val="000000"/>
              </w:rPr>
              <w:t>:</w:t>
            </w:r>
          </w:p>
          <w:p>
            <w:pPr>
              <w:pStyle w:val="Normal"/>
              <w:tabs>
                <w:tab w:val="clear" w:pos="720"/>
              </w:tabs>
              <w:bidi w:val="0"/>
              <w:spacing w:lineRule="auto" w:line="240"/>
              <w:ind w:hanging="0" w:start="0" w:end="0"/>
              <w:rPr>
                <w:color w:val="000000"/>
              </w:rPr>
            </w:pPr>
            <w:r>
              <w:rPr>
                <w:color w:val="000000"/>
              </w:rPr>
              <w:t>Pacific Gas and Electric Company</w:t>
            </w:r>
          </w:p>
          <w:p>
            <w:pPr>
              <w:pStyle w:val="Normal"/>
              <w:tabs>
                <w:tab w:val="clear" w:pos="720"/>
              </w:tabs>
              <w:bidi w:val="0"/>
              <w:spacing w:lineRule="auto" w:line="240"/>
              <w:ind w:hanging="0" w:start="0" w:end="0"/>
              <w:rPr>
                <w:color w:val="000000"/>
              </w:rPr>
            </w:pPr>
            <w:r>
              <w:rPr>
                <w:color w:val="000000"/>
              </w:rPr>
              <w:t>Gas Procurement</w:t>
            </w:r>
          </w:p>
          <w:p>
            <w:pPr>
              <w:pStyle w:val="Normal"/>
              <w:tabs>
                <w:tab w:val="clear" w:pos="720"/>
              </w:tabs>
              <w:bidi w:val="0"/>
              <w:spacing w:lineRule="auto" w:line="240"/>
              <w:ind w:hanging="0" w:start="0" w:end="0"/>
              <w:rPr>
                <w:color w:val="000000"/>
              </w:rPr>
            </w:pPr>
            <w:r>
              <w:rPr>
                <w:color w:val="000000"/>
              </w:rPr>
              <w:t>P.O. Box 770000 - Mail Code B5F</w:t>
            </w:r>
          </w:p>
          <w:p>
            <w:pPr>
              <w:pStyle w:val="Normal"/>
              <w:tabs>
                <w:tab w:val="clear" w:pos="720"/>
              </w:tabs>
              <w:bidi w:val="0"/>
              <w:spacing w:lineRule="auto" w:line="240"/>
              <w:ind w:hanging="0" w:start="0" w:end="0"/>
              <w:rPr>
                <w:color w:val="000000"/>
              </w:rPr>
            </w:pPr>
            <w:r>
              <w:rPr>
                <w:color w:val="000000"/>
              </w:rPr>
              <w:t>San Francisco, California 94177</w:t>
            </w:r>
          </w:p>
          <w:p>
            <w:pPr>
              <w:pStyle w:val="Normal"/>
              <w:tabs>
                <w:tab w:val="clear" w:pos="720"/>
              </w:tabs>
              <w:bidi w:val="0"/>
              <w:spacing w:lineRule="auto" w:line="240"/>
              <w:ind w:hanging="0" w:start="0" w:end="0"/>
              <w:rPr>
                <w:color w:val="000000"/>
              </w:rPr>
            </w:pPr>
            <w:r>
              <w:rPr>
                <w:color w:val="000000"/>
              </w:rPr>
              <w:t>Attention:  Contract Administrator</w:t>
            </w:r>
          </w:p>
          <w:p>
            <w:pPr>
              <w:pStyle w:val="Normal"/>
              <w:tabs>
                <w:tab w:val="clear" w:pos="720"/>
              </w:tabs>
              <w:bidi w:val="0"/>
              <w:spacing w:lineRule="auto" w:line="240"/>
              <w:ind w:hanging="0" w:start="0" w:end="0"/>
              <w:rPr>
                <w:color w:val="000000"/>
              </w:rPr>
            </w:pPr>
            <w:r>
              <w:rPr>
                <w:color w:val="000000"/>
              </w:rPr>
              <w:t>Telephone No. (415) 973-6720</w:t>
            </w:r>
          </w:p>
          <w:p>
            <w:pPr>
              <w:pStyle w:val="Normal"/>
              <w:tabs>
                <w:tab w:val="clear" w:pos="720"/>
              </w:tabs>
              <w:bidi w:val="0"/>
              <w:spacing w:lineRule="auto" w:line="240"/>
              <w:ind w:hanging="0" w:start="0" w:end="0"/>
              <w:rPr>
                <w:color w:val="000000"/>
              </w:rPr>
            </w:pPr>
            <w:r>
              <w:rPr>
                <w:color w:val="000000"/>
              </w:rPr>
              <w:t xml:space="preserve">Facsimile No. </w:t>
              <w:tab/>
              <w:t xml:space="preserve"> (415) 973-9213</w:t>
            </w:r>
          </w:p>
          <w:p>
            <w:pPr>
              <w:pStyle w:val="Normal"/>
              <w:tabs>
                <w:tab w:val="clear" w:pos="720"/>
              </w:tabs>
              <w:bidi w:val="0"/>
              <w:spacing w:lineRule="auto" w:line="240"/>
              <w:ind w:hanging="0" w:start="0" w:end="0"/>
              <w:rPr>
                <w:color w:val="000000"/>
              </w:rPr>
            </w:pPr>
            <w:r>
              <w:rPr>
                <w:color w:val="000000"/>
              </w:rPr>
            </w:r>
          </w:p>
        </w:tc>
        <w:tc>
          <w:tcPr>
            <w:tcW w:w="4770" w:type="dxa"/>
            <w:tcBorders/>
          </w:tcPr>
          <w:p>
            <w:pPr>
              <w:pStyle w:val="Normal"/>
              <w:tabs>
                <w:tab w:val="clear" w:pos="720"/>
              </w:tabs>
              <w:bidi w:val="0"/>
              <w:spacing w:lineRule="auto" w:line="240"/>
              <w:ind w:hanging="0" w:start="0" w:end="0"/>
              <w:rPr>
                <w:color w:val="000000"/>
                <w:sz w:val="8"/>
                <w:u w:val="single"/>
              </w:rPr>
            </w:pPr>
            <w:r>
              <w:rPr>
                <w:color w:val="000000"/>
                <w:sz w:val="8"/>
                <w:u w:val="single"/>
              </w:rPr>
            </w:r>
          </w:p>
          <w:p>
            <w:pPr>
              <w:pStyle w:val="Normal"/>
              <w:tabs>
                <w:tab w:val="clear" w:pos="720"/>
              </w:tabs>
              <w:bidi w:val="0"/>
              <w:spacing w:lineRule="auto" w:line="240"/>
              <w:ind w:hanging="0" w:start="0" w:end="0"/>
              <w:rPr>
                <w:b/>
                <w:color w:val="000000"/>
                <w:u w:val="single"/>
              </w:rPr>
            </w:pPr>
            <w:r>
              <w:rPr>
                <w:b/>
                <w:color w:val="000000"/>
                <w:u w:val="single"/>
              </w:rPr>
              <w:t>Notices and Correspondence</w:t>
            </w:r>
          </w:p>
          <w:p>
            <w:pPr>
              <w:pStyle w:val="Normal"/>
              <w:tabs>
                <w:tab w:val="clear" w:pos="720"/>
              </w:tabs>
              <w:bidi w:val="0"/>
              <w:spacing w:lineRule="auto" w:line="240"/>
              <w:ind w:hanging="0" w:start="0" w:end="0"/>
              <w:rPr>
                <w:color w:val="000000"/>
                <w:sz w:val="8"/>
              </w:rPr>
            </w:pPr>
            <w:r>
              <w:rPr>
                <w:color w:val="000000"/>
                <w:sz w:val="8"/>
              </w:rPr>
            </w:r>
          </w:p>
          <w:p>
            <w:pPr>
              <w:pStyle w:val="Normal"/>
              <w:tabs>
                <w:tab w:val="clear" w:pos="720"/>
              </w:tabs>
              <w:bidi w:val="0"/>
              <w:spacing w:lineRule="auto" w:line="240"/>
              <w:ind w:hanging="0" w:start="0" w:end="0"/>
              <w:rPr>
                <w:color w:val="000000"/>
              </w:rPr>
            </w:pPr>
            <w:r>
              <w:rPr>
                <w:color w:val="000000"/>
                <w:u w:val="single"/>
              </w:rPr>
              <w:t>Street Address</w:t>
            </w:r>
            <w:r>
              <w:rPr>
                <w:color w:val="000000"/>
              </w:rPr>
              <w:t>:</w:t>
            </w:r>
          </w:p>
          <w:p>
            <w:pPr>
              <w:pStyle w:val="Normal"/>
              <w:tabs>
                <w:tab w:val="clear" w:pos="720"/>
              </w:tabs>
              <w:bidi w:val="0"/>
              <w:spacing w:lineRule="auto" w:line="240"/>
              <w:ind w:hanging="0" w:start="0" w:end="0"/>
              <w:rPr>
                <w:color w:val="000000"/>
              </w:rPr>
            </w:pPr>
            <w:r>
              <w:rPr>
                <w:color w:val="000000"/>
              </w:rPr>
              <w:t>Enron Canada Corp.</w:t>
            </w:r>
          </w:p>
          <w:p>
            <w:pPr>
              <w:pStyle w:val="Normal"/>
              <w:tabs>
                <w:tab w:val="clear" w:pos="720"/>
              </w:tabs>
              <w:bidi w:val="0"/>
              <w:spacing w:lineRule="auto" w:line="240"/>
              <w:ind w:hanging="0" w:start="0" w:end="0"/>
              <w:rPr>
                <w:color w:val="000000"/>
              </w:rPr>
            </w:pPr>
            <w:r>
              <w:rPr>
                <w:color w:val="000000"/>
              </w:rPr>
              <w:t>400 – 3</w:t>
            </w:r>
            <w:r>
              <w:rPr>
                <w:color w:val="000000"/>
                <w:vertAlign w:val="superscript"/>
              </w:rPr>
              <w:t>rd</w:t>
            </w:r>
            <w:r>
              <w:rPr>
                <w:color w:val="000000"/>
              </w:rPr>
              <w:t xml:space="preserve"> Avenue S.W.</w:t>
            </w:r>
          </w:p>
          <w:p>
            <w:pPr>
              <w:pStyle w:val="Normal"/>
              <w:tabs>
                <w:tab w:val="clear" w:pos="720"/>
              </w:tabs>
              <w:bidi w:val="0"/>
              <w:spacing w:lineRule="auto" w:line="240"/>
              <w:ind w:hanging="0" w:start="0" w:end="0"/>
              <w:rPr>
                <w:color w:val="000000"/>
              </w:rPr>
            </w:pPr>
            <w:r>
              <w:rPr>
                <w:color w:val="000000"/>
              </w:rPr>
              <w:t>Suite 3500, Canterra Tower</w:t>
            </w:r>
          </w:p>
          <w:p>
            <w:pPr>
              <w:pStyle w:val="Normal"/>
              <w:tabs>
                <w:tab w:val="clear" w:pos="720"/>
              </w:tabs>
              <w:bidi w:val="0"/>
              <w:spacing w:lineRule="auto" w:line="240"/>
              <w:ind w:hanging="0" w:start="0" w:end="0"/>
              <w:rPr>
                <w:color w:val="000000"/>
              </w:rPr>
            </w:pPr>
            <w:r>
              <w:rPr>
                <w:color w:val="000000"/>
              </w:rPr>
              <w:t>Attn:  Corporate Secretary</w:t>
            </w:r>
          </w:p>
          <w:p>
            <w:pPr>
              <w:pStyle w:val="Normal"/>
              <w:tabs>
                <w:tab w:val="clear" w:pos="720"/>
              </w:tabs>
              <w:bidi w:val="0"/>
              <w:spacing w:lineRule="auto" w:line="240"/>
              <w:ind w:hanging="0" w:start="0" w:end="0"/>
              <w:rPr>
                <w:color w:val="000000"/>
              </w:rPr>
            </w:pPr>
            <w:r>
              <w:rPr>
                <w:color w:val="000000"/>
              </w:rPr>
              <w:t>Calgary, Alberta  T2P 4H2</w:t>
            </w:r>
          </w:p>
          <w:p>
            <w:pPr>
              <w:pStyle w:val="Normal"/>
              <w:tabs>
                <w:tab w:val="clear" w:pos="720"/>
              </w:tabs>
              <w:bidi w:val="0"/>
              <w:spacing w:lineRule="auto" w:line="240"/>
              <w:ind w:hanging="0" w:start="0" w:end="0"/>
              <w:rPr>
                <w:color w:val="000000"/>
              </w:rPr>
            </w:pPr>
            <w:r>
              <w:rPr>
                <w:color w:val="000000"/>
              </w:rPr>
              <w:t>Telephone No. (403) 974-</w:t>
            </w:r>
            <w:r>
              <w:rPr>
                <w:strike/>
                <w:color w:val="000000"/>
              </w:rPr>
              <w:t>{6925}</w:t>
            </w:r>
            <w:r>
              <w:rPr>
                <w:color w:val="000000"/>
              </w:rPr>
              <w:t xml:space="preserve"> </w:t>
            </w:r>
            <w:r>
              <w:rPr>
                <w:color w:val="000000"/>
                <w:u w:val="double"/>
              </w:rPr>
              <w:t>{6923}</w:t>
            </w:r>
          </w:p>
          <w:p>
            <w:pPr>
              <w:pStyle w:val="Normal"/>
              <w:tabs>
                <w:tab w:val="clear" w:pos="720"/>
              </w:tabs>
              <w:bidi w:val="0"/>
              <w:spacing w:lineRule="auto" w:line="240"/>
              <w:ind w:hanging="0" w:start="0" w:end="0"/>
              <w:rPr>
                <w:color w:val="000000"/>
              </w:rPr>
            </w:pPr>
            <w:r>
              <w:rPr>
                <w:color w:val="000000"/>
              </w:rPr>
              <w:t>Facsimile No. (403) 974-6707</w:t>
            </w:r>
          </w:p>
          <w:p>
            <w:pPr>
              <w:pStyle w:val="Normal"/>
              <w:tabs>
                <w:tab w:val="clear" w:pos="720"/>
              </w:tabs>
              <w:bidi w:val="0"/>
              <w:spacing w:lineRule="auto" w:line="240"/>
              <w:ind w:hanging="0" w:start="0" w:end="-378"/>
              <w:rPr>
                <w:color w:val="000000"/>
              </w:rPr>
            </w:pPr>
            <w:r>
              <w:rPr>
                <w:color w:val="000000"/>
              </w:rPr>
            </w:r>
          </w:p>
        </w:tc>
      </w:tr>
      <w:tr>
        <w:trPr/>
        <w:tc>
          <w:tcPr>
            <w:tcW w:w="4787" w:type="dxa"/>
            <w:tcBorders/>
          </w:tcPr>
          <w:p>
            <w:pPr>
              <w:pStyle w:val="Normal"/>
              <w:bidi w:val="0"/>
              <w:spacing w:lineRule="auto" w:line="240"/>
              <w:ind w:hanging="0" w:start="0" w:end="0"/>
              <w:rPr>
                <w:color w:val="000000"/>
                <w:u w:val="single"/>
              </w:rPr>
            </w:pPr>
            <w:r>
              <w:rPr>
                <w:color w:val="000000"/>
                <w:u w:val="single"/>
              </w:rPr>
              <w:t>Federal Express/Courier Address</w:t>
            </w:r>
          </w:p>
          <w:p>
            <w:pPr>
              <w:pStyle w:val="Normal"/>
              <w:bidi w:val="0"/>
              <w:spacing w:lineRule="auto" w:line="240"/>
              <w:ind w:hanging="0" w:start="0" w:end="0"/>
              <w:rPr>
                <w:color w:val="000000"/>
              </w:rPr>
            </w:pPr>
            <w:r>
              <w:rPr>
                <w:color w:val="000000"/>
              </w:rPr>
              <w:t>Gas Procurement</w:t>
            </w:r>
          </w:p>
          <w:p>
            <w:pPr>
              <w:pStyle w:val="Normal"/>
              <w:bidi w:val="0"/>
              <w:spacing w:lineRule="auto" w:line="240"/>
              <w:ind w:hanging="0" w:start="0" w:end="0"/>
              <w:rPr>
                <w:color w:val="000000"/>
              </w:rPr>
            </w:pPr>
            <w:r>
              <w:rPr>
                <w:color w:val="000000"/>
              </w:rPr>
              <w:t>77 Beale Street - Mail Code B5F</w:t>
            </w:r>
          </w:p>
          <w:p>
            <w:pPr>
              <w:pStyle w:val="Normal"/>
              <w:bidi w:val="0"/>
              <w:spacing w:lineRule="auto" w:line="240"/>
              <w:ind w:hanging="0" w:start="0" w:end="0"/>
              <w:rPr/>
            </w:pPr>
            <w:r>
              <w:rPr>
                <w:color w:val="000000"/>
              </w:rPr>
              <w:t>San Francisco, California 94105</w:t>
            </w:r>
          </w:p>
        </w:tc>
        <w:tc>
          <w:tcPr>
            <w:tcW w:w="4770" w:type="dxa"/>
            <w:tcBorders/>
          </w:tcPr>
          <w:p>
            <w:pPr>
              <w:pStyle w:val="Normal"/>
              <w:bidi w:val="0"/>
              <w:spacing w:lineRule="auto" w:line="240"/>
              <w:ind w:hanging="0" w:start="0" w:end="0"/>
              <w:rPr>
                <w:color w:val="000000"/>
                <w:sz w:val="8"/>
                <w:u w:val="single"/>
              </w:rPr>
            </w:pPr>
            <w:r>
              <w:rPr>
                <w:color w:val="000000"/>
                <w:sz w:val="8"/>
                <w:u w:val="single"/>
              </w:rPr>
            </w:r>
          </w:p>
        </w:tc>
      </w:tr>
      <w:tr>
        <w:trPr/>
        <w:tc>
          <w:tcPr>
            <w:tcW w:w="4787" w:type="dxa"/>
            <w:tcBorders/>
          </w:tcPr>
          <w:p>
            <w:pPr>
              <w:pStyle w:val="Normal"/>
              <w:bidi w:val="0"/>
              <w:spacing w:lineRule="auto" w:line="240"/>
              <w:ind w:hanging="0" w:start="0" w:end="0"/>
              <w:rPr>
                <w:color w:val="000000"/>
                <w:sz w:val="8"/>
                <w:u w:val="single"/>
              </w:rPr>
            </w:pPr>
            <w:r>
              <w:rPr>
                <w:color w:val="000000"/>
                <w:sz w:val="8"/>
                <w:u w:val="single"/>
              </w:rPr>
            </w:r>
          </w:p>
        </w:tc>
        <w:tc>
          <w:tcPr>
            <w:tcW w:w="4770" w:type="dxa"/>
            <w:tcBorders/>
          </w:tcPr>
          <w:p>
            <w:pPr>
              <w:pStyle w:val="Normal"/>
              <w:bidi w:val="0"/>
              <w:spacing w:lineRule="auto" w:line="240"/>
              <w:ind w:hanging="0" w:start="0" w:end="0"/>
              <w:rPr>
                <w:color w:val="000000"/>
                <w:sz w:val="8"/>
                <w:u w:val="single"/>
              </w:rPr>
            </w:pPr>
            <w:r>
              <w:rPr>
                <w:color w:val="000000"/>
                <w:sz w:val="8"/>
                <w:u w:val="single"/>
              </w:rPr>
            </w:r>
          </w:p>
        </w:tc>
      </w:tr>
      <w:tr>
        <w:trPr>
          <w:cantSplit w:val="true"/>
        </w:trPr>
        <w:tc>
          <w:tcPr>
            <w:tcW w:w="4787" w:type="dxa"/>
            <w:tcBorders/>
          </w:tcPr>
          <w:p>
            <w:pPr>
              <w:pStyle w:val="Normal"/>
              <w:tabs>
                <w:tab w:val="clear" w:pos="720"/>
              </w:tabs>
              <w:bidi w:val="0"/>
              <w:spacing w:lineRule="auto" w:line="240"/>
              <w:ind w:hanging="0" w:start="0" w:end="0"/>
              <w:rPr>
                <w:color w:val="000000"/>
                <w:sz w:val="8"/>
                <w:u w:val="single"/>
              </w:rPr>
            </w:pPr>
            <w:r>
              <w:rPr>
                <w:color w:val="000000"/>
                <w:sz w:val="8"/>
                <w:u w:val="single"/>
              </w:rPr>
            </w:r>
          </w:p>
          <w:p>
            <w:pPr>
              <w:pStyle w:val="Normal"/>
              <w:keepNext w:val="true"/>
              <w:tabs>
                <w:tab w:val="clear" w:pos="720"/>
              </w:tabs>
              <w:bidi w:val="0"/>
              <w:spacing w:lineRule="auto" w:line="240"/>
              <w:ind w:hanging="0" w:start="0" w:end="0"/>
              <w:rPr>
                <w:b/>
                <w:color w:val="000000"/>
                <w:u w:val="single"/>
              </w:rPr>
            </w:pPr>
            <w:r>
              <w:rPr>
                <w:b/>
                <w:color w:val="000000"/>
                <w:u w:val="single"/>
              </w:rPr>
              <w:t>Billings and Statements</w:t>
            </w:r>
          </w:p>
          <w:p>
            <w:pPr>
              <w:pStyle w:val="Normal"/>
              <w:keepNext w:val="true"/>
              <w:tabs>
                <w:tab w:val="clear" w:pos="720"/>
              </w:tabs>
              <w:bidi w:val="0"/>
              <w:spacing w:lineRule="auto" w:line="240"/>
              <w:ind w:hanging="0" w:start="0" w:end="0"/>
              <w:rPr>
                <w:color w:val="000000"/>
                <w:sz w:val="8"/>
                <w:u w:val="single"/>
              </w:rPr>
            </w:pPr>
            <w:r>
              <w:rPr>
                <w:color w:val="000000"/>
                <w:sz w:val="8"/>
                <w:u w:val="single"/>
              </w:rPr>
            </w:r>
          </w:p>
          <w:p>
            <w:pPr>
              <w:pStyle w:val="Normal"/>
              <w:keepNext w:val="true"/>
              <w:tabs>
                <w:tab w:val="clear" w:pos="720"/>
              </w:tabs>
              <w:bidi w:val="0"/>
              <w:spacing w:lineRule="auto" w:line="240"/>
              <w:ind w:hanging="0" w:start="0" w:end="0"/>
              <w:rPr>
                <w:color w:val="000000"/>
              </w:rPr>
            </w:pPr>
            <w:r>
              <w:rPr>
                <w:color w:val="000000"/>
              </w:rPr>
              <w:t>Pacific Gas and Electric Company</w:t>
            </w:r>
          </w:p>
          <w:p>
            <w:pPr>
              <w:pStyle w:val="Normal"/>
              <w:keepNext w:val="true"/>
              <w:tabs>
                <w:tab w:val="clear" w:pos="720"/>
              </w:tabs>
              <w:bidi w:val="0"/>
              <w:spacing w:lineRule="auto" w:line="240"/>
              <w:ind w:hanging="0" w:start="0" w:end="0"/>
              <w:rPr>
                <w:color w:val="000000"/>
              </w:rPr>
            </w:pPr>
            <w:r>
              <w:rPr>
                <w:color w:val="000000"/>
              </w:rPr>
              <w:t>P.O. Box 770000 - Mail Code B5F</w:t>
            </w:r>
          </w:p>
          <w:p>
            <w:pPr>
              <w:pStyle w:val="Normal"/>
              <w:tabs>
                <w:tab w:val="clear" w:pos="720"/>
              </w:tabs>
              <w:bidi w:val="0"/>
              <w:spacing w:lineRule="auto" w:line="240"/>
              <w:ind w:hanging="0" w:start="0" w:end="0"/>
              <w:rPr>
                <w:color w:val="000000"/>
              </w:rPr>
            </w:pPr>
            <w:r>
              <w:rPr>
                <w:color w:val="000000"/>
              </w:rPr>
              <w:t>San Francisco, California 94177</w:t>
            </w:r>
          </w:p>
          <w:p>
            <w:pPr>
              <w:pStyle w:val="Normal"/>
              <w:tabs>
                <w:tab w:val="clear" w:pos="720"/>
                <w:tab w:val="left" w:pos="4050" w:leader="none"/>
              </w:tabs>
              <w:bidi w:val="0"/>
              <w:spacing w:lineRule="auto" w:line="240"/>
              <w:ind w:hanging="0" w:start="0" w:end="702"/>
              <w:rPr>
                <w:color w:val="000000"/>
              </w:rPr>
            </w:pPr>
            <w:r>
              <w:rPr>
                <w:color w:val="000000"/>
              </w:rPr>
              <w:t>Attention:  Gas Accountant Analyst</w:t>
            </w:r>
          </w:p>
          <w:p>
            <w:pPr>
              <w:pStyle w:val="Normal"/>
              <w:tabs>
                <w:tab w:val="clear" w:pos="720"/>
              </w:tabs>
              <w:bidi w:val="0"/>
              <w:spacing w:lineRule="auto" w:line="240"/>
              <w:ind w:hanging="0" w:start="0" w:end="0"/>
              <w:rPr>
                <w:color w:val="000000"/>
              </w:rPr>
            </w:pPr>
            <w:r>
              <w:rPr>
                <w:color w:val="000000"/>
              </w:rPr>
              <w:t>Telephone No:(415) 973-1157</w:t>
            </w:r>
          </w:p>
          <w:p>
            <w:pPr>
              <w:pStyle w:val="Normal"/>
              <w:tabs>
                <w:tab w:val="clear" w:pos="720"/>
              </w:tabs>
              <w:bidi w:val="0"/>
              <w:spacing w:lineRule="auto" w:line="240"/>
              <w:ind w:hanging="0" w:start="0" w:end="0"/>
              <w:rPr>
                <w:color w:val="000000"/>
              </w:rPr>
            </w:pPr>
            <w:r>
              <w:rPr>
                <w:color w:val="000000"/>
              </w:rPr>
              <w:t>Facsimile No.</w:t>
              <w:tab/>
              <w:t>(415) 973-9213</w:t>
            </w:r>
          </w:p>
          <w:p>
            <w:pPr>
              <w:pStyle w:val="Normal"/>
              <w:tabs>
                <w:tab w:val="clear" w:pos="720"/>
              </w:tabs>
              <w:bidi w:val="0"/>
              <w:spacing w:lineRule="auto" w:line="240"/>
              <w:ind w:hanging="0" w:start="0" w:end="0"/>
              <w:rPr>
                <w:color w:val="000000"/>
              </w:rPr>
            </w:pPr>
            <w:r>
              <w:rPr>
                <w:color w:val="000000"/>
              </w:rPr>
            </w:r>
          </w:p>
          <w:p>
            <w:pPr>
              <w:pStyle w:val="Normal"/>
              <w:tabs>
                <w:tab w:val="clear" w:pos="720"/>
              </w:tabs>
              <w:bidi w:val="0"/>
              <w:spacing w:lineRule="auto" w:line="240"/>
              <w:ind w:hanging="0" w:start="0" w:end="0"/>
              <w:rPr>
                <w:color w:val="000000"/>
              </w:rPr>
            </w:pPr>
            <w:r>
              <w:rPr>
                <w:color w:val="000000"/>
              </w:rPr>
              <w:t>PG&amp;E Core DUNS# 02-530-1339</w:t>
            </w:r>
          </w:p>
          <w:p>
            <w:pPr>
              <w:pStyle w:val="Normal"/>
              <w:tabs>
                <w:tab w:val="clear" w:pos="720"/>
              </w:tabs>
              <w:bidi w:val="0"/>
              <w:spacing w:lineRule="auto" w:line="240"/>
              <w:ind w:hanging="0" w:start="0" w:end="0"/>
              <w:rPr>
                <w:color w:val="000000"/>
              </w:rPr>
            </w:pPr>
            <w:r>
              <w:rPr>
                <w:color w:val="000000"/>
              </w:rPr>
              <w:t>*GST Registration No. 136728847</w:t>
            </w:r>
          </w:p>
          <w:p>
            <w:pPr>
              <w:pStyle w:val="Normal"/>
              <w:tabs>
                <w:tab w:val="clear" w:pos="720"/>
              </w:tabs>
              <w:bidi w:val="0"/>
              <w:spacing w:lineRule="auto" w:line="240"/>
              <w:ind w:hanging="0" w:start="0" w:end="0"/>
              <w:rPr>
                <w:color w:val="000000"/>
              </w:rPr>
            </w:pPr>
            <w:r>
              <w:rPr>
                <w:color w:val="000000"/>
                <w:sz w:val="18"/>
              </w:rPr>
              <w:t>(*Required for sales/purchases on NOVA</w:t>
            </w:r>
          </w:p>
          <w:p>
            <w:pPr>
              <w:pStyle w:val="Normal"/>
              <w:tabs>
                <w:tab w:val="clear" w:pos="720"/>
              </w:tabs>
              <w:bidi w:val="0"/>
              <w:spacing w:lineRule="auto" w:line="240"/>
              <w:ind w:hanging="0" w:start="0" w:end="0"/>
              <w:rPr>
                <w:color w:val="000000"/>
              </w:rPr>
            </w:pPr>
            <w:r>
              <w:rPr>
                <w:color w:val="000000"/>
              </w:rPr>
            </w:r>
          </w:p>
        </w:tc>
        <w:tc>
          <w:tcPr>
            <w:tcW w:w="4770" w:type="dxa"/>
            <w:tcBorders/>
          </w:tcPr>
          <w:p>
            <w:pPr>
              <w:pStyle w:val="Normal"/>
              <w:tabs>
                <w:tab w:val="clear" w:pos="720"/>
              </w:tabs>
              <w:bidi w:val="0"/>
              <w:spacing w:lineRule="auto" w:line="240"/>
              <w:ind w:hanging="0" w:start="0" w:end="0"/>
              <w:rPr>
                <w:color w:val="000000"/>
                <w:sz w:val="8"/>
                <w:u w:val="single"/>
              </w:rPr>
            </w:pPr>
            <w:r>
              <w:rPr>
                <w:color w:val="000000"/>
                <w:sz w:val="8"/>
                <w:u w:val="single"/>
              </w:rPr>
            </w:r>
          </w:p>
          <w:p>
            <w:pPr>
              <w:pStyle w:val="Normal"/>
              <w:tabs>
                <w:tab w:val="clear" w:pos="720"/>
              </w:tabs>
              <w:bidi w:val="0"/>
              <w:spacing w:lineRule="auto" w:line="240"/>
              <w:ind w:hanging="0" w:start="0" w:end="0"/>
              <w:rPr>
                <w:b/>
                <w:color w:val="000000"/>
                <w:u w:val="single"/>
              </w:rPr>
            </w:pPr>
            <w:r>
              <w:rPr>
                <w:b/>
                <w:color w:val="000000"/>
                <w:u w:val="single"/>
              </w:rPr>
              <w:t>Billings and Statements</w:t>
            </w:r>
          </w:p>
          <w:p>
            <w:pPr>
              <w:pStyle w:val="Normal"/>
              <w:tabs>
                <w:tab w:val="clear" w:pos="720"/>
              </w:tabs>
              <w:bidi w:val="0"/>
              <w:spacing w:lineRule="auto" w:line="240"/>
              <w:ind w:hanging="0" w:start="0" w:end="0"/>
              <w:rPr>
                <w:color w:val="000000"/>
                <w:sz w:val="8"/>
              </w:rPr>
            </w:pPr>
            <w:r>
              <w:rPr>
                <w:color w:val="000000"/>
                <w:sz w:val="8"/>
              </w:rPr>
            </w:r>
          </w:p>
          <w:p>
            <w:pPr>
              <w:pStyle w:val="Normal"/>
              <w:tabs>
                <w:tab w:val="clear" w:pos="720"/>
              </w:tabs>
              <w:bidi w:val="0"/>
              <w:spacing w:lineRule="auto" w:line="240"/>
              <w:ind w:hanging="0" w:start="0" w:end="0"/>
              <w:rPr>
                <w:color w:val="000000"/>
              </w:rPr>
            </w:pPr>
            <w:r>
              <w:rPr>
                <w:color w:val="000000"/>
              </w:rPr>
              <w:t>Enron Canada Corp.</w:t>
            </w:r>
          </w:p>
          <w:p>
            <w:pPr>
              <w:pStyle w:val="Normal"/>
              <w:tabs>
                <w:tab w:val="clear" w:pos="720"/>
              </w:tabs>
              <w:bidi w:val="0"/>
              <w:spacing w:lineRule="auto" w:line="240"/>
              <w:ind w:hanging="0" w:start="0" w:end="0"/>
              <w:rPr>
                <w:color w:val="000000"/>
              </w:rPr>
            </w:pPr>
            <w:r>
              <w:rPr>
                <w:color w:val="000000"/>
              </w:rPr>
              <w:t>400 – 3</w:t>
            </w:r>
            <w:r>
              <w:rPr>
                <w:color w:val="000000"/>
                <w:vertAlign w:val="superscript"/>
              </w:rPr>
              <w:t>rd</w:t>
            </w:r>
            <w:r>
              <w:rPr>
                <w:color w:val="000000"/>
              </w:rPr>
              <w:t xml:space="preserve"> Avenue S.W.</w:t>
            </w:r>
          </w:p>
          <w:p>
            <w:pPr>
              <w:pStyle w:val="Normal"/>
              <w:tabs>
                <w:tab w:val="clear" w:pos="720"/>
              </w:tabs>
              <w:bidi w:val="0"/>
              <w:spacing w:lineRule="auto" w:line="240"/>
              <w:ind w:hanging="0" w:start="0" w:end="0"/>
              <w:rPr>
                <w:color w:val="000000"/>
              </w:rPr>
            </w:pPr>
            <w:r>
              <w:rPr>
                <w:color w:val="000000"/>
              </w:rPr>
              <w:t>Suite 3500, Canterra Tower</w:t>
            </w:r>
          </w:p>
          <w:p>
            <w:pPr>
              <w:pStyle w:val="Normal"/>
              <w:tabs>
                <w:tab w:val="clear" w:pos="720"/>
              </w:tabs>
              <w:bidi w:val="0"/>
              <w:spacing w:lineRule="auto" w:line="240"/>
              <w:ind w:hanging="0" w:start="0" w:end="0"/>
              <w:rPr>
                <w:color w:val="000000"/>
              </w:rPr>
            </w:pPr>
            <w:r>
              <w:rPr>
                <w:color w:val="000000"/>
              </w:rPr>
              <w:t>Attn:  Manager, Accounting</w:t>
            </w:r>
          </w:p>
          <w:p>
            <w:pPr>
              <w:pStyle w:val="Normal"/>
              <w:tabs>
                <w:tab w:val="clear" w:pos="720"/>
              </w:tabs>
              <w:bidi w:val="0"/>
              <w:spacing w:lineRule="auto" w:line="240"/>
              <w:ind w:hanging="0" w:start="0" w:end="0"/>
              <w:rPr>
                <w:color w:val="000000"/>
              </w:rPr>
            </w:pPr>
            <w:r>
              <w:rPr>
                <w:color w:val="000000"/>
              </w:rPr>
              <w:t>Calgary, Alberta  T2P 4H2</w:t>
            </w:r>
          </w:p>
          <w:p>
            <w:pPr>
              <w:pStyle w:val="Normal"/>
              <w:tabs>
                <w:tab w:val="clear" w:pos="720"/>
              </w:tabs>
              <w:bidi w:val="0"/>
              <w:spacing w:lineRule="auto" w:line="240"/>
              <w:ind w:hanging="0" w:start="0" w:end="0"/>
              <w:rPr>
                <w:color w:val="000000"/>
              </w:rPr>
            </w:pPr>
            <w:r>
              <w:rPr>
                <w:color w:val="000000"/>
              </w:rPr>
              <w:t>Telephone No. (403) 974-</w:t>
            </w:r>
            <w:r>
              <w:rPr>
                <w:strike/>
                <w:color w:val="000000"/>
              </w:rPr>
              <w:t>{6925}</w:t>
            </w:r>
            <w:r>
              <w:rPr>
                <w:color w:val="000000"/>
              </w:rPr>
              <w:t xml:space="preserve"> </w:t>
            </w:r>
            <w:r>
              <w:rPr>
                <w:color w:val="000000"/>
                <w:u w:val="double"/>
              </w:rPr>
              <w:t>{6728}</w:t>
            </w:r>
          </w:p>
          <w:p>
            <w:pPr>
              <w:pStyle w:val="Normal"/>
              <w:tabs>
                <w:tab w:val="clear" w:pos="720"/>
              </w:tabs>
              <w:bidi w:val="0"/>
              <w:spacing w:lineRule="auto" w:line="240"/>
              <w:ind w:hanging="0" w:start="0" w:end="0"/>
              <w:rPr>
                <w:color w:val="000000"/>
              </w:rPr>
            </w:pPr>
            <w:r>
              <w:rPr>
                <w:color w:val="000000"/>
              </w:rPr>
              <w:t>Facsimile No. (403) 974-6795</w:t>
            </w:r>
          </w:p>
          <w:p>
            <w:pPr>
              <w:pStyle w:val="Normal"/>
              <w:tabs>
                <w:tab w:val="clear" w:pos="720"/>
              </w:tabs>
              <w:bidi w:val="0"/>
              <w:spacing w:lineRule="auto" w:line="240"/>
              <w:ind w:hanging="0" w:start="0" w:end="0"/>
              <w:rPr>
                <w:color w:val="000000"/>
              </w:rPr>
            </w:pPr>
            <w:r>
              <w:rPr>
                <w:color w:val="000000"/>
              </w:rPr>
            </w:r>
          </w:p>
          <w:p>
            <w:pPr>
              <w:pStyle w:val="Normal"/>
              <w:tabs>
                <w:tab w:val="clear" w:pos="720"/>
              </w:tabs>
              <w:bidi w:val="0"/>
              <w:spacing w:lineRule="auto" w:line="240"/>
              <w:ind w:hanging="0" w:start="0" w:end="0"/>
              <w:rPr>
                <w:b/>
                <w:color w:val="000000"/>
              </w:rPr>
            </w:pPr>
            <w:r>
              <w:rPr>
                <w:b/>
                <w:color w:val="000000"/>
              </w:rPr>
              <w:t>Payments:</w:t>
            </w:r>
          </w:p>
          <w:p>
            <w:pPr>
              <w:pStyle w:val="Spacing"/>
              <w:tabs>
                <w:tab w:val="clear" w:pos="720"/>
              </w:tabs>
              <w:bidi w:val="0"/>
              <w:spacing w:lineRule="auto" w:line="240"/>
              <w:rPr>
                <w:color w:val="000000"/>
              </w:rPr>
            </w:pPr>
            <w:r>
              <w:rPr>
                <w:color w:val="000000"/>
              </w:rPr>
              <w:t>Enron Canada Corp.</w:t>
            </w:r>
          </w:p>
          <w:p>
            <w:pPr>
              <w:pStyle w:val="Normal"/>
              <w:tabs>
                <w:tab w:val="clear" w:pos="720"/>
              </w:tabs>
              <w:bidi w:val="0"/>
              <w:spacing w:lineRule="auto" w:line="240"/>
              <w:ind w:hanging="0" w:start="0" w:end="0"/>
              <w:rPr>
                <w:color w:val="000000"/>
              </w:rPr>
            </w:pPr>
            <w:r>
              <w:rPr>
                <w:color w:val="000000"/>
              </w:rPr>
              <w:t>Bank #004 Branch #80609</w:t>
            </w:r>
          </w:p>
          <w:p>
            <w:pPr>
              <w:pStyle w:val="Normal"/>
              <w:tabs>
                <w:tab w:val="clear" w:pos="720"/>
              </w:tabs>
              <w:bidi w:val="0"/>
              <w:spacing w:lineRule="auto" w:line="240"/>
              <w:ind w:hanging="0" w:start="0" w:end="0"/>
              <w:rPr>
                <w:color w:val="000000"/>
              </w:rPr>
            </w:pPr>
            <w:r>
              <w:rPr>
                <w:color w:val="000000"/>
              </w:rPr>
              <w:t>The Toronto-Dominion Bank</w:t>
            </w:r>
          </w:p>
          <w:p>
            <w:pPr>
              <w:pStyle w:val="Normal"/>
              <w:tabs>
                <w:tab w:val="clear" w:pos="720"/>
              </w:tabs>
              <w:bidi w:val="0"/>
              <w:spacing w:lineRule="auto" w:line="240"/>
              <w:ind w:hanging="0" w:start="0" w:end="0"/>
              <w:rPr>
                <w:color w:val="000000"/>
              </w:rPr>
            </w:pPr>
            <w:r>
              <w:rPr>
                <w:color w:val="000000"/>
              </w:rPr>
              <w:t>Account 08050465537</w:t>
            </w:r>
          </w:p>
          <w:p>
            <w:pPr>
              <w:pStyle w:val="Normal"/>
              <w:tabs>
                <w:tab w:val="clear" w:pos="720"/>
              </w:tabs>
              <w:bidi w:val="0"/>
              <w:spacing w:lineRule="auto" w:line="240"/>
              <w:ind w:hanging="0" w:start="0" w:end="0"/>
              <w:rPr/>
            </w:pPr>
            <w:r>
              <w:rPr>
                <w:color w:val="000000"/>
                <w:u w:val="double"/>
              </w:rPr>
              <w:t>{</w:t>
            </w:r>
          </w:p>
        </w:tc>
      </w:tr>
      <w:tr>
        <w:trPr>
          <w:cantSplit w:val="true"/>
        </w:trPr>
        <w:tc>
          <w:tcPr>
            <w:tcW w:w="4787" w:type="dxa"/>
            <w:tcBorders/>
          </w:tcPr>
          <w:p>
            <w:pPr>
              <w:pStyle w:val="Normal"/>
              <w:bidi w:val="0"/>
              <w:spacing w:lineRule="auto" w:line="240"/>
              <w:ind w:hanging="0" w:start="0" w:end="0"/>
              <w:rPr>
                <w:color w:val="000000"/>
                <w:sz w:val="8"/>
                <w:u w:val="double"/>
              </w:rPr>
            </w:pPr>
            <w:r>
              <w:rPr>
                <w:color w:val="000000"/>
                <w:sz w:val="8"/>
                <w:u w:val="double"/>
              </w:rPr>
            </w:r>
          </w:p>
        </w:tc>
        <w:tc>
          <w:tcPr>
            <w:tcW w:w="4770" w:type="dxa"/>
            <w:tcBorders/>
          </w:tcPr>
          <w:p>
            <w:pPr>
              <w:pStyle w:val="Normal"/>
              <w:bidi w:val="0"/>
              <w:spacing w:lineRule="auto" w:line="240"/>
              <w:ind w:hanging="0" w:start="0" w:end="0"/>
              <w:rPr>
                <w:b/>
                <w:color w:val="000000"/>
              </w:rPr>
            </w:pPr>
            <w:r>
              <w:rPr>
                <w:b/>
                <w:color w:val="000000"/>
                <w:u w:val="double"/>
              </w:rPr>
              <w:t>}</w:t>
            </w:r>
            <w:r>
              <w:rPr>
                <w:b/>
                <w:color w:val="000000"/>
              </w:rPr>
              <w:t xml:space="preserve">Nominations and Confirmations: </w:t>
            </w:r>
          </w:p>
          <w:p>
            <w:pPr>
              <w:pStyle w:val="Normal"/>
              <w:bidi w:val="0"/>
              <w:spacing w:lineRule="auto" w:line="240"/>
              <w:ind w:hanging="0" w:start="0" w:end="0"/>
              <w:rPr>
                <w:color w:val="000000"/>
              </w:rPr>
            </w:pPr>
            <w:r>
              <w:rPr>
                <w:color w:val="000000"/>
              </w:rPr>
              <w:t>Attn:  Operations Coordinator</w:t>
            </w:r>
          </w:p>
          <w:p>
            <w:pPr>
              <w:pStyle w:val="Normal"/>
              <w:bidi w:val="0"/>
              <w:spacing w:lineRule="auto" w:line="240"/>
              <w:ind w:hanging="0" w:start="0" w:end="0"/>
              <w:rPr>
                <w:color w:val="000000"/>
              </w:rPr>
            </w:pPr>
            <w:r>
              <w:rPr>
                <w:color w:val="000000"/>
              </w:rPr>
              <w:t xml:space="preserve">Facsimile No.  </w:t>
            </w:r>
            <w:r>
              <w:rPr>
                <w:strike/>
                <w:color w:val="000000"/>
              </w:rPr>
              <w:t>{(-}</w:t>
            </w:r>
            <w:r>
              <w:rPr>
                <w:color w:val="000000"/>
                <w:u w:val="double"/>
              </w:rPr>
              <w:t>{(403) 974-}</w:t>
            </w:r>
            <w:r>
              <w:rPr>
                <w:color w:val="000000"/>
              </w:rPr>
              <w:t>6706</w:t>
            </w:r>
          </w:p>
          <w:p>
            <w:pPr>
              <w:pStyle w:val="Normal"/>
              <w:bidi w:val="0"/>
              <w:spacing w:lineRule="auto" w:line="240"/>
              <w:ind w:hanging="0" w:start="0" w:end="0"/>
              <w:rPr>
                <w:color w:val="000000"/>
                <w:sz w:val="8"/>
                <w:u w:val="single"/>
              </w:rPr>
            </w:pPr>
            <w:r>
              <w:rPr>
                <w:color w:val="000000"/>
                <w:sz w:val="8"/>
                <w:u w:val="single"/>
              </w:rPr>
            </w:r>
          </w:p>
        </w:tc>
      </w:tr>
      <w:tr>
        <w:trPr>
          <w:cantSplit w:val="true"/>
        </w:trPr>
        <w:tc>
          <w:tcPr>
            <w:tcW w:w="4787" w:type="dxa"/>
            <w:tcBorders/>
          </w:tcPr>
          <w:p>
            <w:pPr>
              <w:pStyle w:val="Normal"/>
              <w:bidi w:val="0"/>
              <w:spacing w:lineRule="auto" w:line="240"/>
              <w:ind w:hanging="0" w:start="0" w:end="0"/>
              <w:rPr>
                <w:color w:val="000000"/>
                <w:sz w:val="8"/>
                <w:u w:val="single"/>
              </w:rPr>
            </w:pPr>
            <w:r>
              <w:rPr>
                <w:color w:val="000000"/>
                <w:sz w:val="8"/>
                <w:u w:val="single"/>
              </w:rPr>
            </w:r>
          </w:p>
        </w:tc>
        <w:tc>
          <w:tcPr>
            <w:tcW w:w="4770" w:type="dxa"/>
            <w:tcBorders/>
          </w:tcPr>
          <w:p>
            <w:pPr>
              <w:pStyle w:val="Normal"/>
              <w:bidi w:val="0"/>
              <w:spacing w:lineRule="auto" w:line="240"/>
              <w:ind w:hanging="0" w:start="0" w:end="0"/>
              <w:rPr>
                <w:color w:val="000000"/>
                <w:sz w:val="8"/>
                <w:u w:val="single"/>
              </w:rPr>
            </w:pPr>
            <w:r>
              <w:rPr>
                <w:color w:val="000000"/>
                <w:sz w:val="8"/>
                <w:u w:val="single"/>
              </w:rPr>
            </w:r>
          </w:p>
        </w:tc>
      </w:tr>
      <w:tr>
        <w:trPr>
          <w:cantSplit w:val="true"/>
        </w:trPr>
        <w:tc>
          <w:tcPr>
            <w:tcW w:w="9557" w:type="dxa"/>
            <w:gridSpan w:val="2"/>
            <w:tcBorders/>
          </w:tcPr>
          <w:p>
            <w:pPr>
              <w:pStyle w:val="Normal"/>
              <w:tabs>
                <w:tab w:val="clear" w:pos="720"/>
              </w:tabs>
              <w:bidi w:val="0"/>
              <w:spacing w:lineRule="auto" w:line="240"/>
              <w:ind w:hanging="0" w:start="0" w:end="0"/>
              <w:jc w:val="center"/>
              <w:rPr/>
            </w:pPr>
            <w:r>
              <w:rPr>
                <w:b/>
                <w:color w:val="000000"/>
                <w:u w:val="single"/>
              </w:rPr>
              <w:t>Payments (for electronic funds transfer)</w:t>
            </w:r>
          </w:p>
        </w:tc>
      </w:tr>
      <w:tr>
        <w:trPr>
          <w:cantSplit w:val="true"/>
        </w:trPr>
        <w:tc>
          <w:tcPr>
            <w:tcW w:w="9557" w:type="dxa"/>
            <w:gridSpan w:val="2"/>
            <w:tcBorders/>
          </w:tcPr>
          <w:p>
            <w:pPr>
              <w:pStyle w:val="Normal"/>
              <w:tabs>
                <w:tab w:val="clear" w:pos="720"/>
              </w:tabs>
              <w:bidi w:val="0"/>
              <w:spacing w:lineRule="auto" w:line="240"/>
              <w:ind w:hanging="0" w:start="0" w:end="0"/>
              <w:rPr>
                <w:color w:val="000000"/>
                <w:sz w:val="8"/>
                <w:u w:val="single"/>
              </w:rPr>
            </w:pPr>
            <w:r>
              <w:rPr>
                <w:color w:val="000000"/>
                <w:sz w:val="8"/>
                <w:u w:val="single"/>
              </w:rPr>
            </w:r>
          </w:p>
          <w:p>
            <w:pPr>
              <w:pStyle w:val="Normal"/>
              <w:tabs>
                <w:tab w:val="clear" w:pos="720"/>
              </w:tabs>
              <w:bidi w:val="0"/>
              <w:spacing w:lineRule="auto" w:line="240"/>
              <w:ind w:hanging="0" w:start="0" w:end="0"/>
              <w:rPr>
                <w:color w:val="000000"/>
                <w:sz w:val="8"/>
                <w:u w:val="single"/>
              </w:rPr>
            </w:pPr>
            <w:r>
              <w:rPr>
                <w:color w:val="000000"/>
                <w:sz w:val="8"/>
                <w:u w:val="single"/>
              </w:rPr>
            </w:r>
          </w:p>
          <w:p>
            <w:pPr>
              <w:pStyle w:val="Normal"/>
              <w:tabs>
                <w:tab w:val="clear" w:pos="720"/>
              </w:tabs>
              <w:bidi w:val="0"/>
              <w:spacing w:lineRule="atLeast" w:line="360"/>
              <w:ind w:hanging="0" w:start="0" w:end="0"/>
              <w:rPr>
                <w:color w:val="000000"/>
              </w:rPr>
            </w:pPr>
            <w:r>
              <w:rPr>
                <w:color w:val="000000"/>
              </w:rPr>
              <w:t>Payment under this Agreement by either Buyer or Seller shall be made in transferable funds to the receiving Party’s account.  Payment account information, or future modifications of payment information, shall be provided in writing within 20 (twenty) days notice prior to payment receipt.</w:t>
            </w:r>
          </w:p>
          <w:p>
            <w:pPr>
              <w:pStyle w:val="Normal"/>
              <w:tabs>
                <w:tab w:val="clear" w:pos="720"/>
              </w:tabs>
              <w:bidi w:val="0"/>
              <w:spacing w:lineRule="atLeast" w:line="360"/>
              <w:ind w:hanging="0" w:start="0" w:end="0"/>
              <w:rPr>
                <w:color w:val="000000"/>
              </w:rPr>
            </w:pPr>
            <w:r>
              <w:rPr>
                <w:color w:val="000000"/>
              </w:rPr>
              <w:t xml:space="preserve">For information on PG&amp;E </w:t>
            </w:r>
            <w:r>
              <w:rPr>
                <w:color w:val="000000"/>
                <w:u w:val="double"/>
              </w:rPr>
              <w:t>{Core}</w:t>
            </w:r>
            <w:r>
              <w:rPr>
                <w:color w:val="000000"/>
              </w:rPr>
              <w:t xml:space="preserve"> electronic funds transfers please contact PG&amp;E Cash Mgmt. (415) 973-7066.</w:t>
            </w:r>
          </w:p>
          <w:p>
            <w:pPr>
              <w:pStyle w:val="Normal"/>
              <w:tabs>
                <w:tab w:val="clear" w:pos="720"/>
              </w:tabs>
              <w:bidi w:val="0"/>
              <w:spacing w:lineRule="auto" w:line="240"/>
              <w:ind w:hanging="0" w:start="0" w:end="0"/>
              <w:rPr>
                <w:color w:val="000000"/>
                <w:sz w:val="8"/>
                <w:u w:val="single"/>
              </w:rPr>
            </w:pPr>
            <w:r>
              <w:rPr>
                <w:color w:val="000000"/>
                <w:sz w:val="8"/>
                <w:u w:val="single"/>
              </w:rPr>
            </w:r>
          </w:p>
        </w:tc>
      </w:tr>
    </w:tbl>
    <w:p>
      <w:pPr>
        <w:pStyle w:val="Heading2"/>
        <w:numPr>
          <w:ilvl w:val="0"/>
          <w:numId w:val="0"/>
        </w:numPr>
        <w:bidi w:val="0"/>
        <w:spacing w:lineRule="exact" w:line="360" w:before="120" w:after="0"/>
        <w:ind w:hanging="0" w:start="0"/>
        <w:outlineLvl w:val="1"/>
        <w:rPr>
          <w:color w:val="000000"/>
        </w:rPr>
      </w:pPr>
      <w:r>
        <w:rPr>
          <w:color w:val="000000"/>
        </w:rPr>
        <w:t>Article 16</w:t>
      </w:r>
    </w:p>
    <w:p>
      <w:pPr>
        <w:pStyle w:val="Proforma"/>
        <w:bidi w:val="0"/>
        <w:spacing w:lineRule="exact" w:line="360" w:before="120" w:after="0"/>
        <w:rPr>
          <w:color w:val="000000"/>
        </w:rPr>
      </w:pPr>
      <w:bookmarkStart w:id="29" w:name="_Toc453051622"/>
      <w:bookmarkStart w:id="30" w:name="_Toc472239487"/>
      <w:r>
        <w:rPr>
          <w:color w:val="000000"/>
        </w:rPr>
        <w:t>SALE BY PG&amp;E</w:t>
      </w:r>
      <w:bookmarkEnd w:id="29"/>
      <w:bookmarkEnd w:id="30"/>
    </w:p>
    <w:p>
      <w:pPr>
        <w:pStyle w:val="BodyText3"/>
        <w:bidi w:val="0"/>
        <w:spacing w:lineRule="exact" w:line="360" w:before="120" w:after="0"/>
        <w:rPr/>
      </w:pPr>
      <w:r>
        <w:rPr/>
        <w:t>16.1</w:t>
        <w:tab/>
        <w:t xml:space="preserve">In the event PG&amp;E Core should choose to sell, and Company should choose to buy Gas hereunder </w:t>
      </w:r>
      <w:r>
        <w:rPr>
          <w:strike/>
        </w:rPr>
        <w:t>{(“Sale}</w:t>
      </w:r>
      <w:r>
        <w:rPr>
          <w:u w:val="double"/>
        </w:rPr>
        <w:t>{("Sale}</w:t>
      </w:r>
      <w:r>
        <w:rPr/>
        <w:t xml:space="preserve"> by </w:t>
      </w:r>
      <w:r>
        <w:rPr>
          <w:strike/>
        </w:rPr>
        <w:t>{PG&amp;E”)}</w:t>
      </w:r>
      <w:r>
        <w:rPr/>
        <w:t xml:space="preserve"> </w:t>
      </w:r>
      <w:r>
        <w:rPr>
          <w:u w:val="double"/>
        </w:rPr>
        <w:t>{PG&amp;E Core")}</w:t>
      </w:r>
      <w:r>
        <w:rPr/>
        <w:t xml:space="preserve">, then, for purposes of that Sale by PG&amp;E Core, the obligations otherwise hereunder attributable to Company shall apply to PG&amp;E Core and the obligations otherwise hereunder attributable to PG&amp;E Core as Buyer shall apply to Company.  Any sales </w:t>
      </w:r>
      <w:r>
        <w:rPr>
          <w:strike/>
        </w:rPr>
        <w:t>{transaction}</w:t>
      </w:r>
      <w:r>
        <w:rPr/>
        <w:t xml:space="preserve"> </w:t>
      </w:r>
      <w:r>
        <w:rPr>
          <w:u w:val="double"/>
        </w:rPr>
        <w:t>{Transaction}</w:t>
      </w:r>
      <w:r>
        <w:rPr/>
        <w:t xml:space="preserve"> shall not affect either Party’s obligations with regard to any other </w:t>
      </w:r>
      <w:r>
        <w:rPr>
          <w:strike/>
        </w:rPr>
        <w:t>{transactions}</w:t>
      </w:r>
      <w:r>
        <w:rPr/>
        <w:t xml:space="preserve"> </w:t>
      </w:r>
      <w:r>
        <w:rPr>
          <w:u w:val="double"/>
        </w:rPr>
        <w:t>{Transactions}</w:t>
      </w:r>
      <w:r>
        <w:rPr/>
        <w:t xml:space="preserve"> under this Agreement.</w:t>
      </w:r>
    </w:p>
    <w:p>
      <w:pPr>
        <w:pStyle w:val="Normal"/>
        <w:keepNext w:val="true"/>
        <w:bidi w:val="0"/>
        <w:spacing w:lineRule="exact" w:line="360" w:before="120" w:after="0"/>
        <w:ind w:hanging="0" w:start="0" w:end="0"/>
        <w:jc w:val="center"/>
        <w:rPr>
          <w:b/>
          <w:color w:val="000000"/>
        </w:rPr>
      </w:pPr>
      <w:r>
        <w:rPr>
          <w:b/>
          <w:color w:val="000000"/>
        </w:rPr>
        <w:t>Article 17</w:t>
      </w:r>
    </w:p>
    <w:p>
      <w:pPr>
        <w:pStyle w:val="Proforma"/>
        <w:bidi w:val="0"/>
        <w:spacing w:lineRule="exact" w:line="360" w:before="120" w:after="0"/>
        <w:rPr>
          <w:color w:val="000000"/>
        </w:rPr>
      </w:pPr>
      <w:bookmarkStart w:id="31" w:name="_Toc453051623"/>
      <w:bookmarkStart w:id="32" w:name="_Toc472239488"/>
      <w:r>
        <w:rPr>
          <w:color w:val="000000"/>
        </w:rPr>
        <w:t>MISCELLANEOUS</w:t>
      </w:r>
      <w:bookmarkEnd w:id="31"/>
      <w:bookmarkEnd w:id="32"/>
    </w:p>
    <w:p>
      <w:pPr>
        <w:pStyle w:val="BodyText3"/>
        <w:tabs>
          <w:tab w:val="clear" w:pos="720"/>
          <w:tab w:val="left" w:pos="360" w:leader="none"/>
        </w:tabs>
        <w:bidi w:val="0"/>
        <w:spacing w:lineRule="exact" w:line="360" w:before="120" w:after="0"/>
        <w:rPr/>
      </w:pPr>
      <w:r>
        <w:rPr/>
        <w:t>17.1</w:t>
        <w:tab/>
        <w:t>No waiver by either PG&amp;E Core or Company of any default of the other under this Agreement shall operate as a waiver of any future default, whether of like or different character or nature.</w:t>
      </w:r>
    </w:p>
    <w:p>
      <w:pPr>
        <w:pStyle w:val="BodyText3"/>
        <w:tabs>
          <w:tab w:val="clear" w:pos="720"/>
          <w:tab w:val="left" w:pos="360" w:leader="none"/>
        </w:tabs>
        <w:bidi w:val="0"/>
        <w:spacing w:lineRule="exact" w:line="360" w:before="120" w:after="0"/>
        <w:rPr>
          <w:color w:val="000000"/>
        </w:rPr>
      </w:pPr>
      <w:r>
        <w:rPr>
          <w:color w:val="000000"/>
        </w:rPr>
        <w:t>17.2</w:t>
        <w:tab/>
      </w:r>
      <w:r>
        <w:rPr/>
        <w:t xml:space="preserve">This Agreement may be amended only by a written instrument executed by the Parties hereto, except as provided in Article 15, </w:t>
      </w:r>
      <w:r>
        <w:rPr>
          <w:u w:val="single"/>
        </w:rPr>
        <w:t>Notices</w:t>
      </w:r>
      <w:r>
        <w:rPr/>
        <w:t>, herein.</w:t>
      </w:r>
    </w:p>
    <w:p>
      <w:pPr>
        <w:pStyle w:val="BodyText3"/>
        <w:tabs>
          <w:tab w:val="clear" w:pos="720"/>
          <w:tab w:val="left" w:pos="360" w:leader="none"/>
        </w:tabs>
        <w:bidi w:val="0"/>
        <w:spacing w:lineRule="exact" w:line="360" w:before="120" w:after="0"/>
        <w:rPr>
          <w:color w:val="000000"/>
        </w:rPr>
      </w:pPr>
      <w:r>
        <w:rPr>
          <w:color w:val="000000"/>
        </w:rPr>
        <w:t>17.3</w:t>
        <w:tab/>
      </w:r>
      <w:r>
        <w:rPr/>
        <w:t>The headings of Articles throughout this Agreement are inserted for reference purposes only, and are not to be construed or taken into account in interpreting the terms and provisions of any Article, nor to be deemed in any way to qualify, modify, or explain the effects of any such term or provision.</w:t>
      </w:r>
    </w:p>
    <w:p>
      <w:pPr>
        <w:pStyle w:val="BodyText3"/>
        <w:tabs>
          <w:tab w:val="clear" w:pos="720"/>
          <w:tab w:val="left" w:pos="360" w:leader="none"/>
        </w:tabs>
        <w:bidi w:val="0"/>
        <w:spacing w:lineRule="exact" w:line="360" w:before="120" w:after="0"/>
        <w:rPr>
          <w:color w:val="000000"/>
        </w:rPr>
      </w:pPr>
      <w:r>
        <w:rPr>
          <w:color w:val="000000"/>
        </w:rPr>
        <w:t>17.4</w:t>
        <w:tab/>
      </w:r>
      <w:r>
        <w:rPr/>
        <w:t xml:space="preserve">THIS AGREEMENT SHALL BE GOVERNED BY, CONSTRUED, ENFORCED, INTERPRETED AND PERFORMED IN ACCORDANCE WITH THE LAWS OF THE PROVINCE OF ALBERTA,  without regard to principles of conflicts of law.  The Parties agree to submit to the </w:t>
      </w:r>
      <w:r>
        <w:rPr>
          <w:u w:val="double"/>
        </w:rPr>
        <w:t>{non-exclusive}</w:t>
      </w:r>
      <w:r>
        <w:rPr/>
        <w:t xml:space="preserve"> jurisdiction of the courts of </w:t>
      </w:r>
      <w:r>
        <w:rPr>
          <w:strike/>
        </w:rPr>
        <w:t>{the State of California or}</w:t>
      </w:r>
      <w:r>
        <w:rPr/>
        <w:t xml:space="preserve"> the Province of Alberta for the construction, interpretation and enforcement of such laws as they relate to this Agreement.  This Agreement was prepared by both Parties hereto and not by any Party to the exclusion of the other Party.  Any ambiguities shall not be construed against either Party; instead an effort shall be made to reconstruct the intent of the Parties in effecting this Agreement.</w:t>
      </w:r>
    </w:p>
    <w:p>
      <w:pPr>
        <w:pStyle w:val="BodyText3"/>
        <w:tabs>
          <w:tab w:val="clear" w:pos="720"/>
          <w:tab w:val="left" w:pos="360" w:leader="none"/>
        </w:tabs>
        <w:bidi w:val="0"/>
        <w:spacing w:lineRule="exact" w:line="360" w:before="120" w:after="0"/>
        <w:rPr>
          <w:color w:val="000000"/>
          <w:u w:val="double"/>
        </w:rPr>
      </w:pPr>
      <w:r>
        <w:rPr>
          <w:color w:val="000000"/>
        </w:rPr>
        <w:t>17.5</w:t>
        <w:tab/>
      </w:r>
      <w:r>
        <w:rPr>
          <w:strike/>
        </w:rPr>
        <w:t>{For the application of Canadian law, each Transaction}</w:t>
      </w:r>
      <w:r>
        <w:rPr/>
        <w:t xml:space="preserve"> </w:t>
      </w:r>
      <w:r>
        <w:rPr>
          <w:u w:val="double"/>
        </w:rPr>
        <w:t>{As a material inducement to entering into this Agreement, including each Transaction, each Party, with respect to itself, hereby represents and warrants to the other Party, continuing throughout the term of this Agreement and on the date that each Transaction is entered into, as follows:</w:t>
      </w:r>
    </w:p>
    <w:p>
      <w:pPr>
        <w:pStyle w:val="BodyText3"/>
        <w:tabs>
          <w:tab w:val="clear" w:pos="720"/>
          <w:tab w:val="left" w:pos="1440" w:leader="none"/>
        </w:tabs>
        <w:bidi w:val="0"/>
        <w:spacing w:lineRule="exact" w:line="360" w:before="120" w:after="0"/>
        <w:ind w:hanging="720" w:start="1440" w:end="0"/>
        <w:rPr>
          <w:u w:val="double"/>
        </w:rPr>
      </w:pPr>
      <w:r>
        <w:rPr>
          <w:u w:val="double"/>
        </w:rPr>
        <w:t>(a)</w:t>
      </w:r>
      <w:r>
        <w:rPr/>
        <w:tab/>
      </w:r>
      <w:r>
        <w:rPr>
          <w:u w:val="double"/>
        </w:rPr>
        <w:t>There are no suits, proceedings, judgments or orders by or before any court or any governmental authority that materially adversely affect its ability to perform its obligations under this Agreement or any Transaction thereunder, or the rights of the other Party under this Agreement or any Transaction thereunder;</w:t>
      </w:r>
    </w:p>
    <w:p>
      <w:pPr>
        <w:pStyle w:val="BodyText3"/>
        <w:tabs>
          <w:tab w:val="clear" w:pos="720"/>
          <w:tab w:val="left" w:pos="1440" w:leader="none"/>
        </w:tabs>
        <w:bidi w:val="0"/>
        <w:spacing w:lineRule="exact" w:line="360" w:before="120" w:after="0"/>
        <w:ind w:hanging="720" w:start="1440" w:end="0"/>
        <w:rPr>
          <w:color w:val="000000"/>
          <w:u w:val="double"/>
        </w:rPr>
      </w:pPr>
      <w:r>
        <w:rPr>
          <w:color w:val="000000"/>
          <w:u w:val="double"/>
        </w:rPr>
        <w:t>(b)</w:t>
      </w:r>
      <w:r>
        <w:rPr>
          <w:color w:val="000000"/>
        </w:rPr>
        <w:tab/>
      </w:r>
      <w:r>
        <w:rPr>
          <w:u w:val="double"/>
        </w:rPr>
        <w:t>it is duly organized and validly existing, and it has the legal right, power authority and qualifications, and has obtained all necessary consents and regulatory authorizations, for it to conduct its business, to execute and deliver this Agreement and any Transaction hereunder and to perform its obligations hereunder and under each such Transaction;</w:t>
      </w:r>
    </w:p>
    <w:p>
      <w:pPr>
        <w:pStyle w:val="BodyText3"/>
        <w:tabs>
          <w:tab w:val="clear" w:pos="720"/>
          <w:tab w:val="left" w:pos="1440" w:leader="none"/>
        </w:tabs>
        <w:bidi w:val="0"/>
        <w:spacing w:lineRule="exact" w:line="360" w:before="120" w:after="0"/>
        <w:ind w:hanging="720" w:start="1440" w:end="0"/>
        <w:rPr>
          <w:strike/>
        </w:rPr>
      </w:pPr>
      <w:r>
        <w:rPr>
          <w:color w:val="000000"/>
          <w:u w:val="double"/>
        </w:rPr>
        <w:t>(c)</w:t>
      </w:r>
      <w:r>
        <w:rPr>
          <w:color w:val="000000"/>
        </w:rPr>
        <w:tab/>
      </w:r>
      <w:r>
        <w:rPr>
          <w:u w:val="double"/>
        </w:rPr>
        <w:t>(i) each Transaction under this Agreement}</w:t>
      </w:r>
      <w:r>
        <w:rPr/>
        <w:t xml:space="preserve"> shall constitute a "commodity contract" or an "OTC derivative" or such other similar term as defined pursuant to the securities legislation in force in Alberta and British Columbia and pursuant to the securities legislation of any other </w:t>
      </w:r>
      <w:r>
        <w:rPr>
          <w:strike/>
        </w:rPr>
        <w:t>{Canadian jurisdiction}</w:t>
      </w:r>
      <w:r>
        <w:rPr/>
        <w:t xml:space="preserve"> </w:t>
      </w:r>
      <w:r>
        <w:rPr>
          <w:u w:val="double"/>
        </w:rPr>
        <w:t>{jurisdictions}</w:t>
      </w:r>
      <w:r>
        <w:rPr/>
        <w:t xml:space="preserve"> having application to </w:t>
      </w:r>
      <w:r>
        <w:rPr>
          <w:u w:val="double"/>
        </w:rPr>
        <w:t>{such Transaction; and (ii) it}</w:t>
      </w:r>
      <w:r>
        <w:rPr/>
        <w:t xml:space="preserve"> </w:t>
      </w:r>
      <w:r>
        <w:rPr>
          <w:strike/>
        </w:rPr>
        <w:t xml:space="preserve">{the Transaction. </w:t>
      </w:r>
    </w:p>
    <w:p>
      <w:pPr>
        <w:pStyle w:val="BodyText3"/>
        <w:tabs>
          <w:tab w:val="clear" w:pos="720"/>
          <w:tab w:val="left" w:pos="1440" w:leader="none"/>
        </w:tabs>
        <w:bidi w:val="0"/>
        <w:spacing w:lineRule="exact" w:line="360" w:before="120" w:after="0"/>
        <w:ind w:hanging="720" w:start="1440" w:end="0"/>
        <w:rPr>
          <w:color w:val="000000"/>
        </w:rPr>
      </w:pPr>
      <w:r>
        <w:rPr>
          <w:strike/>
        </w:rPr>
        <w:t>17.6 For the application of Canadian law, the Parties represent to one another that each}</w:t>
      </w:r>
      <w:r>
        <w:rPr/>
        <w:t xml:space="preserve"> is a "Qualified Party" within the meaning of paragraph 9.1 of Alberta Securities Commission </w:t>
      </w:r>
      <w:r>
        <w:rPr>
          <w:u w:val="double"/>
        </w:rPr>
        <w:t>{Blanket}</w:t>
      </w:r>
      <w:r>
        <w:rPr/>
        <w:t xml:space="preserve"> Order </w:t>
      </w:r>
      <w:r>
        <w:rPr>
          <w:strike/>
        </w:rPr>
        <w:t>{Doc.#394043}</w:t>
      </w:r>
      <w:r>
        <w:rPr>
          <w:u w:val="double"/>
        </w:rPr>
        <w:t>{#91-102}</w:t>
      </w:r>
      <w:r>
        <w:rPr/>
        <w:t xml:space="preserve"> and paragraph 1.1 of the British Columbia Securities Commission Blanket Order BOR 91-501, in any such case, as amended, restated, replaced or re-enacted from time to time, and pursuant to any equivalent order or other enactment made pursuant to the securities laws of Alberta, British Columbia and any other </w:t>
      </w:r>
      <w:r>
        <w:rPr>
          <w:strike/>
        </w:rPr>
        <w:t>{Canadian jurisdiction}</w:t>
      </w:r>
      <w:r>
        <w:rPr/>
        <w:t xml:space="preserve"> </w:t>
      </w:r>
      <w:r>
        <w:rPr>
          <w:u w:val="double"/>
        </w:rPr>
        <w:t>{jurisdictions}</w:t>
      </w:r>
      <w:r>
        <w:rPr/>
        <w:t xml:space="preserve"> having application to </w:t>
      </w:r>
      <w:r>
        <w:rPr>
          <w:strike/>
        </w:rPr>
        <w:t>{the Transaction.}</w:t>
      </w:r>
      <w:r>
        <w:rPr/>
        <w:t xml:space="preserve"> </w:t>
      </w:r>
      <w:r>
        <w:rPr>
          <w:u w:val="double"/>
        </w:rPr>
        <w:t>{this Agreement or any Transaction hereunder;</w:t>
      </w:r>
      <w:r>
        <w:rPr>
          <w:color w:val="000000"/>
          <w:u w:val="double"/>
        </w:rPr>
        <w:t>}</w:t>
      </w:r>
    </w:p>
    <w:p>
      <w:pPr>
        <w:pStyle w:val="BodyText3"/>
        <w:tabs>
          <w:tab w:val="clear" w:pos="720"/>
          <w:tab w:val="left" w:pos="1440" w:leader="none"/>
        </w:tabs>
        <w:bidi w:val="0"/>
        <w:spacing w:lineRule="exact" w:line="360" w:before="120" w:after="0"/>
        <w:ind w:hanging="720" w:start="1440" w:end="0"/>
        <w:rPr>
          <w:u w:val="double"/>
        </w:rPr>
      </w:pPr>
      <w:r>
        <w:rPr>
          <w:strike/>
        </w:rPr>
        <w:t>{17.7}</w:t>
      </w:r>
      <w:r>
        <w:rPr>
          <w:u w:val="double"/>
        </w:rPr>
        <w:t>{(d)</w:t>
      </w:r>
      <w:r>
        <w:rPr/>
        <w:tab/>
      </w:r>
      <w:r>
        <w:rPr>
          <w:u w:val="double"/>
        </w:rPr>
        <w:t>the making and performance of this Agreement and any transaction hereunder are within its powers, have been duly authorized by all necessary action and do not and will not violate any provision of law or any rule, regulation, order, writ, judgment, decree or other determination presently in effect applicable to it or any provision of its governing documents; and</w:t>
      </w:r>
    </w:p>
    <w:p>
      <w:pPr>
        <w:pStyle w:val="BodyText3"/>
        <w:tabs>
          <w:tab w:val="clear" w:pos="720"/>
          <w:tab w:val="left" w:pos="1440" w:leader="none"/>
        </w:tabs>
        <w:bidi w:val="0"/>
        <w:spacing w:lineRule="exact" w:line="360" w:before="120" w:after="0"/>
        <w:ind w:hanging="720" w:start="1440" w:end="0"/>
        <w:rPr>
          <w:color w:val="000000"/>
          <w:u w:val="double"/>
        </w:rPr>
      </w:pPr>
      <w:r>
        <w:rPr>
          <w:color w:val="000000"/>
          <w:u w:val="double"/>
        </w:rPr>
        <w:t>(e)</w:t>
      </w:r>
      <w:r>
        <w:rPr>
          <w:color w:val="000000"/>
        </w:rPr>
        <w:tab/>
      </w:r>
      <w:r>
        <w:rPr>
          <w:u w:val="double"/>
        </w:rPr>
        <w:t>this Agreement and any Transaction entered hereunder constitutes a legal, valid, and binding act and obligation of it, enforceable against it, in accordance with its terms, subject to bankruptcy, insolvency, reorganization and other laws affecting creditors’ rights generally, and with regard to any equitable remedies, to the discretion of the court before which proceedings to obtain such remedies may be pending.</w:t>
      </w:r>
    </w:p>
    <w:p>
      <w:pPr>
        <w:pStyle w:val="BodyText3"/>
        <w:tabs>
          <w:tab w:val="clear" w:pos="720"/>
          <w:tab w:val="left" w:pos="360" w:leader="none"/>
        </w:tabs>
        <w:bidi w:val="0"/>
        <w:spacing w:lineRule="exact" w:line="360" w:before="120" w:after="0"/>
        <w:rPr/>
      </w:pPr>
      <w:r>
        <w:rPr>
          <w:u w:val="double"/>
        </w:rPr>
        <w:t>17.6}</w:t>
      </w:r>
      <w:r>
        <w:rPr/>
        <w:tab/>
        <w:t xml:space="preserve">Each Party agrees that it will maintain this Agreement, and all parts and contents thereof, in strict confidence, and that it will not cause or permit disclosure of same to any third Party without the express written consent of the other Party; provided, however, disclosure by a Party is permitted in the event and to the extent (a) required by a court or agency or government </w:t>
      </w:r>
      <w:r>
        <w:rPr>
          <w:u w:val="double"/>
        </w:rPr>
        <w:t>{(including the Bankruptcy Court)}</w:t>
      </w:r>
      <w:r>
        <w:rPr/>
        <w:t xml:space="preserve"> exercising jurisdiction over the subject matter hereof, by law, order, demand, rule or regulation</w:t>
      </w:r>
      <w:r>
        <w:rPr>
          <w:strike/>
        </w:rPr>
        <w:t>{,}</w:t>
      </w:r>
      <w:r>
        <w:rPr/>
        <w:t xml:space="preserve"> or (b) as necessary to obtain transportation of the Gas covered by this Agreement.  In such event, the disclosing Party shall require appropriate non-disclosure commitments from the Parties receiving confidential information</w:t>
      </w:r>
      <w:r>
        <w:rPr>
          <w:u w:val="double"/>
        </w:rPr>
        <w:t>{, and/or take such reasonable steps to allow the submission of this Agreement to any court, agency or government (including the Bankruptcy Court) under seal or pursuant to similar measures designed to protect the confidentiality of this Agreement}</w:t>
      </w:r>
      <w:r>
        <w:rPr/>
        <w:t>.  Notwithstanding the above, PG&amp;E Core may disclose this Agreement to the staff of the California Public Utilities Commission on a confidential basis pursuant to Section 583 of the California Public Utilities Code.</w:t>
      </w:r>
    </w:p>
    <w:p>
      <w:pPr>
        <w:pStyle w:val="BodyText3"/>
        <w:tabs>
          <w:tab w:val="clear" w:pos="720"/>
          <w:tab w:val="left" w:pos="360" w:leader="none"/>
        </w:tabs>
        <w:bidi w:val="0"/>
        <w:spacing w:lineRule="exact" w:line="360" w:before="120" w:after="0"/>
        <w:rPr>
          <w:color w:val="000000"/>
        </w:rPr>
      </w:pPr>
      <w:r>
        <w:rPr>
          <w:strike/>
          <w:color w:val="000000"/>
        </w:rPr>
        <w:t>{17.8}</w:t>
      </w:r>
      <w:r>
        <w:rPr>
          <w:color w:val="000000"/>
        </w:rPr>
        <w:t xml:space="preserve"> </w:t>
      </w:r>
      <w:r>
        <w:rPr>
          <w:color w:val="000000"/>
          <w:u w:val="double"/>
        </w:rPr>
        <w:t>{17.7}</w:t>
      </w:r>
      <w:r>
        <w:rPr>
          <w:color w:val="000000"/>
        </w:rPr>
        <w:tab/>
      </w:r>
      <w:r>
        <w:rPr/>
        <w:t>Neither Party shall have nor be considered to have rights of or exclusive dealings with the other Party regarding the purchase or sale of Gas by reason of execution or operation of this Agreement and nothing in this Agreement shall be construed to create any duty to, any standard of care with reference to, or any liability to any third Party.  References to either Party or Parties shall include their respective designees or agents.</w:t>
      </w:r>
    </w:p>
    <w:p>
      <w:pPr>
        <w:pStyle w:val="BodyText3"/>
        <w:tabs>
          <w:tab w:val="clear" w:pos="720"/>
          <w:tab w:val="left" w:pos="360" w:leader="none"/>
        </w:tabs>
        <w:bidi w:val="0"/>
        <w:spacing w:lineRule="exact" w:line="360" w:before="120" w:after="0"/>
        <w:rPr>
          <w:color w:val="000000"/>
        </w:rPr>
      </w:pPr>
      <w:r>
        <w:rPr>
          <w:strike/>
          <w:color w:val="000000"/>
        </w:rPr>
        <w:t>{17.9}</w:t>
      </w:r>
      <w:r>
        <w:rPr>
          <w:color w:val="000000"/>
        </w:rPr>
        <w:t xml:space="preserve"> </w:t>
      </w:r>
      <w:r>
        <w:rPr>
          <w:color w:val="000000"/>
          <w:u w:val="double"/>
        </w:rPr>
        <w:t>{17.8}</w:t>
      </w:r>
      <w:r>
        <w:rPr>
          <w:color w:val="000000"/>
        </w:rPr>
        <w:tab/>
      </w:r>
      <w:r>
        <w:rPr/>
        <w:t xml:space="preserve">Any Transaction </w:t>
      </w:r>
      <w:r>
        <w:rPr>
          <w:strike/>
        </w:rPr>
        <w:t>{Tape}</w:t>
      </w:r>
      <w:r>
        <w:rPr/>
        <w:t xml:space="preserve"> </w:t>
      </w:r>
      <w:r>
        <w:rPr>
          <w:u w:val="double"/>
        </w:rPr>
        <w:t>{tape}</w:t>
      </w:r>
      <w:r>
        <w:rPr/>
        <w:t>, tape recording or transcripts thereof, or other evidence of a Transaction, shall be made available to the other Party upon written request.</w:t>
      </w:r>
    </w:p>
    <w:p>
      <w:pPr>
        <w:pStyle w:val="BodyText3"/>
        <w:tabs>
          <w:tab w:val="clear" w:pos="720"/>
          <w:tab w:val="left" w:pos="360" w:leader="none"/>
        </w:tabs>
        <w:bidi w:val="0"/>
        <w:spacing w:lineRule="exact" w:line="360" w:before="120" w:after="0"/>
        <w:rPr>
          <w:u w:val="double"/>
        </w:rPr>
      </w:pPr>
      <w:r>
        <w:rPr>
          <w:strike/>
        </w:rPr>
        <w:t>{17.10}</w:t>
      </w:r>
      <w:r>
        <w:rPr/>
        <w:t xml:space="preserve"> </w:t>
      </w:r>
      <w:r>
        <w:rPr>
          <w:u w:val="double"/>
        </w:rPr>
        <w:t>{17.9}</w:t>
      </w:r>
      <w:r>
        <w:rPr/>
        <w:tab/>
        <w:t xml:space="preserve">THE PARTIES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AND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OR OTHERWISE.  NOTWITHSTANDING ANY OTHER PROVISION IN THIS AGREEMENT, IN NO EVENT SHALL EITHER PARTY BE LIABLE FOR ANY PENALTIES OR CHARGES ASSESSED BY ANY TRANSPORTER OR OTHER ENTITY FOR THE UNAUTHORIZED RECEIPT OR DELIVER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THE DAMAGES REQUIRED TO BE PAID HEREUNDER ARE LIQUIDATED OR DETERMINED TO BE LIQUIDATED, THE PARTIES ACKNOWLEDGE THAT THE DAMAGES ARE DIFFICULT OR IMPOSSIBLE TO DETERMINE, AND OTHERWISE OBTAINING AN ADEQUATE REMEDY IS INCONVENIENT AND THE LIQUIDATED DAMAGES CONSTITUTE A REASONABLE APPROXIMATION OF THE HARM OR LOSS.  </w:t>
      </w:r>
      <w:r>
        <w:rPr>
          <w:u w:val="double"/>
        </w:rPr>
        <w:t>{BUYER ACKNOWLEDGES THAT IT HAS ENTERED INTO THIS AGREEMENT AND IS CONTRACTING FOR THE GOODS TO BE SUPPLIED BY SELLER BASED SOLELY UPON THE EXPRESS REPRESENTATIONS AND WARRANTIES HEREIN SET FORTH AND SUBJECT TO SUCH REPRESENTATIONS AND WARRANTIES.</w:t>
      </w:r>
    </w:p>
    <w:p>
      <w:pPr>
        <w:pStyle w:val="BodyText3"/>
        <w:tabs>
          <w:tab w:val="clear" w:pos="720"/>
          <w:tab w:val="left" w:pos="360" w:leader="none"/>
        </w:tabs>
        <w:bidi w:val="0"/>
        <w:spacing w:lineRule="exact" w:line="360" w:before="120" w:after="0"/>
        <w:rPr/>
      </w:pPr>
      <w:r>
        <w:rPr>
          <w:u w:val="double"/>
        </w:rPr>
        <w:t>17.10</w:t>
      </w:r>
      <w:r>
        <w:rPr/>
        <w:tab/>
      </w:r>
      <w:r>
        <w:rPr>
          <w:u w:val="double"/>
        </w:rPr>
        <w:t>For purpose of removing any doubt, it is the intent of the Parties that the use of the defined term “PG&amp;E Core” is for the convenience of Pacific Gas and Electric Company , but that any liability, obligation, or deadline imposed by, or act or event required or prohibited by, this Agreement and any Transaction entered into pursuant to this Agreement on PG&amp;E Core shall be deemed and is a direct liability, obligation or deadline imposed on Pacific Gas and Electric Company, or, as the case may be, an act or event required or prohibited of Pacific Gas and Electric Company.  Any reference herein to PG&amp;E Core shall be deemed as well to mean Pacific Gas and Electric Company in its own right and on its own behalf.}</w:t>
      </w:r>
      <w:r>
        <w:rPr/>
        <w:t xml:space="preserve"> </w:t>
      </w:r>
    </w:p>
    <w:p>
      <w:pPr>
        <w:pStyle w:val="Normal"/>
        <w:bidi w:val="0"/>
        <w:spacing w:lineRule="exact" w:line="360" w:before="120" w:after="0"/>
        <w:ind w:hanging="0" w:start="0" w:end="0"/>
        <w:jc w:val="center"/>
        <w:rPr>
          <w:b/>
          <w:color w:val="000000"/>
        </w:rPr>
      </w:pPr>
      <w:r>
        <w:rPr>
          <w:b/>
          <w:color w:val="000000"/>
        </w:rPr>
        <w:t>Article 18</w:t>
      </w:r>
    </w:p>
    <w:p>
      <w:pPr>
        <w:pStyle w:val="Proforma"/>
        <w:bidi w:val="0"/>
        <w:spacing w:lineRule="exact" w:line="360" w:before="120" w:after="0"/>
        <w:rPr>
          <w:color w:val="000000"/>
        </w:rPr>
      </w:pPr>
      <w:bookmarkStart w:id="33" w:name="_Toc453051624"/>
      <w:bookmarkStart w:id="34" w:name="_Toc472239489"/>
      <w:r>
        <w:rPr>
          <w:color w:val="000000"/>
        </w:rPr>
        <w:t>TRANSPORTATION, NOMINATIONS, AND IMBALANCES</w:t>
      </w:r>
      <w:bookmarkEnd w:id="33"/>
      <w:bookmarkEnd w:id="34"/>
    </w:p>
    <w:p>
      <w:pPr>
        <w:pStyle w:val="BodyText3"/>
        <w:bidi w:val="0"/>
        <w:spacing w:lineRule="exact" w:line="360" w:before="120" w:after="0"/>
        <w:rPr/>
      </w:pPr>
      <w:r>
        <w:rPr/>
        <w:t>18.1</w:t>
        <w:tab/>
        <w:t xml:space="preserve">Unless otherwise agreed by the Parties </w:t>
      </w:r>
      <w:r>
        <w:rPr>
          <w:strike/>
        </w:rPr>
        <w:t>{in an Confirmation Notice}</w:t>
      </w:r>
      <w:r>
        <w:rPr/>
        <w:t xml:space="preserve"> and subject to Article 3 hereunder:</w:t>
      </w:r>
    </w:p>
    <w:p>
      <w:pPr>
        <w:pStyle w:val="Normal"/>
        <w:bidi w:val="0"/>
        <w:spacing w:lineRule="exact" w:line="360" w:before="120" w:after="0"/>
        <w:ind w:hanging="720" w:start="1440" w:end="0"/>
        <w:rPr>
          <w:color w:val="000000"/>
        </w:rPr>
      </w:pPr>
      <w:r>
        <w:rPr>
          <w:color w:val="000000"/>
        </w:rPr>
        <w:t>(a)</w:t>
        <w:tab/>
        <w:t xml:space="preserve">Seller will have the sole responsibility for nominating, scheduling, and transporting Gas, or ensuring that the Gas is nominated, scheduled and transported, to the Delivery Point </w:t>
      </w:r>
      <w:r>
        <w:rPr>
          <w:strike/>
          <w:color w:val="000000"/>
        </w:rPr>
        <w:t>{set forth in a Confirmation Notice}</w:t>
      </w:r>
      <w:r>
        <w:rPr>
          <w:color w:val="000000"/>
        </w:rPr>
        <w:t>.</w:t>
      </w:r>
    </w:p>
    <w:p>
      <w:pPr>
        <w:pStyle w:val="Normal"/>
        <w:bidi w:val="0"/>
        <w:spacing w:lineRule="exact" w:line="360" w:before="120" w:after="0"/>
        <w:ind w:hanging="720" w:start="1440" w:end="0"/>
        <w:rPr>
          <w:color w:val="000000"/>
        </w:rPr>
      </w:pPr>
      <w:r>
        <w:rPr>
          <w:color w:val="000000"/>
        </w:rPr>
        <w:t>(b)</w:t>
        <w:tab/>
        <w:t xml:space="preserve">Buyer will have the sole responsibility for nominating, scheduling, and transporting Gas, or ensuring that the Gas is nominated, scheduled, and transported, at and from the Delivery Point </w:t>
      </w:r>
      <w:r>
        <w:rPr>
          <w:strike/>
          <w:color w:val="000000"/>
        </w:rPr>
        <w:t>{set forth in a Confirmation Notice}</w:t>
      </w:r>
      <w:r>
        <w:rPr>
          <w:color w:val="000000"/>
        </w:rPr>
        <w:t>.</w:t>
      </w:r>
    </w:p>
    <w:p>
      <w:pPr>
        <w:pStyle w:val="BodyText3"/>
        <w:tabs>
          <w:tab w:val="left" w:pos="720" w:leader="none"/>
        </w:tabs>
        <w:bidi w:val="0"/>
        <w:spacing w:lineRule="exact" w:line="360" w:before="120" w:after="0"/>
        <w:rPr>
          <w:color w:val="000000"/>
        </w:rPr>
      </w:pPr>
      <w:r>
        <w:rPr>
          <w:color w:val="000000"/>
        </w:rPr>
        <w:t>18.2</w:t>
        <w:tab/>
      </w:r>
      <w:r>
        <w:rPr/>
        <w:t xml:space="preserve">The Parties will coordinate their nomination and scheduling activities, giving sufficient time to meet the deadlines of the affected Transporter(s).  Each Party shall give the other Party timely prior notice, sufficient to meet the requirements of all Transporter(s) </w:t>
      </w:r>
      <w:r>
        <w:rPr>
          <w:color w:val="000000"/>
        </w:rPr>
        <w:t>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BodyText3"/>
        <w:tabs>
          <w:tab w:val="left" w:pos="720" w:leader="none"/>
        </w:tabs>
        <w:bidi w:val="0"/>
        <w:spacing w:lineRule="exact" w:line="360" w:before="120" w:after="0"/>
        <w:rPr>
          <w:b/>
          <w:color w:val="000000"/>
        </w:rPr>
      </w:pPr>
      <w:r>
        <w:rPr>
          <w:color w:val="000000"/>
        </w:rPr>
        <w:t>18.3</w:t>
        <w:tab/>
      </w:r>
      <w:bookmarkStart w:id="35" w:name="_Ref525698600"/>
      <w:r>
        <w:rPr/>
        <w:t>The Parties will use all reasonable efforts to avoid imposition on either Party by any Transporter, including Pacific Gas and Electric Company's California Gas Transmission Department (CGT)</w:t>
      </w:r>
      <w:r>
        <w:rPr>
          <w:b/>
        </w:rPr>
        <w:t>,</w:t>
      </w:r>
      <w:r>
        <w:rPr/>
        <w:t xml:space="preserve"> of Imbalance Charges or Operational Flow Order (OFO) or Emergency Flow Order (EFO) noncompliance charges or similar charges (Flow Charges).  Company acknowledges that PG&amp;E Core, for purposes of Flow Charges, is treated as a separate, arms-length customer by CGT.   If a Buyer or Seller receives an invoice from a Transporter that includes Flow Charges, the Parties shall determine the validity as well as the cause of such charges.  If the Flow Charges were incurred as a result of Buyer's actions or inactions (which shall include, but shall not be limited to, Buyer's failure to accept quantities of Gas equal to the Scheduled Gas or to provide sufficient notice to Seller to permit Seller to avoid such charges), then Buyer shall pay for such charges, or reimburse Seller, within ten (10) days of Buyer's receipt of Seller's invoice, for such charges paid by Seller to the Transporter.  If the Flow Charges were incurred as a result of Seller's actions or inactions (which shall include, but shall not be limited to, Seller's failure to deliver quantities of Gas equal to the Scheduled Gas or to provide sufficient notice to Buyer to permit Buyer to avoid such charges), then Seller shall pay for such charges or reimburse Buyer, within ten (10) days of Seller's receipt of Buyer's invoice, for such charges paid by Buyer to the Transporter.</w:t>
      </w:r>
      <w:bookmarkEnd w:id="35"/>
    </w:p>
    <w:p>
      <w:pPr>
        <w:pStyle w:val="Header"/>
        <w:bidi w:val="0"/>
        <w:spacing w:lineRule="exact" w:line="360" w:before="120" w:after="0"/>
        <w:jc w:val="center"/>
        <w:rPr>
          <w:b/>
        </w:rPr>
      </w:pPr>
      <w:r>
        <w:rPr>
          <w:b/>
        </w:rPr>
        <w:t>Article 19</w:t>
      </w:r>
    </w:p>
    <w:p>
      <w:pPr>
        <w:pStyle w:val="Proforma"/>
        <w:bidi w:val="0"/>
        <w:spacing w:lineRule="exact" w:line="360" w:before="120" w:after="0"/>
        <w:rPr>
          <w:color w:val="000000"/>
        </w:rPr>
      </w:pPr>
      <w:bookmarkStart w:id="36" w:name="_Toc453051625"/>
      <w:bookmarkStart w:id="37" w:name="_Toc472239490"/>
      <w:r>
        <w:rPr>
          <w:color w:val="000000"/>
        </w:rPr>
        <w:t>QUALITY AND MEASUREMENT</w:t>
      </w:r>
      <w:bookmarkEnd w:id="36"/>
      <w:bookmarkEnd w:id="37"/>
    </w:p>
    <w:p>
      <w:pPr>
        <w:pStyle w:val="BodyText3"/>
        <w:widowControl/>
        <w:bidi w:val="0"/>
        <w:spacing w:lineRule="exact" w:line="360" w:before="120" w:after="0"/>
        <w:rPr/>
      </w:pPr>
      <w:r>
        <w:rPr/>
        <w:t>19.1</w:t>
        <w:tab/>
        <w:t>All Gas delivered shall meet the quality and heat content requirements of the Transporter.  The Gas delivered hereunder will be at the operating pressure required by Transporter.  Measurement of Gas quantities hereunder shall be in accordance with the established procedures of the Transporter.  The unit of quantity measurement for purposes of this Agreement will be specified in any oral agreement, electronic agreement and any  applicable  Confirmation Notice.</w:t>
      </w:r>
    </w:p>
    <w:p>
      <w:pPr>
        <w:pStyle w:val="Proforma"/>
        <w:bidi w:val="0"/>
        <w:spacing w:lineRule="exact" w:line="360" w:before="120" w:after="0"/>
        <w:rPr>
          <w:color w:val="000000"/>
        </w:rPr>
      </w:pPr>
      <w:bookmarkStart w:id="38" w:name="_Toc453051626"/>
      <w:bookmarkStart w:id="39" w:name="_Toc472239491"/>
      <w:r>
        <w:rPr>
          <w:color w:val="000000"/>
        </w:rPr>
        <w:t>SIGNATURE</w:t>
      </w:r>
      <w:bookmarkEnd w:id="38"/>
      <w:bookmarkEnd w:id="39"/>
    </w:p>
    <w:p>
      <w:pPr>
        <w:pStyle w:val="Normal"/>
        <w:bidi w:val="0"/>
        <w:spacing w:lineRule="exact" w:line="360" w:before="120" w:after="0"/>
        <w:ind w:hanging="0" w:start="0" w:end="0"/>
        <w:rPr>
          <w:color w:val="000000"/>
        </w:rPr>
      </w:pPr>
      <w:r>
        <w:rPr>
          <w:color w:val="000000"/>
        </w:rPr>
        <w:t>IN WITNESS WHEREOF, the Parties hereto have executed this Agreement as of the day and year hereinabove written.</w:t>
      </w:r>
    </w:p>
    <w:p>
      <w:pPr>
        <w:pStyle w:val="Normal"/>
        <w:bidi w:val="0"/>
        <w:spacing w:lineRule="exact" w:line="360"/>
        <w:ind w:hanging="0" w:start="0" w:end="0"/>
        <w:rPr>
          <w:color w:val="000000"/>
        </w:rPr>
      </w:pPr>
      <w:r>
        <w:rPr>
          <w:color w:val="000000"/>
        </w:rPr>
      </w:r>
    </w:p>
    <w:tbl>
      <w:tblPr>
        <w:tblW w:w="10170" w:type="dxa"/>
        <w:jc w:val="start"/>
        <w:tblInd w:w="18" w:type="dxa"/>
        <w:tblLayout w:type="fixed"/>
        <w:tblCellMar>
          <w:top w:w="0" w:type="dxa"/>
          <w:start w:w="108" w:type="dxa"/>
          <w:bottom w:w="0" w:type="dxa"/>
          <w:end w:w="108" w:type="dxa"/>
        </w:tblCellMar>
      </w:tblPr>
      <w:tblGrid>
        <w:gridCol w:w="5085"/>
        <w:gridCol w:w="5084"/>
      </w:tblGrid>
      <w:tr>
        <w:trPr>
          <w:cantSplit w:val="true"/>
        </w:trPr>
        <w:tc>
          <w:tcPr>
            <w:tcW w:w="5085" w:type="dxa"/>
            <w:tcBorders/>
          </w:tcPr>
          <w:p>
            <w:pPr>
              <w:pStyle w:val="Normal"/>
              <w:tabs>
                <w:tab w:val="clear" w:pos="720"/>
              </w:tabs>
              <w:bidi w:val="0"/>
              <w:spacing w:lineRule="auto" w:line="240"/>
              <w:ind w:hanging="0" w:start="0" w:end="0"/>
              <w:rPr>
                <w:b/>
                <w:color w:val="000000"/>
              </w:rPr>
            </w:pPr>
            <w:r>
              <w:rPr>
                <w:b/>
                <w:color w:val="000000"/>
              </w:rPr>
              <w:t>PACIFIC GAS AND ELECTRIC COMPANY</w:t>
            </w:r>
          </w:p>
          <w:p>
            <w:pPr>
              <w:pStyle w:val="Normal"/>
              <w:tabs>
                <w:tab w:val="clear" w:pos="720"/>
              </w:tabs>
              <w:bidi w:val="0"/>
              <w:spacing w:lineRule="auto" w:line="240"/>
              <w:ind w:hanging="0" w:start="0" w:end="0"/>
              <w:rPr>
                <w:b/>
                <w:color w:val="000000"/>
              </w:rPr>
            </w:pPr>
            <w:r>
              <w:rPr>
                <w:b/>
                <w:color w:val="000000"/>
              </w:rPr>
              <w:t>(PG&amp;E CORE)</w:t>
            </w:r>
          </w:p>
          <w:p>
            <w:pPr>
              <w:pStyle w:val="Normal"/>
              <w:tabs>
                <w:tab w:val="clear" w:pos="720"/>
              </w:tabs>
              <w:bidi w:val="0"/>
              <w:spacing w:lineRule="auto" w:line="240"/>
              <w:ind w:hanging="0" w:start="0" w:end="0"/>
              <w:rPr>
                <w:b/>
                <w:color w:val="000000"/>
              </w:rPr>
            </w:pPr>
            <w:r>
              <w:rPr>
                <w:b/>
                <w:color w:val="000000"/>
              </w:rPr>
            </w:r>
          </w:p>
          <w:p>
            <w:pPr>
              <w:pStyle w:val="Normal"/>
              <w:tabs>
                <w:tab w:val="clear" w:pos="720"/>
              </w:tabs>
              <w:bidi w:val="0"/>
              <w:spacing w:lineRule="auto" w:line="240"/>
              <w:ind w:hanging="0" w:start="0" w:end="0"/>
              <w:rPr>
                <w:b/>
                <w:color w:val="000000"/>
              </w:rPr>
            </w:pPr>
            <w:r>
              <w:rPr>
                <w:b/>
                <w:color w:val="000000"/>
              </w:rPr>
            </w:r>
          </w:p>
        </w:tc>
        <w:tc>
          <w:tcPr>
            <w:tcW w:w="5084" w:type="dxa"/>
            <w:tcBorders/>
          </w:tcPr>
          <w:p>
            <w:pPr>
              <w:pStyle w:val="Normal"/>
              <w:tabs>
                <w:tab w:val="clear" w:pos="720"/>
              </w:tabs>
              <w:bidi w:val="0"/>
              <w:spacing w:lineRule="auto" w:line="240"/>
              <w:ind w:hanging="0" w:start="0" w:end="0"/>
              <w:rPr/>
            </w:pPr>
            <w:r>
              <w:rPr>
                <w:b/>
                <w:color w:val="000000"/>
              </w:rPr>
              <w:t>ENRON CANADA CORP.</w:t>
            </w:r>
          </w:p>
        </w:tc>
      </w:tr>
      <w:tr>
        <w:trPr>
          <w:cantSplit w:val="true"/>
        </w:trPr>
        <w:tc>
          <w:tcPr>
            <w:tcW w:w="5085" w:type="dxa"/>
            <w:tcBorders/>
          </w:tcPr>
          <w:p>
            <w:pPr>
              <w:pStyle w:val="Normal"/>
              <w:tabs>
                <w:tab w:val="clear" w:pos="720"/>
                <w:tab w:val="right" w:pos="4392" w:leader="none"/>
              </w:tabs>
              <w:bidi w:val="0"/>
              <w:spacing w:lineRule="auto" w:line="240"/>
              <w:ind w:hanging="0" w:start="0" w:end="0"/>
              <w:rPr>
                <w:color w:val="000000"/>
                <w:u w:val="single"/>
              </w:rPr>
            </w:pPr>
            <w:r>
              <w:rPr>
                <w:color w:val="000000"/>
              </w:rPr>
              <w:t xml:space="preserve">By:   </w:t>
            </w:r>
            <w:r>
              <w:rPr>
                <w:color w:val="000000"/>
                <w:u w:val="single"/>
              </w:rPr>
              <w:tab/>
            </w:r>
            <w:r>
              <w:rPr>
                <w:strike/>
                <w:color w:val="000000"/>
                <w:u w:val="single"/>
              </w:rPr>
              <w:t>{________________________________}</w:t>
            </w:r>
          </w:p>
          <w:p>
            <w:pPr>
              <w:pStyle w:val="Normal"/>
              <w:tabs>
                <w:tab w:val="clear" w:pos="720"/>
              </w:tabs>
              <w:bidi w:val="0"/>
              <w:spacing w:lineRule="auto" w:line="240"/>
              <w:ind w:hanging="0" w:start="0" w:end="0"/>
              <w:rPr>
                <w:color w:val="000000"/>
              </w:rPr>
            </w:pPr>
            <w:r>
              <w:rPr>
                <w:color w:val="000000"/>
              </w:rPr>
              <w:t>Name:</w:t>
              <w:tab/>
              <w:t xml:space="preserve"> Trista Berkovitz</w:t>
            </w:r>
          </w:p>
          <w:p>
            <w:pPr>
              <w:pStyle w:val="Normal"/>
              <w:tabs>
                <w:tab w:val="clear" w:pos="720"/>
              </w:tabs>
              <w:bidi w:val="0"/>
              <w:spacing w:lineRule="auto" w:line="240"/>
              <w:ind w:hanging="0" w:start="0" w:end="0"/>
              <w:rPr>
                <w:color w:val="000000"/>
              </w:rPr>
            </w:pPr>
            <w:r>
              <w:rPr>
                <w:color w:val="000000"/>
              </w:rPr>
              <w:t>Title:</w:t>
              <w:tab/>
              <w:t xml:space="preserve"> </w:t>
            </w:r>
            <w:r>
              <w:rPr>
                <w:color w:val="000000"/>
                <w:u w:val="single"/>
              </w:rPr>
              <w:t>Manager - Gas Procurement</w:t>
            </w:r>
          </w:p>
          <w:p>
            <w:pPr>
              <w:pStyle w:val="Normal"/>
              <w:tabs>
                <w:tab w:val="clear" w:pos="720"/>
              </w:tabs>
              <w:bidi w:val="0"/>
              <w:spacing w:lineRule="auto" w:line="240"/>
              <w:ind w:hanging="0" w:start="0" w:end="0"/>
              <w:rPr>
                <w:color w:val="000000"/>
                <w:u w:val="single"/>
              </w:rPr>
            </w:pPr>
            <w:r>
              <w:rPr>
                <w:color w:val="000000"/>
                <w:u w:val="single"/>
              </w:rPr>
            </w:r>
          </w:p>
          <w:p>
            <w:pPr>
              <w:pStyle w:val="Normal"/>
              <w:tabs>
                <w:tab w:val="clear" w:pos="720"/>
              </w:tabs>
              <w:bidi w:val="0"/>
              <w:spacing w:lineRule="auto" w:line="240"/>
              <w:ind w:hanging="0" w:start="0" w:end="0"/>
              <w:rPr>
                <w:color w:val="000000"/>
              </w:rPr>
            </w:pPr>
            <w:r>
              <w:rPr>
                <w:color w:val="000000"/>
              </w:rPr>
            </w:r>
          </w:p>
          <w:p>
            <w:pPr>
              <w:pStyle w:val="Normal"/>
              <w:tabs>
                <w:tab w:val="clear" w:pos="720"/>
                <w:tab w:val="right" w:pos="4302" w:leader="none"/>
              </w:tabs>
              <w:bidi w:val="0"/>
              <w:spacing w:lineRule="auto" w:line="240"/>
              <w:ind w:hanging="0" w:start="0" w:end="0"/>
              <w:rPr/>
            </w:pPr>
            <w:r>
              <w:rPr>
                <w:strike/>
                <w:color w:val="000000"/>
              </w:rPr>
              <w:t>{.}</w:t>
            </w:r>
            <w:r>
              <w:rPr>
                <w:color w:val="000000"/>
              </w:rPr>
              <w:t xml:space="preserve"> </w:t>
            </w:r>
            <w:r>
              <w:rPr>
                <w:color w:val="000000"/>
                <w:u w:val="double"/>
              </w:rPr>
              <w:t xml:space="preserve">{Date: </w:t>
            </w:r>
            <w:r>
              <w:rPr>
                <w:color w:val="000000"/>
                <w:u w:val="single"/>
              </w:rPr>
              <w:tab/>
            </w:r>
          </w:p>
        </w:tc>
        <w:tc>
          <w:tcPr>
            <w:tcW w:w="5084" w:type="dxa"/>
            <w:tcBorders/>
          </w:tcPr>
          <w:p>
            <w:pPr>
              <w:pStyle w:val="Normal"/>
              <w:tabs>
                <w:tab w:val="clear" w:pos="720"/>
                <w:tab w:val="right" w:pos="4257" w:leader="none"/>
              </w:tabs>
              <w:bidi w:val="0"/>
              <w:spacing w:lineRule="auto" w:line="240"/>
              <w:ind w:hanging="0" w:start="0" w:end="0"/>
              <w:rPr>
                <w:color w:val="000000"/>
                <w:u w:val="single"/>
              </w:rPr>
            </w:pPr>
            <w:r>
              <w:rPr>
                <w:color w:val="000000"/>
                <w:u w:val="double"/>
              </w:rPr>
              <w:t xml:space="preserve">By:  </w:t>
            </w:r>
            <w:r>
              <w:rPr>
                <w:color w:val="000000"/>
                <w:u w:val="single"/>
              </w:rPr>
              <w:tab/>
            </w:r>
            <w:r>
              <w:rPr>
                <w:color w:val="000000"/>
                <w:u w:val="double"/>
              </w:rPr>
              <w:t>}</w:t>
            </w:r>
          </w:p>
          <w:p>
            <w:pPr>
              <w:pStyle w:val="Normal"/>
              <w:tabs>
                <w:tab w:val="clear" w:pos="720"/>
              </w:tabs>
              <w:bidi w:val="0"/>
              <w:spacing w:lineRule="auto" w:line="240"/>
              <w:ind w:hanging="0" w:start="0" w:end="0"/>
              <w:rPr>
                <w:color w:val="000000"/>
              </w:rPr>
            </w:pPr>
            <w:r>
              <w:rPr>
                <w:strike/>
                <w:color w:val="000000"/>
              </w:rPr>
              <w:t>{Date: _______________________________ By: _______________________________}</w:t>
            </w:r>
            <w:r>
              <w:rPr>
                <w:color w:val="000000"/>
                <w:u w:val="double"/>
              </w:rPr>
              <w:t>{Name:}</w:t>
            </w:r>
          </w:p>
          <w:p>
            <w:pPr>
              <w:pStyle w:val="Normal"/>
              <w:tabs>
                <w:tab w:val="clear" w:pos="720"/>
                <w:tab w:val="right" w:pos="4257" w:leader="none"/>
              </w:tabs>
              <w:bidi w:val="0"/>
              <w:spacing w:lineRule="auto" w:line="240"/>
              <w:ind w:hanging="0" w:start="0" w:end="0"/>
              <w:rPr>
                <w:color w:val="000000"/>
                <w:u w:val="single"/>
              </w:rPr>
            </w:pPr>
            <w:r>
              <w:rPr>
                <w:strike/>
                <w:color w:val="000000"/>
              </w:rPr>
              <w:t>{Name:}</w:t>
            </w:r>
            <w:r>
              <w:rPr>
                <w:color w:val="000000"/>
              </w:rPr>
              <w:t xml:space="preserve"> </w:t>
            </w:r>
            <w:r>
              <w:rPr>
                <w:color w:val="000000"/>
                <w:u w:val="double"/>
              </w:rPr>
              <w:t xml:space="preserve">{Title:  </w:t>
            </w:r>
            <w:r>
              <w:rPr>
                <w:color w:val="000000"/>
                <w:u w:val="single"/>
              </w:rPr>
              <w:tab/>
            </w:r>
            <w:r>
              <w:rPr>
                <w:color w:val="000000"/>
                <w:u w:val="double"/>
              </w:rPr>
              <w:t>}</w:t>
            </w:r>
          </w:p>
          <w:p>
            <w:pPr>
              <w:pStyle w:val="Normal"/>
              <w:tabs>
                <w:tab w:val="clear" w:pos="720"/>
              </w:tabs>
              <w:bidi w:val="0"/>
              <w:spacing w:lineRule="auto" w:line="240"/>
              <w:ind w:hanging="0" w:start="0" w:end="0"/>
              <w:rPr>
                <w:color w:val="000000"/>
              </w:rPr>
            </w:pPr>
            <w:r>
              <w:rPr>
                <w:color w:val="000000"/>
              </w:rPr>
            </w:r>
          </w:p>
          <w:p>
            <w:pPr>
              <w:pStyle w:val="Normal"/>
              <w:tabs>
                <w:tab w:val="clear" w:pos="720"/>
              </w:tabs>
              <w:bidi w:val="0"/>
              <w:spacing w:lineRule="auto" w:line="240"/>
              <w:ind w:hanging="0" w:start="0" w:end="0"/>
              <w:rPr>
                <w:color w:val="000000"/>
              </w:rPr>
            </w:pPr>
            <w:r>
              <w:rPr>
                <w:color w:val="000000"/>
              </w:rPr>
            </w:r>
          </w:p>
          <w:p>
            <w:pPr>
              <w:pStyle w:val="Normal"/>
              <w:tabs>
                <w:tab w:val="clear" w:pos="720"/>
                <w:tab w:val="right" w:pos="4257" w:leader="none"/>
              </w:tabs>
              <w:bidi w:val="0"/>
              <w:spacing w:lineRule="auto" w:line="240"/>
              <w:ind w:hanging="0" w:start="0" w:end="0"/>
              <w:rPr>
                <w:strike/>
                <w:color w:val="000000"/>
              </w:rPr>
            </w:pPr>
            <w:r>
              <w:rPr>
                <w:strike/>
                <w:color w:val="000000"/>
              </w:rPr>
              <w:t>{Title:______________________________</w:t>
            </w:r>
          </w:p>
          <w:p>
            <w:pPr>
              <w:pStyle w:val="Normal"/>
              <w:tabs>
                <w:tab w:val="clear" w:pos="720"/>
                <w:tab w:val="right" w:pos="4257" w:leader="none"/>
              </w:tabs>
              <w:bidi w:val="0"/>
              <w:spacing w:lineRule="auto" w:line="240"/>
              <w:ind w:hanging="0" w:start="0" w:end="0"/>
              <w:rPr>
                <w:strike/>
                <w:color w:val="000000"/>
              </w:rPr>
            </w:pPr>
            <w:r>
              <w:rPr>
                <w:strike/>
                <w:color w:val="000000"/>
              </w:rPr>
            </w:r>
          </w:p>
          <w:p>
            <w:pPr>
              <w:pStyle w:val="Normal"/>
              <w:tabs>
                <w:tab w:val="clear" w:pos="720"/>
                <w:tab w:val="right" w:pos="4257" w:leader="none"/>
              </w:tabs>
              <w:bidi w:val="0"/>
              <w:spacing w:lineRule="auto" w:line="240"/>
              <w:ind w:hanging="0" w:start="0" w:end="0"/>
              <w:rPr>
                <w:strike/>
                <w:color w:val="000000"/>
              </w:rPr>
            </w:pPr>
            <w:r>
              <w:rPr>
                <w:strike/>
                <w:color w:val="000000"/>
              </w:rPr>
            </w:r>
          </w:p>
          <w:p>
            <w:pPr>
              <w:pStyle w:val="Normal"/>
              <w:tabs>
                <w:tab w:val="clear" w:pos="720"/>
                <w:tab w:val="right" w:pos="4257" w:leader="none"/>
              </w:tabs>
              <w:bidi w:val="0"/>
              <w:spacing w:lineRule="auto" w:line="240"/>
              <w:ind w:hanging="0" w:start="0" w:end="0"/>
              <w:rPr/>
            </w:pPr>
            <w:r>
              <w:rPr>
                <w:strike/>
                <w:color w:val="000000"/>
              </w:rPr>
              <w:t>Date:______________________________}</w:t>
            </w:r>
            <w:r>
              <w:rPr>
                <w:color w:val="000000"/>
                <w:u w:val="double"/>
              </w:rPr>
              <w:t xml:space="preserve">{Date:  </w:t>
            </w:r>
            <w:r>
              <w:rPr>
                <w:color w:val="000000"/>
                <w:u w:val="single"/>
              </w:rPr>
              <w:tab/>
            </w:r>
            <w:r>
              <w:rPr>
                <w:color w:val="000000"/>
                <w:u w:val="double"/>
              </w:rPr>
              <w:t>}</w:t>
            </w:r>
          </w:p>
        </w:tc>
      </w:tr>
    </w:tbl>
    <w:p>
      <w:pPr>
        <w:sectPr>
          <w:headerReference w:type="default" r:id="rId13"/>
          <w:headerReference w:type="first" r:id="rId14"/>
          <w:footerReference w:type="even" r:id="rId15"/>
          <w:footerReference w:type="default" r:id="rId16"/>
          <w:footerReference w:type="first" r:id="rId17"/>
          <w:type w:val="nextPage"/>
          <w:pgSz w:w="12240" w:h="15840"/>
          <w:pgMar w:left="1440" w:right="1440" w:gutter="0" w:header="0" w:top="864" w:footer="288" w:bottom="1152"/>
          <w:pgNumType w:start="1" w:fmt="decimal"/>
          <w:formProt w:val="false"/>
          <w:textDirection w:val="lrTb"/>
          <w:docGrid w:type="default" w:linePitch="100" w:charSpace="0"/>
        </w:sectPr>
      </w:pPr>
    </w:p>
    <w:p>
      <w:pPr>
        <w:pStyle w:val="Proforma"/>
        <w:bidi w:val="0"/>
        <w:spacing w:lineRule="exact" w:line="360"/>
        <w:rPr>
          <w:strike/>
          <w:color w:val="000000"/>
        </w:rPr>
      </w:pPr>
      <w:bookmarkStart w:id="40" w:name="_Toc453051627"/>
      <w:bookmarkStart w:id="41" w:name="_Toc472239492"/>
      <w:r>
        <w:rPr>
          <w:strike/>
          <w:color w:val="000000"/>
        </w:rPr>
        <w:t>{</w:t>
      </w:r>
    </w:p>
    <w:p>
      <w:pPr>
        <w:pStyle w:val="Proforma"/>
        <w:bidi w:val="0"/>
        <w:spacing w:lineRule="exact" w:line="360"/>
        <w:rPr>
          <w:color w:val="000000"/>
        </w:rPr>
      </w:pPr>
      <w:r>
        <w:rPr>
          <w:strike/>
          <w:color w:val="000000"/>
        </w:rPr>
        <w:t>}</w:t>
      </w:r>
      <w:r>
        <w:rPr>
          <w:color w:val="000000"/>
        </w:rPr>
        <w:t>EXHIBIT A – CONFIRMATION NOTICE</w:t>
      </w:r>
      <w:bookmarkEnd w:id="40"/>
      <w:bookmarkEnd w:id="41"/>
    </w:p>
    <w:p>
      <w:pPr>
        <w:pStyle w:val="Normal"/>
        <w:bidi w:val="0"/>
        <w:spacing w:lineRule="exact" w:line="360"/>
        <w:ind w:hanging="0" w:start="0" w:end="0"/>
        <w:rPr>
          <w:color w:val="000000"/>
        </w:rPr>
      </w:pPr>
      <w:r>
        <w:rPr>
          <w:color w:val="000000"/>
        </w:rPr>
      </w:r>
    </w:p>
    <w:tbl>
      <w:tblPr>
        <w:tblW w:w="10188" w:type="dxa"/>
        <w:jc w:val="start"/>
        <w:tblInd w:w="0" w:type="dxa"/>
        <w:tblLayout w:type="fixed"/>
        <w:tblCellMar>
          <w:top w:w="0" w:type="dxa"/>
          <w:start w:w="108" w:type="dxa"/>
          <w:bottom w:w="0" w:type="dxa"/>
          <w:end w:w="108" w:type="dxa"/>
        </w:tblCellMar>
      </w:tblPr>
      <w:tblGrid>
        <w:gridCol w:w="467"/>
        <w:gridCol w:w="1800"/>
        <w:gridCol w:w="2519"/>
        <w:gridCol w:w="5402"/>
      </w:tblGrid>
      <w:tr>
        <w:trPr>
          <w:cantSplit w:val="true"/>
        </w:trPr>
        <w:tc>
          <w:tcPr>
            <w:tcW w:w="4786" w:type="dxa"/>
            <w:gridSpan w:val="3"/>
            <w:tcBorders/>
          </w:tcPr>
          <w:p>
            <w:pPr>
              <w:pStyle w:val="Heading5"/>
              <w:numPr>
                <w:ilvl w:val="0"/>
                <w:numId w:val="0"/>
              </w:numPr>
              <w:tabs>
                <w:tab w:val="clear" w:pos="720"/>
              </w:tabs>
              <w:bidi w:val="0"/>
              <w:spacing w:lineRule="auto" w:line="240"/>
              <w:ind w:hanging="0" w:start="0"/>
              <w:outlineLvl w:val="4"/>
              <w:rPr/>
            </w:pPr>
            <w:r>
              <w:rPr>
                <w:strike/>
                <w:color w:val="000000"/>
              </w:rPr>
              <w:t>{PG&amp;E CORE Agreement No. 5763}</w:t>
            </w:r>
            <w:r>
              <w:rPr>
                <w:color w:val="000000"/>
              </w:rPr>
              <w:t xml:space="preserve"> </w:t>
            </w:r>
          </w:p>
        </w:tc>
        <w:tc>
          <w:tcPr>
            <w:tcW w:w="5402" w:type="dxa"/>
            <w:tcBorders/>
          </w:tcPr>
          <w:p>
            <w:pPr>
              <w:pStyle w:val="Normal"/>
              <w:tabs>
                <w:tab w:val="clear" w:pos="720"/>
              </w:tabs>
              <w:bidi w:val="0"/>
              <w:spacing w:lineRule="auto" w:line="240"/>
              <w:ind w:hanging="0" w:start="0" w:end="0"/>
              <w:jc w:val="end"/>
              <w:rPr/>
            </w:pPr>
            <w:r>
              <w:rPr>
                <w:rFonts w:ascii="Times New Roman" w:hAnsi="Times New Roman"/>
                <w:b/>
                <w:color w:val="000000"/>
              </w:rPr>
              <w:t>EXHIBIT A</w:t>
            </w:r>
          </w:p>
        </w:tc>
      </w:tr>
      <w:tr>
        <w:trPr>
          <w:cantSplit w:val="true"/>
        </w:trPr>
        <w:tc>
          <w:tcPr>
            <w:tcW w:w="4786" w:type="dxa"/>
            <w:gridSpan w:val="3"/>
            <w:tcBorders/>
          </w:tcPr>
          <w:p>
            <w:pPr>
              <w:pStyle w:val="Normal"/>
              <w:tabs>
                <w:tab w:val="clear" w:pos="720"/>
              </w:tabs>
              <w:bidi w:val="0"/>
              <w:spacing w:lineRule="auto" w:line="240"/>
              <w:ind w:hanging="0" w:start="0" w:end="0"/>
              <w:rPr>
                <w:rFonts w:ascii="Times New Roman" w:hAnsi="Times New Roman"/>
                <w:b/>
                <w:color w:val="000000"/>
              </w:rPr>
            </w:pPr>
            <w:r>
              <w:rPr>
                <w:rFonts w:ascii="Times New Roman" w:hAnsi="Times New Roman"/>
                <w:b/>
                <w:color w:val="000000"/>
              </w:rPr>
            </w:r>
          </w:p>
        </w:tc>
        <w:tc>
          <w:tcPr>
            <w:tcW w:w="5402" w:type="dxa"/>
            <w:tcBorders/>
          </w:tcPr>
          <w:p>
            <w:pPr>
              <w:pStyle w:val="Normal"/>
              <w:tabs>
                <w:tab w:val="clear" w:pos="720"/>
              </w:tabs>
              <w:bidi w:val="0"/>
              <w:spacing w:lineRule="auto" w:line="240"/>
              <w:ind w:hanging="0" w:start="0" w:end="0"/>
              <w:jc w:val="end"/>
              <w:rPr/>
            </w:pPr>
            <w:r>
              <w:rPr>
                <w:rFonts w:ascii="Times New Roman" w:hAnsi="Times New Roman"/>
                <w:b/>
                <w:color w:val="000000"/>
              </w:rPr>
              <w:t>CONFIRMATION NOTICE</w:t>
            </w:r>
          </w:p>
        </w:tc>
      </w:tr>
      <w:tr>
        <w:trPr>
          <w:cantSplit w:val="true"/>
        </w:trPr>
        <w:tc>
          <w:tcPr>
            <w:tcW w:w="10188" w:type="dxa"/>
            <w:gridSpan w:val="4"/>
            <w:tcBorders/>
          </w:tcPr>
          <w:p>
            <w:pPr>
              <w:pStyle w:val="Normal"/>
              <w:tabs>
                <w:tab w:val="clear" w:pos="720"/>
              </w:tabs>
              <w:bidi w:val="0"/>
              <w:spacing w:lineRule="auto" w:line="240"/>
              <w:ind w:hanging="0" w:start="0" w:end="-90"/>
              <w:rPr>
                <w:rFonts w:ascii="Times New Roman" w:hAnsi="Times New Roman"/>
                <w:b/>
                <w:color w:val="000000"/>
                <w:sz w:val="20"/>
              </w:rPr>
            </w:pPr>
            <w:r>
              <w:rPr>
                <w:rFonts w:ascii="Times New Roman" w:hAnsi="Times New Roman"/>
                <w:color w:val="000000"/>
                <w:sz w:val="20"/>
              </w:rPr>
              <w:t>Exhibit A, dated ___</w:t>
            </w:r>
            <w:r>
              <w:rPr>
                <w:rFonts w:ascii="Times New Roman" w:hAnsi="Times New Roman"/>
                <w:i/>
                <w:color w:val="000000"/>
                <w:sz w:val="20"/>
              </w:rPr>
              <w:t>________</w:t>
            </w:r>
            <w:r>
              <w:rPr>
                <w:rFonts w:ascii="Times New Roman" w:hAnsi="Times New Roman"/>
                <w:color w:val="000000"/>
                <w:sz w:val="20"/>
              </w:rPr>
              <w:t xml:space="preserve"> is entered into pursuant to the Master Gas Purchase and Sales Agreement between PG&amp;E Core and Enron Canada Corp., dated ______________2001, Core Agreement No.________ </w:t>
            </w:r>
            <w:r>
              <w:rPr>
                <w:rFonts w:ascii="Times New Roman" w:hAnsi="Times New Roman"/>
                <w:color w:val="000000"/>
                <w:sz w:val="20"/>
                <w:u w:val="double"/>
              </w:rPr>
              <w:t>{(the "Master Agreement")}</w:t>
            </w:r>
            <w:r>
              <w:rPr>
                <w:rFonts w:ascii="Times New Roman" w:hAnsi="Times New Roman"/>
                <w:color w:val="000000"/>
                <w:sz w:val="20"/>
              </w:rPr>
              <w:t>.</w:t>
            </w:r>
          </w:p>
          <w:p>
            <w:pPr>
              <w:pStyle w:val="Normal"/>
              <w:tabs>
                <w:tab w:val="clear" w:pos="720"/>
              </w:tabs>
              <w:bidi w:val="0"/>
              <w:spacing w:lineRule="auto" w:line="240"/>
              <w:ind w:hanging="0" w:start="0" w:end="-90"/>
              <w:rPr>
                <w:rFonts w:ascii="Times New Roman" w:hAnsi="Times New Roman"/>
                <w:color w:val="000000"/>
                <w:sz w:val="20"/>
              </w:rPr>
            </w:pPr>
            <w:r>
              <w:rPr>
                <w:rFonts w:ascii="Times New Roman" w:hAnsi="Times New Roman"/>
                <w:color w:val="000000"/>
                <w:sz w:val="20"/>
              </w:rPr>
            </w:r>
          </w:p>
          <w:p>
            <w:pPr>
              <w:pStyle w:val="Normal"/>
              <w:tabs>
                <w:tab w:val="clear" w:pos="720"/>
              </w:tabs>
              <w:bidi w:val="0"/>
              <w:spacing w:lineRule="auto" w:line="240"/>
              <w:ind w:hanging="0" w:start="0" w:end="-90"/>
              <w:rPr>
                <w:rFonts w:ascii="Times New Roman" w:hAnsi="Times New Roman"/>
                <w:color w:val="000000"/>
                <w:sz w:val="20"/>
              </w:rPr>
            </w:pPr>
            <w:r>
              <w:rPr>
                <w:rFonts w:ascii="Times New Roman" w:hAnsi="Times New Roman"/>
                <w:color w:val="000000"/>
                <w:sz w:val="20"/>
              </w:rPr>
              <w:t xml:space="preserve">We are pleased to confirm the oral agreement of __________, </w:t>
            </w:r>
            <w:r>
              <w:rPr>
                <w:rFonts w:ascii="Times New Roman" w:hAnsi="Times New Roman"/>
                <w:color w:val="000000"/>
                <w:sz w:val="20"/>
                <w:u w:val="single"/>
              </w:rPr>
              <w:t xml:space="preserve">       </w:t>
            </w:r>
            <w:r>
              <w:rPr>
                <w:rFonts w:ascii="Times New Roman" w:hAnsi="Times New Roman"/>
                <w:color w:val="000000"/>
                <w:sz w:val="20"/>
              </w:rPr>
              <w:t xml:space="preserve"> </w:t>
            </w:r>
            <w:r>
              <w:rPr>
                <w:rFonts w:ascii="Times New Roman" w:hAnsi="Times New Roman"/>
                <w:strike/>
                <w:color w:val="000000"/>
                <w:sz w:val="20"/>
              </w:rPr>
              <w:t>{2000}</w:t>
            </w:r>
            <w:r>
              <w:rPr>
                <w:rFonts w:ascii="Times New Roman" w:hAnsi="Times New Roman"/>
                <w:color w:val="000000"/>
                <w:sz w:val="20"/>
              </w:rPr>
              <w:t xml:space="preserve"> between PG&amp;E </w:t>
            </w:r>
            <w:r>
              <w:rPr>
                <w:rFonts w:ascii="Times New Roman" w:hAnsi="Times New Roman"/>
                <w:color w:val="000000"/>
                <w:sz w:val="20"/>
                <w:u w:val="double"/>
              </w:rPr>
              <w:t>{Core}</w:t>
            </w:r>
            <w:r>
              <w:rPr>
                <w:rFonts w:ascii="Times New Roman" w:hAnsi="Times New Roman"/>
                <w:color w:val="000000"/>
                <w:sz w:val="20"/>
              </w:rPr>
              <w:t xml:space="preserve">, and Enron Canada Corp. as described below: </w:t>
            </w:r>
          </w:p>
          <w:p>
            <w:pPr>
              <w:pStyle w:val="Normal"/>
              <w:tabs>
                <w:tab w:val="clear" w:pos="720"/>
              </w:tabs>
              <w:bidi w:val="0"/>
              <w:spacing w:lineRule="auto" w:line="240"/>
              <w:ind w:hanging="0" w:start="0" w:end="-90"/>
              <w:rPr>
                <w:rFonts w:ascii="Times New Roman" w:hAnsi="Times New Roman"/>
                <w:color w:val="000000"/>
                <w:sz w:val="20"/>
              </w:rPr>
            </w:pPr>
            <w:r>
              <w:rPr>
                <w:rFonts w:ascii="Times New Roman" w:hAnsi="Times New Roman"/>
                <w:color w:val="000000"/>
                <w:sz w:val="20"/>
              </w:rPr>
            </w:r>
          </w:p>
        </w:tc>
      </w:tr>
      <w:tr>
        <w:trPr>
          <w:cantSplit w:val="true"/>
        </w:trPr>
        <w:tc>
          <w:tcPr>
            <w:tcW w:w="467" w:type="dxa"/>
            <w:tcBorders/>
          </w:tcPr>
          <w:p>
            <w:pPr>
              <w:pStyle w:val="Normal"/>
              <w:tabs>
                <w:tab w:val="clear" w:pos="720"/>
                <w:tab w:val="left" w:pos="1440" w:leader="none"/>
              </w:tabs>
              <w:bidi w:val="0"/>
              <w:spacing w:lineRule="auto" w:line="240"/>
              <w:ind w:hanging="0" w:start="0" w:end="0"/>
              <w:rPr/>
            </w:pPr>
            <w:r>
              <w:rPr>
                <w:rFonts w:ascii="Times New Roman" w:hAnsi="Times New Roman"/>
                <w:b/>
                <w:color w:val="000000"/>
                <w:sz w:val="20"/>
              </w:rPr>
              <w:t>1.</w:t>
              <w:tab/>
            </w:r>
          </w:p>
        </w:tc>
        <w:tc>
          <w:tcPr>
            <w:tcW w:w="1800" w:type="dxa"/>
            <w:tcBorders/>
          </w:tcPr>
          <w:p>
            <w:pPr>
              <w:pStyle w:val="Normal"/>
              <w:tabs>
                <w:tab w:val="clear" w:pos="720"/>
              </w:tabs>
              <w:bidi w:val="0"/>
              <w:spacing w:lineRule="auto" w:line="240"/>
              <w:ind w:hanging="0" w:start="0" w:end="0"/>
              <w:rPr/>
            </w:pPr>
            <w:r>
              <w:rPr>
                <w:rFonts w:ascii="Times New Roman" w:hAnsi="Times New Roman"/>
                <w:b/>
                <w:color w:val="000000"/>
                <w:sz w:val="20"/>
              </w:rPr>
              <w:t>Buyer:</w:t>
            </w:r>
          </w:p>
        </w:tc>
        <w:tc>
          <w:tcPr>
            <w:tcW w:w="7921" w:type="dxa"/>
            <w:gridSpan w:val="2"/>
            <w:tcBorders/>
          </w:tcPr>
          <w:p>
            <w:pPr>
              <w:pStyle w:val="Normal"/>
              <w:tabs>
                <w:tab w:val="clear" w:pos="720"/>
              </w:tabs>
              <w:bidi w:val="0"/>
              <w:spacing w:lineRule="auto" w:line="240"/>
              <w:ind w:hanging="0" w:start="0" w:end="0"/>
              <w:rPr/>
            </w:pPr>
            <w:r>
              <w:rPr>
                <w:rFonts w:ascii="Times New Roman" w:hAnsi="Times New Roman"/>
                <w:b/>
                <w:color w:val="000000"/>
                <w:sz w:val="20"/>
              </w:rPr>
              <w:t>_____________________</w:t>
            </w:r>
          </w:p>
        </w:tc>
      </w:tr>
      <w:tr>
        <w:trPr>
          <w:cantSplit w:val="true"/>
        </w:trPr>
        <w:tc>
          <w:tcPr>
            <w:tcW w:w="467" w:type="dxa"/>
            <w:tcBorders/>
          </w:tcPr>
          <w:p>
            <w:pPr>
              <w:pStyle w:val="Normal"/>
              <w:tabs>
                <w:tab w:val="clear" w:pos="720"/>
                <w:tab w:val="left" w:pos="1440" w:leader="none"/>
              </w:tabs>
              <w:bidi w:val="0"/>
              <w:spacing w:lineRule="auto" w:line="240"/>
              <w:ind w:hanging="0" w:start="0" w:end="0"/>
              <w:rPr>
                <w:rFonts w:ascii="Times New Roman" w:hAnsi="Times New Roman"/>
                <w:b/>
                <w:color w:val="000000"/>
                <w:sz w:val="20"/>
              </w:rPr>
            </w:pPr>
            <w:r>
              <w:rPr>
                <w:rFonts w:ascii="Times New Roman" w:hAnsi="Times New Roman"/>
                <w:b/>
                <w:color w:val="000000"/>
                <w:sz w:val="20"/>
              </w:rPr>
            </w:r>
          </w:p>
        </w:tc>
        <w:tc>
          <w:tcPr>
            <w:tcW w:w="1800" w:type="dxa"/>
            <w:tcBorders/>
          </w:tcPr>
          <w:p>
            <w:pPr>
              <w:pStyle w:val="Normal"/>
              <w:bidi w:val="0"/>
              <w:spacing w:lineRule="auto" w:line="240"/>
              <w:ind w:hanging="0" w:start="0" w:end="0"/>
              <w:rPr>
                <w:rFonts w:ascii="Times New Roman" w:hAnsi="Times New Roman"/>
                <w:b/>
                <w:color w:val="000000"/>
                <w:sz w:val="20"/>
              </w:rPr>
            </w:pPr>
            <w:r>
              <w:rPr>
                <w:rFonts w:ascii="Times New Roman" w:hAnsi="Times New Roman"/>
                <w:b/>
                <w:color w:val="000000"/>
                <w:sz w:val="20"/>
              </w:rPr>
            </w:r>
          </w:p>
        </w:tc>
        <w:tc>
          <w:tcPr>
            <w:tcW w:w="7921" w:type="dxa"/>
            <w:gridSpan w:val="2"/>
            <w:tcBorders/>
          </w:tcPr>
          <w:p>
            <w:pPr>
              <w:pStyle w:val="Normal"/>
              <w:bidi w:val="0"/>
              <w:spacing w:lineRule="auto" w:line="240"/>
              <w:ind w:hanging="0" w:start="0" w:end="0"/>
              <w:rPr>
                <w:rFonts w:ascii="Times New Roman" w:hAnsi="Times New Roman"/>
                <w:b/>
                <w:color w:val="000000"/>
                <w:sz w:val="20"/>
              </w:rPr>
            </w:pPr>
            <w:r>
              <w:rPr>
                <w:rFonts w:ascii="Times New Roman" w:hAnsi="Times New Roman"/>
                <w:b/>
                <w:color w:val="000000"/>
                <w:sz w:val="20"/>
              </w:rPr>
            </w:r>
          </w:p>
        </w:tc>
      </w:tr>
      <w:tr>
        <w:trPr>
          <w:cantSplit w:val="true"/>
        </w:trPr>
        <w:tc>
          <w:tcPr>
            <w:tcW w:w="467" w:type="dxa"/>
            <w:tcBorders/>
          </w:tcPr>
          <w:p>
            <w:pPr>
              <w:pStyle w:val="Normal"/>
              <w:tabs>
                <w:tab w:val="clear" w:pos="720"/>
                <w:tab w:val="left" w:pos="1440" w:leader="none"/>
              </w:tabs>
              <w:bidi w:val="0"/>
              <w:spacing w:lineRule="auto" w:line="240"/>
              <w:ind w:hanging="0" w:start="0" w:end="0"/>
              <w:rPr/>
            </w:pPr>
            <w:r>
              <w:rPr>
                <w:rFonts w:ascii="Times New Roman" w:hAnsi="Times New Roman"/>
                <w:b/>
                <w:color w:val="000000"/>
                <w:sz w:val="20"/>
              </w:rPr>
              <w:t>2.</w:t>
            </w:r>
          </w:p>
        </w:tc>
        <w:tc>
          <w:tcPr>
            <w:tcW w:w="1800" w:type="dxa"/>
            <w:tcBorders/>
          </w:tcPr>
          <w:p>
            <w:pPr>
              <w:pStyle w:val="Normal"/>
              <w:bidi w:val="0"/>
              <w:spacing w:lineRule="auto" w:line="240"/>
              <w:ind w:hanging="0" w:start="0" w:end="0"/>
              <w:rPr/>
            </w:pPr>
            <w:r>
              <w:rPr>
                <w:rFonts w:ascii="Times New Roman" w:hAnsi="Times New Roman"/>
                <w:b/>
                <w:color w:val="000000"/>
                <w:sz w:val="20"/>
              </w:rPr>
              <w:t>Seller:</w:t>
            </w:r>
          </w:p>
        </w:tc>
        <w:tc>
          <w:tcPr>
            <w:tcW w:w="7921" w:type="dxa"/>
            <w:gridSpan w:val="2"/>
            <w:tcBorders/>
          </w:tcPr>
          <w:p>
            <w:pPr>
              <w:pStyle w:val="Normal"/>
              <w:bidi w:val="0"/>
              <w:spacing w:lineRule="auto" w:line="240"/>
              <w:ind w:hanging="0" w:start="0" w:end="0"/>
              <w:rPr/>
            </w:pPr>
            <w:r>
              <w:rPr>
                <w:rFonts w:ascii="Times New Roman" w:hAnsi="Times New Roman"/>
                <w:b/>
                <w:color w:val="000000"/>
                <w:sz w:val="20"/>
              </w:rPr>
              <w:t>_____________________</w:t>
            </w:r>
          </w:p>
        </w:tc>
      </w:tr>
      <w:tr>
        <w:trPr>
          <w:cantSplit w:val="true"/>
        </w:trPr>
        <w:tc>
          <w:tcPr>
            <w:tcW w:w="467" w:type="dxa"/>
            <w:tcBorders/>
          </w:tcPr>
          <w:p>
            <w:pPr>
              <w:pStyle w:val="Normal"/>
              <w:tabs>
                <w:tab w:val="clear" w:pos="720"/>
                <w:tab w:val="left" w:pos="1440" w:leader="none"/>
              </w:tabs>
              <w:bidi w:val="0"/>
              <w:spacing w:lineRule="auto" w:line="240"/>
              <w:ind w:hanging="0" w:start="0" w:end="0"/>
              <w:rPr>
                <w:rFonts w:ascii="Times New Roman" w:hAnsi="Times New Roman"/>
                <w:b/>
                <w:color w:val="000000"/>
                <w:sz w:val="20"/>
              </w:rPr>
            </w:pPr>
            <w:r>
              <w:rPr>
                <w:rFonts w:ascii="Times New Roman" w:hAnsi="Times New Roman"/>
                <w:b/>
                <w:color w:val="000000"/>
                <w:sz w:val="20"/>
              </w:rPr>
            </w:r>
          </w:p>
        </w:tc>
        <w:tc>
          <w:tcPr>
            <w:tcW w:w="1800" w:type="dxa"/>
            <w:tcBorders/>
          </w:tcPr>
          <w:p>
            <w:pPr>
              <w:pStyle w:val="Normal"/>
              <w:bidi w:val="0"/>
              <w:spacing w:lineRule="auto" w:line="240"/>
              <w:ind w:hanging="0" w:start="0" w:end="0"/>
              <w:rPr>
                <w:rFonts w:ascii="Times New Roman" w:hAnsi="Times New Roman"/>
                <w:b/>
                <w:color w:val="000000"/>
                <w:sz w:val="20"/>
              </w:rPr>
            </w:pPr>
            <w:r>
              <w:rPr>
                <w:rFonts w:ascii="Times New Roman" w:hAnsi="Times New Roman"/>
                <w:b/>
                <w:color w:val="000000"/>
                <w:sz w:val="20"/>
              </w:rPr>
            </w:r>
          </w:p>
        </w:tc>
        <w:tc>
          <w:tcPr>
            <w:tcW w:w="7921" w:type="dxa"/>
            <w:gridSpan w:val="2"/>
            <w:tcBorders/>
          </w:tcPr>
          <w:p>
            <w:pPr>
              <w:pStyle w:val="Normal"/>
              <w:bidi w:val="0"/>
              <w:spacing w:lineRule="auto" w:line="240"/>
              <w:ind w:hanging="0" w:start="0" w:end="0"/>
              <w:rPr>
                <w:rFonts w:ascii="Times New Roman" w:hAnsi="Times New Roman"/>
                <w:b/>
                <w:color w:val="000000"/>
                <w:sz w:val="20"/>
              </w:rPr>
            </w:pPr>
            <w:r>
              <w:rPr>
                <w:rFonts w:ascii="Times New Roman" w:hAnsi="Times New Roman"/>
                <w:b/>
                <w:color w:val="000000"/>
                <w:sz w:val="20"/>
              </w:rPr>
            </w:r>
          </w:p>
        </w:tc>
      </w:tr>
      <w:tr>
        <w:trPr>
          <w:cantSplit w:val="true"/>
        </w:trPr>
        <w:tc>
          <w:tcPr>
            <w:tcW w:w="467" w:type="dxa"/>
            <w:tcBorders/>
          </w:tcPr>
          <w:p>
            <w:pPr>
              <w:pStyle w:val="Normal"/>
              <w:tabs>
                <w:tab w:val="clear" w:pos="720"/>
                <w:tab w:val="left" w:pos="1440" w:leader="none"/>
              </w:tabs>
              <w:bidi w:val="0"/>
              <w:spacing w:lineRule="auto" w:line="240"/>
              <w:ind w:hanging="0" w:start="0" w:end="0"/>
              <w:rPr/>
            </w:pPr>
            <w:r>
              <w:rPr>
                <w:rFonts w:ascii="Times New Roman" w:hAnsi="Times New Roman"/>
                <w:b/>
                <w:color w:val="000000"/>
                <w:sz w:val="20"/>
              </w:rPr>
              <w:t>3.</w:t>
              <w:tab/>
            </w:r>
          </w:p>
        </w:tc>
        <w:tc>
          <w:tcPr>
            <w:tcW w:w="1800" w:type="dxa"/>
            <w:tcBorders/>
          </w:tcPr>
          <w:p>
            <w:pPr>
              <w:pStyle w:val="Normal"/>
              <w:bidi w:val="0"/>
              <w:spacing w:lineRule="auto" w:line="240"/>
              <w:ind w:hanging="0" w:start="0" w:end="0"/>
              <w:rPr/>
            </w:pPr>
            <w:r>
              <w:rPr>
                <w:rFonts w:ascii="Times New Roman" w:hAnsi="Times New Roman"/>
                <w:b/>
                <w:color w:val="000000"/>
                <w:sz w:val="20"/>
              </w:rPr>
              <w:t>Delivery Period:</w:t>
            </w:r>
          </w:p>
        </w:tc>
        <w:tc>
          <w:tcPr>
            <w:tcW w:w="7921" w:type="dxa"/>
            <w:gridSpan w:val="2"/>
            <w:tcBorders/>
          </w:tcPr>
          <w:p>
            <w:pPr>
              <w:pStyle w:val="Normal"/>
              <w:bidi w:val="0"/>
              <w:spacing w:lineRule="auto" w:line="240"/>
              <w:ind w:hanging="0" w:start="0" w:end="0"/>
              <w:rPr/>
            </w:pPr>
            <w:r>
              <w:rPr>
                <w:rFonts w:ascii="Times New Roman" w:hAnsi="Times New Roman"/>
                <w:b/>
                <w:color w:val="000000"/>
                <w:sz w:val="20"/>
              </w:rPr>
              <w:t>Begin:</w:t>
            </w:r>
            <w:r>
              <w:rPr>
                <w:rFonts w:ascii="Times New Roman" w:hAnsi="Times New Roman"/>
                <w:color w:val="000000"/>
                <w:sz w:val="20"/>
              </w:rPr>
              <w:tab/>
              <w:t xml:space="preserve"> </w:t>
            </w:r>
            <w:r>
              <w:rPr>
                <w:rFonts w:ascii="Times New Roman" w:hAnsi="Times New Roman"/>
                <w:i/>
                <w:color w:val="000000"/>
                <w:sz w:val="20"/>
              </w:rPr>
              <w:t>_______________</w:t>
            </w:r>
          </w:p>
        </w:tc>
      </w:tr>
      <w:tr>
        <w:trPr>
          <w:cantSplit w:val="true"/>
        </w:trPr>
        <w:tc>
          <w:tcPr>
            <w:tcW w:w="467" w:type="dxa"/>
            <w:tcBorders/>
          </w:tcPr>
          <w:p>
            <w:pPr>
              <w:pStyle w:val="Normal"/>
              <w:tabs>
                <w:tab w:val="clear" w:pos="720"/>
                <w:tab w:val="left" w:pos="1440" w:leader="none"/>
              </w:tabs>
              <w:bidi w:val="0"/>
              <w:spacing w:lineRule="auto" w:line="240"/>
              <w:ind w:hanging="0" w:start="0" w:end="0"/>
              <w:rPr>
                <w:rFonts w:ascii="Times New Roman" w:hAnsi="Times New Roman"/>
                <w:b/>
                <w:color w:val="000000"/>
                <w:sz w:val="20"/>
              </w:rPr>
            </w:pPr>
            <w:r>
              <w:rPr>
                <w:rFonts w:ascii="Times New Roman" w:hAnsi="Times New Roman"/>
                <w:b/>
                <w:color w:val="000000"/>
                <w:sz w:val="20"/>
              </w:rPr>
            </w:r>
          </w:p>
        </w:tc>
        <w:tc>
          <w:tcPr>
            <w:tcW w:w="1800" w:type="dxa"/>
            <w:tcBorders/>
          </w:tcPr>
          <w:p>
            <w:pPr>
              <w:pStyle w:val="Normal"/>
              <w:bidi w:val="0"/>
              <w:spacing w:lineRule="auto" w:line="240"/>
              <w:ind w:hanging="0" w:start="0" w:end="0"/>
              <w:rPr>
                <w:rFonts w:ascii="Times New Roman" w:hAnsi="Times New Roman"/>
                <w:b/>
                <w:color w:val="000000"/>
                <w:sz w:val="20"/>
              </w:rPr>
            </w:pPr>
            <w:r>
              <w:rPr>
                <w:rFonts w:ascii="Times New Roman" w:hAnsi="Times New Roman"/>
                <w:b/>
                <w:color w:val="000000"/>
                <w:sz w:val="20"/>
              </w:rPr>
            </w:r>
          </w:p>
        </w:tc>
        <w:tc>
          <w:tcPr>
            <w:tcW w:w="7921" w:type="dxa"/>
            <w:gridSpan w:val="2"/>
            <w:tcBorders/>
          </w:tcPr>
          <w:p>
            <w:pPr>
              <w:pStyle w:val="Normal"/>
              <w:bidi w:val="0"/>
              <w:spacing w:lineRule="auto" w:line="240"/>
              <w:ind w:hanging="0" w:start="0" w:end="0"/>
              <w:rPr>
                <w:rFonts w:ascii="Times New Roman" w:hAnsi="Times New Roman"/>
                <w:b/>
                <w:color w:val="000000"/>
                <w:sz w:val="20"/>
              </w:rPr>
            </w:pPr>
            <w:r>
              <w:rPr>
                <w:rFonts w:ascii="Times New Roman" w:hAnsi="Times New Roman"/>
                <w:b/>
                <w:color w:val="000000"/>
                <w:sz w:val="20"/>
              </w:rPr>
            </w:r>
          </w:p>
        </w:tc>
      </w:tr>
      <w:tr>
        <w:trPr>
          <w:cantSplit w:val="true"/>
        </w:trPr>
        <w:tc>
          <w:tcPr>
            <w:tcW w:w="467" w:type="dxa"/>
            <w:tcBorders/>
          </w:tcPr>
          <w:p>
            <w:pPr>
              <w:pStyle w:val="Normal"/>
              <w:tabs>
                <w:tab w:val="clear" w:pos="720"/>
                <w:tab w:val="left" w:pos="1440" w:leader="none"/>
              </w:tabs>
              <w:bidi w:val="0"/>
              <w:spacing w:lineRule="auto" w:line="240"/>
              <w:ind w:hanging="0" w:start="0" w:end="0"/>
              <w:rPr>
                <w:rFonts w:ascii="Times New Roman" w:hAnsi="Times New Roman"/>
                <w:b/>
                <w:color w:val="000000"/>
                <w:sz w:val="20"/>
              </w:rPr>
            </w:pPr>
            <w:r>
              <w:rPr>
                <w:rFonts w:ascii="Times New Roman" w:hAnsi="Times New Roman"/>
                <w:b/>
                <w:color w:val="000000"/>
                <w:sz w:val="20"/>
              </w:rPr>
            </w:r>
          </w:p>
        </w:tc>
        <w:tc>
          <w:tcPr>
            <w:tcW w:w="1800" w:type="dxa"/>
            <w:tcBorders/>
          </w:tcPr>
          <w:p>
            <w:pPr>
              <w:pStyle w:val="Normal"/>
              <w:bidi w:val="0"/>
              <w:spacing w:lineRule="auto" w:line="240"/>
              <w:ind w:hanging="0" w:start="0" w:end="0"/>
              <w:rPr>
                <w:rFonts w:ascii="Times New Roman" w:hAnsi="Times New Roman"/>
                <w:b/>
                <w:color w:val="000000"/>
                <w:sz w:val="20"/>
              </w:rPr>
            </w:pPr>
            <w:r>
              <w:rPr>
                <w:rFonts w:ascii="Times New Roman" w:hAnsi="Times New Roman"/>
                <w:b/>
                <w:color w:val="000000"/>
                <w:sz w:val="20"/>
              </w:rPr>
            </w:r>
          </w:p>
        </w:tc>
        <w:tc>
          <w:tcPr>
            <w:tcW w:w="7921" w:type="dxa"/>
            <w:gridSpan w:val="2"/>
            <w:tcBorders/>
          </w:tcPr>
          <w:p>
            <w:pPr>
              <w:pStyle w:val="Normal"/>
              <w:bidi w:val="0"/>
              <w:spacing w:lineRule="auto" w:line="240"/>
              <w:ind w:hanging="0" w:start="0" w:end="0"/>
              <w:rPr/>
            </w:pPr>
            <w:r>
              <w:rPr>
                <w:rFonts w:ascii="Times New Roman" w:hAnsi="Times New Roman"/>
                <w:b/>
                <w:color w:val="000000"/>
                <w:sz w:val="20"/>
              </w:rPr>
              <w:t xml:space="preserve">End: </w:t>
              <w:tab/>
            </w:r>
            <w:r>
              <w:rPr>
                <w:rFonts w:ascii="Times New Roman" w:hAnsi="Times New Roman"/>
                <w:i/>
                <w:color w:val="000000"/>
                <w:sz w:val="20"/>
              </w:rPr>
              <w:t>________________}</w:t>
            </w:r>
          </w:p>
        </w:tc>
      </w:tr>
      <w:tr>
        <w:trPr>
          <w:cantSplit w:val="true"/>
        </w:trPr>
        <w:tc>
          <w:tcPr>
            <w:tcW w:w="467" w:type="dxa"/>
            <w:tcBorders/>
          </w:tcPr>
          <w:p>
            <w:pPr>
              <w:pStyle w:val="Normal"/>
              <w:tabs>
                <w:tab w:val="clear" w:pos="720"/>
                <w:tab w:val="left" w:pos="1440" w:leader="none"/>
              </w:tabs>
              <w:bidi w:val="0"/>
              <w:spacing w:lineRule="auto" w:line="240"/>
              <w:ind w:hanging="0" w:start="0" w:end="0"/>
              <w:rPr>
                <w:rFonts w:ascii="Times New Roman" w:hAnsi="Times New Roman"/>
                <w:b/>
                <w:color w:val="000000"/>
                <w:sz w:val="20"/>
              </w:rPr>
            </w:pPr>
            <w:r>
              <w:rPr>
                <w:rFonts w:ascii="Times New Roman" w:hAnsi="Times New Roman"/>
                <w:b/>
                <w:color w:val="000000"/>
                <w:sz w:val="20"/>
              </w:rPr>
            </w:r>
          </w:p>
        </w:tc>
        <w:tc>
          <w:tcPr>
            <w:tcW w:w="1800" w:type="dxa"/>
            <w:tcBorders/>
          </w:tcPr>
          <w:p>
            <w:pPr>
              <w:pStyle w:val="Normal"/>
              <w:bidi w:val="0"/>
              <w:spacing w:lineRule="auto" w:line="240"/>
              <w:ind w:hanging="0" w:start="0" w:end="0"/>
              <w:rPr>
                <w:rFonts w:ascii="Times New Roman" w:hAnsi="Times New Roman"/>
                <w:b/>
                <w:color w:val="000000"/>
                <w:sz w:val="20"/>
              </w:rPr>
            </w:pPr>
            <w:r>
              <w:rPr>
                <w:rFonts w:ascii="Times New Roman" w:hAnsi="Times New Roman"/>
                <w:b/>
                <w:color w:val="000000"/>
                <w:sz w:val="20"/>
              </w:rPr>
            </w:r>
          </w:p>
        </w:tc>
        <w:tc>
          <w:tcPr>
            <w:tcW w:w="7921" w:type="dxa"/>
            <w:gridSpan w:val="2"/>
            <w:tcBorders/>
          </w:tcPr>
          <w:p>
            <w:pPr>
              <w:pStyle w:val="Normal"/>
              <w:bidi w:val="0"/>
              <w:spacing w:lineRule="auto" w:line="240"/>
              <w:ind w:hanging="0" w:start="0" w:end="0"/>
              <w:rPr>
                <w:rFonts w:ascii="Times New Roman" w:hAnsi="Times New Roman"/>
                <w:i/>
                <w:i/>
                <w:color w:val="000000"/>
                <w:sz w:val="20"/>
              </w:rPr>
            </w:pPr>
            <w:r>
              <w:rPr>
                <w:rFonts w:ascii="Times New Roman" w:hAnsi="Times New Roman"/>
                <w:i/>
                <w:color w:val="000000"/>
                <w:sz w:val="20"/>
              </w:rPr>
            </w:r>
          </w:p>
        </w:tc>
      </w:tr>
      <w:tr>
        <w:trPr>
          <w:cantSplit w:val="true"/>
        </w:trPr>
        <w:tc>
          <w:tcPr>
            <w:tcW w:w="467" w:type="dxa"/>
            <w:tcBorders/>
          </w:tcPr>
          <w:p>
            <w:pPr>
              <w:pStyle w:val="Normal"/>
              <w:tabs>
                <w:tab w:val="clear" w:pos="720"/>
                <w:tab w:val="left" w:pos="1440" w:leader="none"/>
              </w:tabs>
              <w:bidi w:val="0"/>
              <w:spacing w:lineRule="auto" w:line="240"/>
              <w:ind w:hanging="0" w:start="0" w:end="0"/>
              <w:rPr/>
            </w:pPr>
            <w:r>
              <w:rPr>
                <w:rFonts w:ascii="Times New Roman" w:hAnsi="Times New Roman"/>
                <w:b/>
                <w:color w:val="000000"/>
                <w:sz w:val="20"/>
              </w:rPr>
              <w:t>4.</w:t>
            </w:r>
          </w:p>
        </w:tc>
        <w:tc>
          <w:tcPr>
            <w:tcW w:w="1800" w:type="dxa"/>
            <w:tcBorders/>
          </w:tcPr>
          <w:p>
            <w:pPr>
              <w:pStyle w:val="Normal"/>
              <w:bidi w:val="0"/>
              <w:spacing w:lineRule="auto" w:line="240"/>
              <w:ind w:hanging="0" w:start="0" w:end="0"/>
              <w:rPr/>
            </w:pPr>
            <w:r>
              <w:rPr>
                <w:rFonts w:ascii="Times New Roman" w:hAnsi="Times New Roman"/>
                <w:b/>
                <w:color w:val="000000"/>
                <w:sz w:val="20"/>
              </w:rPr>
              <w:t>Daily Contract Quantity (DCQ):</w:t>
            </w:r>
          </w:p>
        </w:tc>
        <w:tc>
          <w:tcPr>
            <w:tcW w:w="7921" w:type="dxa"/>
            <w:gridSpan w:val="2"/>
            <w:tcBorders/>
          </w:tcPr>
          <w:p>
            <w:pPr>
              <w:pStyle w:val="Normal"/>
              <w:bidi w:val="0"/>
              <w:spacing w:lineRule="auto" w:line="240"/>
              <w:ind w:hanging="0" w:start="0" w:end="0"/>
              <w:rPr/>
            </w:pPr>
            <w:r>
              <w:rPr>
                <w:rFonts w:ascii="Times New Roman" w:hAnsi="Times New Roman"/>
                <w:i/>
                <w:color w:val="000000"/>
                <w:sz w:val="20"/>
              </w:rPr>
              <w:br/>
              <w:t>{________GJ/day or __________MMBtu/day}</w:t>
            </w:r>
          </w:p>
        </w:tc>
      </w:tr>
      <w:tr>
        <w:trPr>
          <w:cantSplit w:val="true"/>
        </w:trPr>
        <w:tc>
          <w:tcPr>
            <w:tcW w:w="467" w:type="dxa"/>
            <w:tcBorders/>
          </w:tcPr>
          <w:p>
            <w:pPr>
              <w:pStyle w:val="Normal"/>
              <w:tabs>
                <w:tab w:val="clear" w:pos="720"/>
                <w:tab w:val="left" w:pos="1440" w:leader="none"/>
              </w:tabs>
              <w:bidi w:val="0"/>
              <w:spacing w:lineRule="auto" w:line="240"/>
              <w:ind w:hanging="0" w:start="0" w:end="0"/>
              <w:rPr>
                <w:rFonts w:ascii="Times New Roman" w:hAnsi="Times New Roman"/>
                <w:b/>
                <w:color w:val="000000"/>
                <w:sz w:val="20"/>
              </w:rPr>
            </w:pPr>
            <w:r>
              <w:rPr>
                <w:rFonts w:ascii="Times New Roman" w:hAnsi="Times New Roman"/>
                <w:b/>
                <w:color w:val="000000"/>
                <w:sz w:val="20"/>
              </w:rPr>
            </w:r>
          </w:p>
        </w:tc>
        <w:tc>
          <w:tcPr>
            <w:tcW w:w="1800" w:type="dxa"/>
            <w:tcBorders/>
          </w:tcPr>
          <w:p>
            <w:pPr>
              <w:pStyle w:val="Normal"/>
              <w:bidi w:val="0"/>
              <w:spacing w:lineRule="auto" w:line="240"/>
              <w:ind w:hanging="0" w:start="0" w:end="0"/>
              <w:rPr>
                <w:rFonts w:ascii="Times New Roman" w:hAnsi="Times New Roman"/>
                <w:b/>
                <w:color w:val="000000"/>
                <w:sz w:val="20"/>
              </w:rPr>
            </w:pPr>
            <w:r>
              <w:rPr>
                <w:rFonts w:ascii="Times New Roman" w:hAnsi="Times New Roman"/>
                <w:b/>
                <w:color w:val="000000"/>
                <w:sz w:val="20"/>
              </w:rPr>
            </w:r>
          </w:p>
        </w:tc>
        <w:tc>
          <w:tcPr>
            <w:tcW w:w="7921" w:type="dxa"/>
            <w:gridSpan w:val="2"/>
            <w:tcBorders/>
          </w:tcPr>
          <w:p>
            <w:pPr>
              <w:pStyle w:val="Normal"/>
              <w:bidi w:val="0"/>
              <w:spacing w:lineRule="auto" w:line="240"/>
              <w:ind w:hanging="0" w:start="0" w:end="0"/>
              <w:rPr>
                <w:rFonts w:ascii="Times New Roman" w:hAnsi="Times New Roman"/>
                <w:color w:val="000000"/>
                <w:sz w:val="20"/>
              </w:rPr>
            </w:pPr>
            <w:r>
              <w:rPr>
                <w:rFonts w:ascii="Times New Roman" w:hAnsi="Times New Roman"/>
                <w:color w:val="000000"/>
                <w:sz w:val="20"/>
              </w:rPr>
            </w:r>
          </w:p>
        </w:tc>
      </w:tr>
      <w:tr>
        <w:trPr>
          <w:cantSplit w:val="true"/>
        </w:trPr>
        <w:tc>
          <w:tcPr>
            <w:tcW w:w="467" w:type="dxa"/>
            <w:tcBorders/>
          </w:tcPr>
          <w:p>
            <w:pPr>
              <w:pStyle w:val="Normal"/>
              <w:tabs>
                <w:tab w:val="clear" w:pos="720"/>
                <w:tab w:val="left" w:pos="1440" w:leader="none"/>
              </w:tabs>
              <w:bidi w:val="0"/>
              <w:spacing w:lineRule="auto" w:line="240"/>
              <w:ind w:hanging="0" w:start="0" w:end="0"/>
              <w:rPr/>
            </w:pPr>
            <w:r>
              <w:rPr>
                <w:rFonts w:ascii="Times New Roman" w:hAnsi="Times New Roman"/>
                <w:b/>
                <w:color w:val="000000"/>
                <w:sz w:val="20"/>
              </w:rPr>
              <w:t>5.</w:t>
            </w:r>
          </w:p>
        </w:tc>
        <w:tc>
          <w:tcPr>
            <w:tcW w:w="1800" w:type="dxa"/>
            <w:tcBorders/>
          </w:tcPr>
          <w:p>
            <w:pPr>
              <w:pStyle w:val="Normal"/>
              <w:bidi w:val="0"/>
              <w:spacing w:lineRule="auto" w:line="240"/>
              <w:ind w:hanging="0" w:start="0" w:end="0"/>
              <w:rPr/>
            </w:pPr>
            <w:r>
              <w:rPr>
                <w:rFonts w:ascii="Times New Roman" w:hAnsi="Times New Roman"/>
                <w:b/>
                <w:color w:val="000000"/>
                <w:sz w:val="20"/>
              </w:rPr>
              <w:t>Price:</w:t>
            </w:r>
          </w:p>
        </w:tc>
        <w:tc>
          <w:tcPr>
            <w:tcW w:w="7921" w:type="dxa"/>
            <w:gridSpan w:val="2"/>
            <w:tcBorders/>
          </w:tcPr>
          <w:p>
            <w:pPr>
              <w:pStyle w:val="Normal"/>
              <w:bidi w:val="0"/>
              <w:spacing w:lineRule="auto" w:line="240"/>
              <w:ind w:hanging="0" w:start="0" w:end="0"/>
              <w:rPr/>
            </w:pPr>
            <w:r>
              <w:rPr>
                <w:rFonts w:ascii="Times New Roman" w:hAnsi="Times New Roman"/>
                <w:i/>
                <w:color w:val="000000"/>
                <w:sz w:val="20"/>
              </w:rPr>
              <w:t>C$ / GJ or US$ / MMBtu</w:t>
            </w:r>
          </w:p>
        </w:tc>
      </w:tr>
      <w:tr>
        <w:trPr>
          <w:cantSplit w:val="true"/>
        </w:trPr>
        <w:tc>
          <w:tcPr>
            <w:tcW w:w="467" w:type="dxa"/>
            <w:tcBorders/>
          </w:tcPr>
          <w:p>
            <w:pPr>
              <w:pStyle w:val="Normal"/>
              <w:tabs>
                <w:tab w:val="clear" w:pos="720"/>
                <w:tab w:val="left" w:pos="1440" w:leader="none"/>
              </w:tabs>
              <w:bidi w:val="0"/>
              <w:spacing w:lineRule="auto" w:line="240"/>
              <w:ind w:hanging="0" w:start="0" w:end="0"/>
              <w:rPr>
                <w:rFonts w:ascii="Times New Roman" w:hAnsi="Times New Roman"/>
                <w:b/>
                <w:color w:val="000000"/>
                <w:sz w:val="20"/>
              </w:rPr>
            </w:pPr>
            <w:r>
              <w:rPr>
                <w:rFonts w:ascii="Times New Roman" w:hAnsi="Times New Roman"/>
                <w:b/>
                <w:color w:val="000000"/>
                <w:sz w:val="20"/>
              </w:rPr>
            </w:r>
          </w:p>
        </w:tc>
        <w:tc>
          <w:tcPr>
            <w:tcW w:w="1800" w:type="dxa"/>
            <w:tcBorders/>
          </w:tcPr>
          <w:p>
            <w:pPr>
              <w:pStyle w:val="Normal"/>
              <w:bidi w:val="0"/>
              <w:spacing w:lineRule="auto" w:line="240"/>
              <w:ind w:hanging="0" w:start="0" w:end="0"/>
              <w:rPr>
                <w:rFonts w:ascii="Times New Roman" w:hAnsi="Times New Roman"/>
                <w:b/>
                <w:color w:val="000000"/>
                <w:sz w:val="20"/>
              </w:rPr>
            </w:pPr>
            <w:r>
              <w:rPr>
                <w:rFonts w:ascii="Times New Roman" w:hAnsi="Times New Roman"/>
                <w:b/>
                <w:color w:val="000000"/>
                <w:sz w:val="20"/>
              </w:rPr>
            </w:r>
          </w:p>
        </w:tc>
        <w:tc>
          <w:tcPr>
            <w:tcW w:w="7921" w:type="dxa"/>
            <w:gridSpan w:val="2"/>
            <w:tcBorders/>
          </w:tcPr>
          <w:p>
            <w:pPr>
              <w:pStyle w:val="Normal"/>
              <w:bidi w:val="0"/>
              <w:spacing w:lineRule="auto" w:line="240"/>
              <w:ind w:hanging="0" w:start="0" w:end="0"/>
              <w:rPr/>
            </w:pPr>
            <w:r>
              <w:rPr>
                <w:rFonts w:ascii="Times New Roman" w:hAnsi="Times New Roman"/>
                <w:i/>
                <w:color w:val="000000"/>
                <w:sz w:val="20"/>
                <w:u w:val="single"/>
              </w:rPr>
              <w:t>{Index, if applicable}</w:t>
            </w:r>
          </w:p>
        </w:tc>
      </w:tr>
      <w:tr>
        <w:trPr>
          <w:cantSplit w:val="true"/>
        </w:trPr>
        <w:tc>
          <w:tcPr>
            <w:tcW w:w="467" w:type="dxa"/>
            <w:tcBorders/>
          </w:tcPr>
          <w:p>
            <w:pPr>
              <w:pStyle w:val="Normal"/>
              <w:tabs>
                <w:tab w:val="clear" w:pos="720"/>
                <w:tab w:val="left" w:pos="1440" w:leader="none"/>
              </w:tabs>
              <w:bidi w:val="0"/>
              <w:spacing w:lineRule="auto" w:line="240"/>
              <w:ind w:hanging="0" w:start="0" w:end="0"/>
              <w:rPr>
                <w:rFonts w:ascii="Times New Roman" w:hAnsi="Times New Roman"/>
                <w:b/>
                <w:color w:val="000000"/>
                <w:sz w:val="20"/>
              </w:rPr>
            </w:pPr>
            <w:r>
              <w:rPr>
                <w:rFonts w:ascii="Times New Roman" w:hAnsi="Times New Roman"/>
                <w:b/>
                <w:color w:val="000000"/>
                <w:sz w:val="20"/>
              </w:rPr>
            </w:r>
          </w:p>
        </w:tc>
        <w:tc>
          <w:tcPr>
            <w:tcW w:w="1800" w:type="dxa"/>
            <w:tcBorders/>
          </w:tcPr>
          <w:p>
            <w:pPr>
              <w:pStyle w:val="Normal"/>
              <w:bidi w:val="0"/>
              <w:spacing w:lineRule="auto" w:line="240"/>
              <w:ind w:hanging="0" w:start="0" w:end="0"/>
              <w:rPr>
                <w:rFonts w:ascii="Times New Roman" w:hAnsi="Times New Roman"/>
                <w:b/>
                <w:color w:val="000000"/>
                <w:sz w:val="20"/>
              </w:rPr>
            </w:pPr>
            <w:r>
              <w:rPr>
                <w:rFonts w:ascii="Times New Roman" w:hAnsi="Times New Roman"/>
                <w:b/>
                <w:color w:val="000000"/>
                <w:sz w:val="20"/>
              </w:rPr>
            </w:r>
          </w:p>
        </w:tc>
        <w:tc>
          <w:tcPr>
            <w:tcW w:w="7921" w:type="dxa"/>
            <w:gridSpan w:val="2"/>
            <w:tcBorders/>
          </w:tcPr>
          <w:p>
            <w:pPr>
              <w:pStyle w:val="Normal"/>
              <w:bidi w:val="0"/>
              <w:spacing w:lineRule="auto" w:line="240"/>
              <w:ind w:hanging="0" w:start="0" w:end="0"/>
              <w:rPr>
                <w:rFonts w:ascii="Times New Roman" w:hAnsi="Times New Roman"/>
                <w:color w:val="000000"/>
                <w:sz w:val="20"/>
              </w:rPr>
            </w:pPr>
            <w:r>
              <w:rPr>
                <w:rFonts w:ascii="Times New Roman" w:hAnsi="Times New Roman"/>
                <w:color w:val="000000"/>
                <w:sz w:val="20"/>
              </w:rPr>
            </w:r>
          </w:p>
        </w:tc>
      </w:tr>
      <w:tr>
        <w:trPr>
          <w:cantSplit w:val="true"/>
        </w:trPr>
        <w:tc>
          <w:tcPr>
            <w:tcW w:w="467" w:type="dxa"/>
            <w:tcBorders/>
          </w:tcPr>
          <w:p>
            <w:pPr>
              <w:pStyle w:val="Normal"/>
              <w:tabs>
                <w:tab w:val="clear" w:pos="720"/>
                <w:tab w:val="left" w:pos="1440" w:leader="none"/>
              </w:tabs>
              <w:bidi w:val="0"/>
              <w:spacing w:lineRule="auto" w:line="240"/>
              <w:ind w:hanging="0" w:start="0" w:end="0"/>
              <w:rPr/>
            </w:pPr>
            <w:r>
              <w:rPr>
                <w:rFonts w:ascii="Times New Roman" w:hAnsi="Times New Roman"/>
                <w:b/>
                <w:color w:val="000000"/>
                <w:sz w:val="20"/>
              </w:rPr>
              <w:t>6.</w:t>
            </w:r>
          </w:p>
        </w:tc>
        <w:tc>
          <w:tcPr>
            <w:tcW w:w="1800" w:type="dxa"/>
            <w:tcBorders/>
          </w:tcPr>
          <w:p>
            <w:pPr>
              <w:pStyle w:val="Normal"/>
              <w:bidi w:val="0"/>
              <w:spacing w:lineRule="auto" w:line="240"/>
              <w:ind w:hanging="0" w:start="0" w:end="0"/>
              <w:rPr/>
            </w:pPr>
            <w:r>
              <w:rPr>
                <w:rFonts w:ascii="Times New Roman" w:hAnsi="Times New Roman"/>
                <w:b/>
                <w:color w:val="000000"/>
                <w:sz w:val="20"/>
              </w:rPr>
              <w:t>Performance Obligation:</w:t>
            </w:r>
          </w:p>
        </w:tc>
        <w:tc>
          <w:tcPr>
            <w:tcW w:w="7921" w:type="dxa"/>
            <w:gridSpan w:val="2"/>
            <w:tcBorders/>
          </w:tcPr>
          <w:p>
            <w:pPr>
              <w:pStyle w:val="Normal"/>
              <w:bidi w:val="0"/>
              <w:spacing w:lineRule="auto" w:line="240"/>
              <w:ind w:hanging="0" w:start="0" w:end="0"/>
              <w:rPr/>
            </w:pPr>
            <w:r>
              <w:rPr>
                <w:rFonts w:ascii="Times New Roman" w:hAnsi="Times New Roman"/>
                <w:i/>
                <w:color w:val="000000"/>
                <w:sz w:val="20"/>
                <w:u w:val="double"/>
              </w:rPr>
              <w:t>{Firm</w:t>
            </w:r>
          </w:p>
        </w:tc>
      </w:tr>
      <w:tr>
        <w:trPr>
          <w:cantSplit w:val="true"/>
        </w:trPr>
        <w:tc>
          <w:tcPr>
            <w:tcW w:w="467" w:type="dxa"/>
            <w:tcBorders/>
          </w:tcPr>
          <w:p>
            <w:pPr>
              <w:pStyle w:val="Normal"/>
              <w:tabs>
                <w:tab w:val="clear" w:pos="720"/>
                <w:tab w:val="left" w:pos="1440" w:leader="none"/>
              </w:tabs>
              <w:bidi w:val="0"/>
              <w:spacing w:lineRule="auto" w:line="240"/>
              <w:ind w:hanging="0" w:start="0" w:end="0"/>
              <w:rPr>
                <w:rFonts w:ascii="Times New Roman" w:hAnsi="Times New Roman"/>
                <w:b/>
                <w:color w:val="000000"/>
                <w:sz w:val="20"/>
                <w:u w:val="double"/>
              </w:rPr>
            </w:pPr>
            <w:r>
              <w:rPr>
                <w:rFonts w:ascii="Times New Roman" w:hAnsi="Times New Roman"/>
                <w:b/>
                <w:color w:val="000000"/>
                <w:sz w:val="20"/>
                <w:u w:val="double"/>
              </w:rPr>
            </w:r>
          </w:p>
        </w:tc>
        <w:tc>
          <w:tcPr>
            <w:tcW w:w="1800" w:type="dxa"/>
            <w:tcBorders/>
          </w:tcPr>
          <w:p>
            <w:pPr>
              <w:pStyle w:val="Normal"/>
              <w:bidi w:val="0"/>
              <w:spacing w:lineRule="auto" w:line="240"/>
              <w:ind w:hanging="0" w:start="0" w:end="0"/>
              <w:rPr>
                <w:rFonts w:ascii="Times New Roman" w:hAnsi="Times New Roman"/>
                <w:b/>
                <w:color w:val="000000"/>
                <w:sz w:val="20"/>
                <w:u w:val="double"/>
              </w:rPr>
            </w:pPr>
            <w:r>
              <w:rPr>
                <w:rFonts w:ascii="Times New Roman" w:hAnsi="Times New Roman"/>
                <w:b/>
                <w:color w:val="000000"/>
                <w:sz w:val="20"/>
                <w:u w:val="double"/>
              </w:rPr>
            </w:r>
          </w:p>
        </w:tc>
        <w:tc>
          <w:tcPr>
            <w:tcW w:w="7921" w:type="dxa"/>
            <w:gridSpan w:val="2"/>
            <w:tcBorders/>
          </w:tcPr>
          <w:p>
            <w:pPr>
              <w:pStyle w:val="Normal"/>
              <w:bidi w:val="0"/>
              <w:spacing w:lineRule="auto" w:line="240"/>
              <w:ind w:hanging="0" w:start="0" w:end="0"/>
              <w:rPr>
                <w:rFonts w:ascii="Times New Roman" w:hAnsi="Times New Roman"/>
                <w:color w:val="000000"/>
                <w:sz w:val="20"/>
                <w:u w:val="double"/>
              </w:rPr>
            </w:pPr>
            <w:r>
              <w:rPr>
                <w:rFonts w:ascii="Times New Roman" w:hAnsi="Times New Roman"/>
                <w:color w:val="000000"/>
                <w:sz w:val="20"/>
                <w:u w:val="double"/>
              </w:rPr>
            </w:r>
          </w:p>
        </w:tc>
      </w:tr>
      <w:tr>
        <w:trPr>
          <w:cantSplit w:val="true"/>
        </w:trPr>
        <w:tc>
          <w:tcPr>
            <w:tcW w:w="467" w:type="dxa"/>
            <w:tcBorders/>
          </w:tcPr>
          <w:p>
            <w:pPr>
              <w:pStyle w:val="Normal"/>
              <w:bidi w:val="0"/>
              <w:spacing w:lineRule="auto" w:line="240"/>
              <w:ind w:hanging="0" w:start="0" w:end="0"/>
              <w:rPr/>
            </w:pPr>
            <w:r>
              <w:rPr>
                <w:rFonts w:ascii="Times New Roman" w:hAnsi="Times New Roman"/>
                <w:b/>
                <w:color w:val="000000"/>
                <w:sz w:val="20"/>
                <w:u w:val="double"/>
              </w:rPr>
              <w:t>7.</w:t>
            </w:r>
          </w:p>
        </w:tc>
        <w:tc>
          <w:tcPr>
            <w:tcW w:w="1800" w:type="dxa"/>
            <w:tcBorders/>
          </w:tcPr>
          <w:p>
            <w:pPr>
              <w:pStyle w:val="Normal"/>
              <w:bidi w:val="0"/>
              <w:spacing w:lineRule="auto" w:line="240"/>
              <w:ind w:hanging="0" w:start="0" w:end="0"/>
              <w:rPr/>
            </w:pPr>
            <w:r>
              <w:rPr>
                <w:rFonts w:ascii="Times New Roman" w:hAnsi="Times New Roman"/>
                <w:b/>
                <w:color w:val="000000"/>
                <w:sz w:val="20"/>
                <w:u w:val="double"/>
              </w:rPr>
              <w:t>Delivery Point:</w:t>
            </w:r>
          </w:p>
        </w:tc>
        <w:tc>
          <w:tcPr>
            <w:tcW w:w="7921" w:type="dxa"/>
            <w:gridSpan w:val="2"/>
            <w:tcBorders/>
          </w:tcPr>
          <w:p>
            <w:pPr>
              <w:pStyle w:val="Normal"/>
              <w:bidi w:val="0"/>
              <w:spacing w:lineRule="auto" w:line="240"/>
              <w:ind w:hanging="0" w:start="0" w:end="0"/>
              <w:rPr/>
            </w:pPr>
            <w:r>
              <w:rPr>
                <w:rFonts w:ascii="Times New Roman" w:hAnsi="Times New Roman"/>
                <w:color w:val="000000"/>
                <w:sz w:val="20"/>
                <w:u w:val="double"/>
              </w:rPr>
              <w:t>______________________________</w:t>
            </w:r>
          </w:p>
        </w:tc>
      </w:tr>
      <w:tr>
        <w:trPr>
          <w:cantSplit w:val="true"/>
        </w:trPr>
        <w:tc>
          <w:tcPr>
            <w:tcW w:w="467" w:type="dxa"/>
            <w:tcBorders/>
          </w:tcPr>
          <w:p>
            <w:pPr>
              <w:pStyle w:val="Normal"/>
              <w:bidi w:val="0"/>
              <w:spacing w:lineRule="auto" w:line="240"/>
              <w:ind w:hanging="0" w:start="0" w:end="0"/>
              <w:rPr>
                <w:rFonts w:ascii="Times New Roman" w:hAnsi="Times New Roman"/>
                <w:b/>
                <w:color w:val="000000"/>
                <w:sz w:val="20"/>
                <w:u w:val="double"/>
              </w:rPr>
            </w:pPr>
            <w:r>
              <w:rPr>
                <w:rFonts w:ascii="Times New Roman" w:hAnsi="Times New Roman"/>
                <w:b/>
                <w:color w:val="000000"/>
                <w:sz w:val="20"/>
                <w:u w:val="double"/>
              </w:rPr>
            </w:r>
          </w:p>
        </w:tc>
        <w:tc>
          <w:tcPr>
            <w:tcW w:w="1800" w:type="dxa"/>
            <w:tcBorders/>
          </w:tcPr>
          <w:p>
            <w:pPr>
              <w:pStyle w:val="Normal"/>
              <w:bidi w:val="0"/>
              <w:spacing w:lineRule="auto" w:line="240"/>
              <w:ind w:hanging="0" w:start="0" w:end="0"/>
              <w:rPr>
                <w:rFonts w:ascii="Times New Roman" w:hAnsi="Times New Roman"/>
                <w:b/>
                <w:color w:val="000000"/>
                <w:sz w:val="20"/>
                <w:u w:val="double"/>
              </w:rPr>
            </w:pPr>
            <w:r>
              <w:rPr>
                <w:rFonts w:ascii="Times New Roman" w:hAnsi="Times New Roman"/>
                <w:b/>
                <w:color w:val="000000"/>
                <w:sz w:val="20"/>
                <w:u w:val="double"/>
              </w:rPr>
            </w:r>
          </w:p>
        </w:tc>
        <w:tc>
          <w:tcPr>
            <w:tcW w:w="7921" w:type="dxa"/>
            <w:gridSpan w:val="2"/>
            <w:tcBorders/>
          </w:tcPr>
          <w:p>
            <w:pPr>
              <w:pStyle w:val="Normal"/>
              <w:bidi w:val="0"/>
              <w:spacing w:lineRule="auto" w:line="240"/>
              <w:ind w:hanging="0" w:start="0" w:end="0"/>
              <w:rPr>
                <w:rFonts w:ascii="Times New Roman" w:hAnsi="Times New Roman"/>
                <w:b/>
                <w:color w:val="000000"/>
                <w:sz w:val="20"/>
                <w:u w:val="double"/>
              </w:rPr>
            </w:pPr>
            <w:r>
              <w:rPr>
                <w:rFonts w:ascii="Times New Roman" w:hAnsi="Times New Roman"/>
                <w:b/>
                <w:color w:val="000000"/>
                <w:sz w:val="20"/>
                <w:u w:val="double"/>
              </w:rPr>
            </w:r>
          </w:p>
        </w:tc>
      </w:tr>
      <w:tr>
        <w:trPr>
          <w:cantSplit w:val="true"/>
        </w:trPr>
        <w:tc>
          <w:tcPr>
            <w:tcW w:w="467" w:type="dxa"/>
            <w:tcBorders/>
          </w:tcPr>
          <w:p>
            <w:pPr>
              <w:pStyle w:val="Normal"/>
              <w:tabs>
                <w:tab w:val="clear" w:pos="720"/>
                <w:tab w:val="left" w:pos="1440" w:leader="none"/>
              </w:tabs>
              <w:bidi w:val="0"/>
              <w:spacing w:lineRule="auto" w:line="240"/>
              <w:ind w:hanging="0" w:start="0" w:end="0"/>
              <w:rPr/>
            </w:pPr>
            <w:r>
              <w:rPr>
                <w:rFonts w:ascii="Times New Roman" w:hAnsi="Times New Roman"/>
                <w:b/>
                <w:color w:val="000000"/>
                <w:sz w:val="20"/>
                <w:u w:val="double"/>
              </w:rPr>
              <w:t>8.</w:t>
            </w:r>
          </w:p>
        </w:tc>
        <w:tc>
          <w:tcPr>
            <w:tcW w:w="9721" w:type="dxa"/>
            <w:gridSpan w:val="3"/>
            <w:tcBorders/>
          </w:tcPr>
          <w:p>
            <w:pPr>
              <w:pStyle w:val="Normal"/>
              <w:tabs>
                <w:tab w:val="clear" w:pos="720"/>
              </w:tabs>
              <w:bidi w:val="0"/>
              <w:spacing w:lineRule="auto" w:line="240"/>
              <w:ind w:hanging="0" w:start="0" w:end="0"/>
              <w:rPr>
                <w:rFonts w:ascii="Times New Roman" w:hAnsi="Times New Roman"/>
                <w:b/>
                <w:strike/>
                <w:color w:val="000000"/>
                <w:sz w:val="20"/>
              </w:rPr>
            </w:pPr>
            <w:r>
              <w:rPr>
                <w:rFonts w:ascii="Times New Roman" w:hAnsi="Times New Roman"/>
                <w:b/>
                <w:color w:val="000000"/>
                <w:sz w:val="20"/>
                <w:u w:val="double"/>
              </w:rPr>
              <w:t>Contract Terms:}</w:t>
            </w:r>
            <w:r>
              <w:rPr>
                <w:rFonts w:ascii="Times New Roman" w:hAnsi="Times New Roman"/>
                <w:b/>
                <w:strike/>
                <w:color w:val="000000"/>
                <w:sz w:val="20"/>
              </w:rPr>
              <w:t>{{e.g., Firm or Interruptible}    7. Flex:</w:t>
            </w:r>
          </w:p>
          <w:p>
            <w:pPr>
              <w:pStyle w:val="Normal"/>
              <w:tabs>
                <w:tab w:val="clear" w:pos="720"/>
              </w:tabs>
              <w:bidi w:val="0"/>
              <w:spacing w:lineRule="auto" w:line="240"/>
              <w:ind w:hanging="0" w:start="0" w:end="0"/>
              <w:rPr>
                <w:rFonts w:ascii="Times New Roman" w:hAnsi="Times New Roman"/>
                <w:b/>
                <w:strike/>
                <w:color w:val="000000"/>
                <w:sz w:val="20"/>
              </w:rPr>
            </w:pPr>
            <w:r>
              <w:rPr>
                <w:rFonts w:ascii="Times New Roman" w:hAnsi="Times New Roman"/>
                <w:b/>
                <w:strike/>
                <w:color w:val="000000"/>
                <w:sz w:val="20"/>
              </w:rPr>
              <w:t>{if applicable}</w:t>
            </w:r>
          </w:p>
          <w:p>
            <w:pPr>
              <w:pStyle w:val="Normal"/>
              <w:tabs>
                <w:tab w:val="clear" w:pos="720"/>
              </w:tabs>
              <w:bidi w:val="0"/>
              <w:spacing w:lineRule="auto" w:line="240"/>
              <w:ind w:hanging="0" w:start="0" w:end="0"/>
              <w:rPr>
                <w:rFonts w:ascii="Times New Roman" w:hAnsi="Times New Roman"/>
                <w:b/>
                <w:color w:val="000000"/>
                <w:sz w:val="20"/>
              </w:rPr>
            </w:pPr>
            <w:r>
              <w:rPr>
                <w:rFonts w:ascii="Times New Roman" w:hAnsi="Times New Roman"/>
                <w:b/>
                <w:strike/>
                <w:color w:val="000000"/>
                <w:sz w:val="20"/>
              </w:rPr>
              <w:t xml:space="preserve"> </w:t>
            </w:r>
            <w:r>
              <w:rPr>
                <w:rFonts w:ascii="Times New Roman" w:hAnsi="Times New Roman"/>
                <w:b/>
                <w:strike/>
                <w:color w:val="000000"/>
                <w:sz w:val="20"/>
              </w:rPr>
              <w:t>Buyer shall have the right to reduce Buyer’s nomination by up to 100% of the CQ for any designated days during each month of the Term. 8. Delivery Point: ______________________________    9. Contract Terms:}</w:t>
            </w:r>
          </w:p>
          <w:p>
            <w:pPr>
              <w:pStyle w:val="Normal"/>
              <w:tabs>
                <w:tab w:val="clear" w:pos="720"/>
              </w:tabs>
              <w:bidi w:val="0"/>
              <w:spacing w:lineRule="auto" w:line="240"/>
              <w:ind w:hanging="0" w:start="0" w:end="0"/>
              <w:rPr>
                <w:rFonts w:ascii="Times New Roman" w:hAnsi="Times New Roman"/>
                <w:b/>
                <w:color w:val="000000"/>
                <w:sz w:val="16"/>
              </w:rPr>
            </w:pPr>
            <w:r>
              <w:rPr>
                <w:rFonts w:ascii="Times New Roman" w:hAnsi="Times New Roman"/>
                <w:b/>
                <w:color w:val="000000"/>
                <w:sz w:val="16"/>
              </w:rPr>
            </w:r>
          </w:p>
          <w:p>
            <w:pPr>
              <w:pStyle w:val="Normal"/>
              <w:tabs>
                <w:tab w:val="clear" w:pos="720"/>
              </w:tabs>
              <w:bidi w:val="0"/>
              <w:spacing w:lineRule="auto" w:line="240"/>
              <w:ind w:hanging="0" w:start="0" w:end="0"/>
              <w:rPr>
                <w:rFonts w:ascii="Times New Roman" w:hAnsi="Times New Roman"/>
                <w:color w:val="000000"/>
                <w:sz w:val="20"/>
              </w:rPr>
            </w:pPr>
            <w:r>
              <w:rPr>
                <w:rFonts w:ascii="Times New Roman" w:hAnsi="Times New Roman"/>
                <w:color w:val="000000"/>
                <w:sz w:val="20"/>
              </w:rPr>
              <w:t xml:space="preserve">This transaction shall be governed by the terms and conditions contained in the Master </w:t>
            </w:r>
            <w:r>
              <w:rPr>
                <w:rFonts w:ascii="Times New Roman" w:hAnsi="Times New Roman"/>
                <w:strike/>
                <w:color w:val="000000"/>
                <w:sz w:val="20"/>
              </w:rPr>
              <w:t>{Gas Purchase and Sales Agreement, PG&amp;E CORE Agreement No. ______,}</w:t>
            </w:r>
            <w:r>
              <w:rPr>
                <w:rFonts w:ascii="Times New Roman" w:hAnsi="Times New Roman"/>
                <w:color w:val="000000"/>
                <w:sz w:val="20"/>
              </w:rPr>
              <w:t xml:space="preserve"> </w:t>
            </w:r>
            <w:r>
              <w:rPr>
                <w:rFonts w:ascii="Times New Roman" w:hAnsi="Times New Roman"/>
                <w:color w:val="000000"/>
                <w:sz w:val="20"/>
                <w:u w:val="double"/>
              </w:rPr>
              <w:t>{Agreement, }</w:t>
            </w:r>
            <w:r>
              <w:rPr>
                <w:rFonts w:ascii="Times New Roman" w:hAnsi="Times New Roman"/>
                <w:color w:val="000000"/>
                <w:sz w:val="20"/>
              </w:rPr>
              <w:t xml:space="preserve">and the terms and conditions set forth </w:t>
            </w:r>
            <w:r>
              <w:rPr>
                <w:rFonts w:ascii="Times New Roman" w:hAnsi="Times New Roman"/>
                <w:strike/>
                <w:color w:val="000000"/>
                <w:sz w:val="20"/>
              </w:rPr>
              <w:t>{herein}</w:t>
            </w:r>
            <w:r>
              <w:rPr>
                <w:rFonts w:ascii="Times New Roman" w:hAnsi="Times New Roman"/>
                <w:color w:val="000000"/>
                <w:sz w:val="20"/>
              </w:rPr>
              <w:t xml:space="preserve"> in this Confirmation Notice.  In the event of a conflict between the terms in this Confirmation Notice and the terms of the Agreement, the terms of  this Confirmation Notice will govern.</w:t>
            </w:r>
          </w:p>
          <w:p>
            <w:pPr>
              <w:pStyle w:val="Normal"/>
              <w:tabs>
                <w:tab w:val="clear" w:pos="720"/>
              </w:tabs>
              <w:bidi w:val="0"/>
              <w:spacing w:lineRule="auto" w:line="240"/>
              <w:ind w:hanging="0" w:start="0" w:end="0"/>
              <w:rPr>
                <w:rFonts w:ascii="Times New Roman" w:hAnsi="Times New Roman"/>
                <w:color w:val="000000"/>
                <w:sz w:val="20"/>
              </w:rPr>
            </w:pPr>
            <w:r>
              <w:rPr>
                <w:rFonts w:ascii="Times New Roman" w:hAnsi="Times New Roman"/>
                <w:color w:val="000000"/>
                <w:sz w:val="20"/>
              </w:rPr>
            </w:r>
          </w:p>
          <w:p>
            <w:pPr>
              <w:pStyle w:val="Normal"/>
              <w:tabs>
                <w:tab w:val="clear" w:pos="720"/>
              </w:tabs>
              <w:bidi w:val="0"/>
              <w:spacing w:lineRule="auto" w:line="240"/>
              <w:ind w:hanging="0" w:start="0" w:end="0"/>
              <w:rPr/>
            </w:pPr>
            <w:r>
              <w:rPr>
                <w:rFonts w:ascii="Times New Roman" w:hAnsi="Times New Roman"/>
                <w:color w:val="000000"/>
                <w:sz w:val="20"/>
              </w:rPr>
              <w:t xml:space="preserve">This confirmation shall be deemed accepted unless notification within two (2) business days of receipt of this notice.  Your failure to notify </w:t>
            </w:r>
            <w:r>
              <w:rPr>
                <w:rFonts w:ascii="Times New Roman" w:hAnsi="Times New Roman"/>
                <w:strike/>
                <w:color w:val="000000"/>
                <w:sz w:val="20"/>
              </w:rPr>
              <w:t>{PG&amp;E}</w:t>
            </w:r>
            <w:r>
              <w:rPr>
                <w:rFonts w:ascii="Times New Roman" w:hAnsi="Times New Roman"/>
                <w:color w:val="000000"/>
                <w:sz w:val="20"/>
              </w:rPr>
              <w:t xml:space="preserve"> </w:t>
            </w:r>
            <w:r>
              <w:rPr>
                <w:rFonts w:ascii="Times New Roman" w:hAnsi="Times New Roman"/>
                <w:color w:val="000000"/>
                <w:sz w:val="20"/>
                <w:u w:val="double"/>
              </w:rPr>
              <w:t>{the party generating this Confirmation Notice}</w:t>
            </w:r>
            <w:r>
              <w:rPr>
                <w:rFonts w:ascii="Times New Roman" w:hAnsi="Times New Roman"/>
                <w:color w:val="000000"/>
                <w:sz w:val="20"/>
              </w:rPr>
              <w:t xml:space="preserve"> of any such contrary understanding by such time constitutes your confirmation of the transaction as described above.  Please return via FAX to </w:t>
            </w:r>
            <w:r>
              <w:rPr>
                <w:rFonts w:ascii="Times New Roman" w:hAnsi="Times New Roman"/>
                <w:color w:val="000000"/>
                <w:sz w:val="20"/>
                <w:u w:val="single"/>
              </w:rPr>
              <w:tab/>
              <w:tab/>
              <w:tab/>
            </w:r>
            <w:r>
              <w:rPr>
                <w:rFonts w:ascii="Times New Roman" w:hAnsi="Times New Roman"/>
                <w:strike/>
                <w:color w:val="000000"/>
                <w:sz w:val="20"/>
              </w:rPr>
              <w:t>{415-973-9213}</w:t>
            </w:r>
            <w:r>
              <w:rPr>
                <w:rFonts w:ascii="Times New Roman" w:hAnsi="Times New Roman"/>
                <w:color w:val="000000"/>
                <w:sz w:val="20"/>
              </w:rPr>
              <w:t>.  Signatures are not required in order to effectuate the enforceability  of the Transaction set forth in this Confirmation Notice.</w:t>
            </w:r>
          </w:p>
        </w:tc>
      </w:tr>
      <w:tr>
        <w:trPr>
          <w:cantSplit w:val="true"/>
        </w:trPr>
        <w:tc>
          <w:tcPr>
            <w:tcW w:w="467" w:type="dxa"/>
            <w:tcBorders/>
          </w:tcPr>
          <w:p>
            <w:pPr>
              <w:pStyle w:val="Normal"/>
              <w:tabs>
                <w:tab w:val="clear" w:pos="720"/>
                <w:tab w:val="left" w:pos="1440" w:leader="none"/>
              </w:tabs>
              <w:bidi w:val="0"/>
              <w:spacing w:lineRule="auto" w:line="240"/>
              <w:ind w:hanging="0" w:start="0" w:end="0"/>
              <w:rPr>
                <w:rFonts w:ascii="Times New Roman" w:hAnsi="Times New Roman"/>
                <w:b/>
                <w:color w:val="000000"/>
                <w:sz w:val="20"/>
              </w:rPr>
            </w:pPr>
            <w:r>
              <w:rPr>
                <w:rFonts w:ascii="Times New Roman" w:hAnsi="Times New Roman"/>
                <w:b/>
                <w:color w:val="000000"/>
                <w:sz w:val="20"/>
              </w:rPr>
            </w:r>
          </w:p>
        </w:tc>
        <w:tc>
          <w:tcPr>
            <w:tcW w:w="9721" w:type="dxa"/>
            <w:gridSpan w:val="3"/>
            <w:tcBorders/>
          </w:tcPr>
          <w:p>
            <w:pPr>
              <w:pStyle w:val="Normal"/>
              <w:bidi w:val="0"/>
              <w:spacing w:lineRule="auto" w:line="240"/>
              <w:ind w:hanging="0" w:start="0" w:end="0"/>
              <w:rPr>
                <w:rFonts w:ascii="Times New Roman" w:hAnsi="Times New Roman"/>
                <w:b/>
                <w:color w:val="000000"/>
                <w:sz w:val="20"/>
              </w:rPr>
            </w:pPr>
            <w:r>
              <w:rPr>
                <w:rFonts w:ascii="Times New Roman" w:hAnsi="Times New Roman"/>
                <w:b/>
                <w:color w:val="000000"/>
                <w:sz w:val="20"/>
              </w:rPr>
            </w:r>
          </w:p>
        </w:tc>
      </w:tr>
      <w:tr>
        <w:trPr>
          <w:cantSplit w:val="true"/>
        </w:trPr>
        <w:tc>
          <w:tcPr>
            <w:tcW w:w="467" w:type="dxa"/>
            <w:tcBorders/>
          </w:tcPr>
          <w:p>
            <w:pPr>
              <w:pStyle w:val="Normal"/>
              <w:tabs>
                <w:tab w:val="clear" w:pos="720"/>
                <w:tab w:val="left" w:pos="1440" w:leader="none"/>
              </w:tabs>
              <w:bidi w:val="0"/>
              <w:spacing w:lineRule="auto" w:line="240"/>
              <w:ind w:hanging="0" w:start="0" w:end="0"/>
              <w:rPr/>
            </w:pPr>
            <w:r>
              <w:rPr>
                <w:rFonts w:ascii="Times New Roman" w:hAnsi="Times New Roman"/>
                <w:b/>
                <w:color w:val="000000"/>
                <w:sz w:val="20"/>
              </w:rPr>
              <w:t xml:space="preserve"> </w:t>
            </w:r>
            <w:r>
              <w:rPr>
                <w:rFonts w:ascii="Times New Roman" w:hAnsi="Times New Roman"/>
                <w:b/>
                <w:strike/>
                <w:color w:val="000000"/>
                <w:sz w:val="20"/>
              </w:rPr>
              <w:t>{10}</w:t>
            </w:r>
            <w:r>
              <w:rPr>
                <w:rFonts w:ascii="Times New Roman" w:hAnsi="Times New Roman"/>
                <w:b/>
                <w:color w:val="000000"/>
                <w:sz w:val="20"/>
              </w:rPr>
              <w:t xml:space="preserve"> </w:t>
            </w:r>
            <w:r>
              <w:rPr>
                <w:rFonts w:ascii="Times New Roman" w:hAnsi="Times New Roman"/>
                <w:b/>
                <w:color w:val="000000"/>
                <w:sz w:val="20"/>
                <w:u w:val="double"/>
              </w:rPr>
              <w:t>{9}</w:t>
            </w:r>
            <w:r>
              <w:rPr>
                <w:rFonts w:ascii="Times New Roman" w:hAnsi="Times New Roman"/>
                <w:b/>
                <w:color w:val="000000"/>
                <w:sz w:val="20"/>
              </w:rPr>
              <w:t>.</w:t>
            </w:r>
          </w:p>
        </w:tc>
        <w:tc>
          <w:tcPr>
            <w:tcW w:w="9721" w:type="dxa"/>
            <w:gridSpan w:val="3"/>
            <w:tcBorders>
              <w:bottom w:val="single" w:sz="6" w:space="0" w:color="000000"/>
            </w:tcBorders>
          </w:tcPr>
          <w:p>
            <w:pPr>
              <w:pStyle w:val="Normal"/>
              <w:tabs>
                <w:tab w:val="clear" w:pos="720"/>
              </w:tabs>
              <w:bidi w:val="0"/>
              <w:spacing w:lineRule="auto" w:line="240"/>
              <w:ind w:hanging="0" w:start="0" w:end="0"/>
              <w:rPr/>
            </w:pPr>
            <w:r>
              <w:rPr>
                <w:rFonts w:ascii="Times New Roman" w:hAnsi="Times New Roman"/>
                <w:b/>
                <w:color w:val="000000"/>
                <w:sz w:val="20"/>
              </w:rPr>
              <w:t>Special Provisions:</w:t>
            </w:r>
          </w:p>
        </w:tc>
      </w:tr>
    </w:tbl>
    <w:p>
      <w:pPr>
        <w:pStyle w:val="Normal"/>
        <w:bidi w:val="0"/>
        <w:spacing w:lineRule="exact" w:line="360"/>
        <w:ind w:hanging="0" w:start="0" w:end="0"/>
        <w:rPr>
          <w:rFonts w:ascii="Times New Roman" w:hAnsi="Times New Roman"/>
          <w:color w:val="000000"/>
        </w:rPr>
      </w:pPr>
      <w:r>
        <w:rPr>
          <w:rFonts w:ascii="Times New Roman" w:hAnsi="Times New Roman"/>
          <w:color w:val="000000"/>
        </w:rPr>
      </w:r>
    </w:p>
    <w:p>
      <w:pPr>
        <w:pStyle w:val="Normal"/>
        <w:bidi w:val="0"/>
        <w:spacing w:lineRule="exact" w:line="360"/>
        <w:ind w:hanging="0" w:start="0" w:end="0"/>
        <w:rPr>
          <w:rFonts w:ascii="Times New Roman" w:hAnsi="Times New Roman"/>
          <w:b/>
          <w:i/>
          <w:i/>
          <w:color w:val="000000"/>
          <w:sz w:val="20"/>
        </w:rPr>
      </w:pPr>
      <w:r>
        <w:rPr>
          <w:rFonts w:ascii="Times New Roman" w:hAnsi="Times New Roman"/>
          <w:b/>
          <w:i/>
          <w:color w:val="000000"/>
          <w:sz w:val="20"/>
        </w:rPr>
        <w:t>ACCEPTED AND AGREED</w:t>
      </w:r>
    </w:p>
    <w:p>
      <w:pPr>
        <w:pStyle w:val="Normal"/>
        <w:bidi w:val="0"/>
        <w:spacing w:lineRule="exact" w:line="360"/>
        <w:ind w:hanging="0" w:start="-288" w:end="-288"/>
        <w:rPr>
          <w:rFonts w:ascii="Times New Roman" w:hAnsi="Times New Roman"/>
          <w:color w:val="000000"/>
        </w:rPr>
      </w:pPr>
      <w:r>
        <w:rPr>
          <w:rFonts w:ascii="Times New Roman" w:hAnsi="Times New Roman"/>
          <w:color w:val="000000"/>
        </w:rPr>
      </w:r>
    </w:p>
    <w:tbl>
      <w:tblPr>
        <w:tblW w:w="10188" w:type="dxa"/>
        <w:jc w:val="start"/>
        <w:tblInd w:w="0" w:type="dxa"/>
        <w:tblLayout w:type="fixed"/>
        <w:tblCellMar>
          <w:top w:w="0" w:type="dxa"/>
          <w:start w:w="108" w:type="dxa"/>
          <w:bottom w:w="0" w:type="dxa"/>
          <w:end w:w="108" w:type="dxa"/>
        </w:tblCellMar>
      </w:tblPr>
      <w:tblGrid>
        <w:gridCol w:w="1007"/>
        <w:gridCol w:w="3690"/>
        <w:gridCol w:w="361"/>
        <w:gridCol w:w="1012"/>
        <w:gridCol w:w="4118"/>
      </w:tblGrid>
      <w:tr>
        <w:trPr>
          <w:cantSplit w:val="true"/>
        </w:trPr>
        <w:tc>
          <w:tcPr>
            <w:tcW w:w="5058" w:type="dxa"/>
            <w:gridSpan w:val="3"/>
            <w:tcBorders/>
          </w:tcPr>
          <w:p>
            <w:pPr>
              <w:pStyle w:val="Normal"/>
              <w:tabs>
                <w:tab w:val="clear" w:pos="720"/>
              </w:tabs>
              <w:bidi w:val="0"/>
              <w:spacing w:lineRule="auto" w:line="240"/>
              <w:ind w:hanging="0" w:start="0" w:end="0"/>
              <w:rPr/>
            </w:pPr>
            <w:r>
              <w:rPr>
                <w:rFonts w:ascii="Times New Roman" w:hAnsi="Times New Roman"/>
                <w:b/>
                <w:color w:val="000000"/>
              </w:rPr>
              <w:t>PACIFIC GAS AND ELECTRIC COMPANY</w:t>
            </w:r>
          </w:p>
        </w:tc>
        <w:tc>
          <w:tcPr>
            <w:tcW w:w="5130" w:type="dxa"/>
            <w:gridSpan w:val="2"/>
            <w:tcBorders/>
          </w:tcPr>
          <w:p>
            <w:pPr>
              <w:pStyle w:val="Normal"/>
              <w:tabs>
                <w:tab w:val="clear" w:pos="720"/>
              </w:tabs>
              <w:bidi w:val="0"/>
              <w:spacing w:lineRule="auto" w:line="240"/>
              <w:ind w:hanging="0" w:start="0" w:end="0"/>
              <w:rPr/>
            </w:pPr>
            <w:r>
              <w:rPr>
                <w:rFonts w:ascii="Times New Roman" w:hAnsi="Times New Roman"/>
                <w:b/>
                <w:color w:val="000000"/>
              </w:rPr>
              <w:t>ENRON CANADA CORP.</w:t>
            </w:r>
          </w:p>
        </w:tc>
      </w:tr>
      <w:tr>
        <w:trPr>
          <w:cantSplit w:val="true"/>
        </w:trPr>
        <w:tc>
          <w:tcPr>
            <w:tcW w:w="5058" w:type="dxa"/>
            <w:gridSpan w:val="3"/>
            <w:tcBorders/>
          </w:tcPr>
          <w:p>
            <w:pPr>
              <w:pStyle w:val="Normal"/>
              <w:tabs>
                <w:tab w:val="clear" w:pos="720"/>
              </w:tabs>
              <w:bidi w:val="0"/>
              <w:spacing w:lineRule="auto" w:line="240"/>
              <w:ind w:hanging="0" w:start="0" w:end="0"/>
              <w:rPr>
                <w:rFonts w:ascii="Times New Roman" w:hAnsi="Times New Roman"/>
                <w:b/>
                <w:color w:val="000000"/>
              </w:rPr>
            </w:pPr>
            <w:r>
              <w:rPr>
                <w:rFonts w:ascii="Times New Roman" w:hAnsi="Times New Roman"/>
                <w:b/>
                <w:color w:val="000000"/>
              </w:rPr>
            </w:r>
          </w:p>
        </w:tc>
        <w:tc>
          <w:tcPr>
            <w:tcW w:w="5130" w:type="dxa"/>
            <w:gridSpan w:val="2"/>
            <w:tcBorders/>
          </w:tcPr>
          <w:p>
            <w:pPr>
              <w:pStyle w:val="Normal"/>
              <w:tabs>
                <w:tab w:val="clear" w:pos="720"/>
              </w:tabs>
              <w:bidi w:val="0"/>
              <w:spacing w:lineRule="auto" w:line="240"/>
              <w:ind w:hanging="0" w:start="0" w:end="0"/>
              <w:rPr>
                <w:rFonts w:ascii="Times New Roman" w:hAnsi="Times New Roman"/>
                <w:b/>
                <w:color w:val="000000"/>
              </w:rPr>
            </w:pPr>
            <w:r>
              <w:rPr>
                <w:rFonts w:ascii="Times New Roman" w:hAnsi="Times New Roman"/>
                <w:b/>
                <w:color w:val="000000"/>
              </w:rPr>
            </w:r>
          </w:p>
        </w:tc>
      </w:tr>
      <w:tr>
        <w:trPr>
          <w:cantSplit w:val="true"/>
        </w:trPr>
        <w:tc>
          <w:tcPr>
            <w:tcW w:w="1007" w:type="dxa"/>
            <w:tcBorders/>
          </w:tcPr>
          <w:p>
            <w:pPr>
              <w:pStyle w:val="Normal"/>
              <w:tabs>
                <w:tab w:val="clear" w:pos="720"/>
              </w:tabs>
              <w:bidi w:val="0"/>
              <w:spacing w:lineRule="auto" w:line="240"/>
              <w:ind w:hanging="0" w:start="0" w:end="-288"/>
              <w:rPr/>
            </w:pPr>
            <w:r>
              <w:rPr>
                <w:rFonts w:ascii="Times New Roman" w:hAnsi="Times New Roman"/>
                <w:color w:val="000000"/>
                <w:sz w:val="20"/>
              </w:rPr>
              <w:t>Signature:</w:t>
              <w:tab/>
            </w:r>
          </w:p>
        </w:tc>
        <w:tc>
          <w:tcPr>
            <w:tcW w:w="3690" w:type="dxa"/>
            <w:tcBorders>
              <w:bottom w:val="single" w:sz="6" w:space="0" w:color="000000"/>
            </w:tcBorders>
          </w:tcPr>
          <w:p>
            <w:pPr>
              <w:pStyle w:val="Normal"/>
              <w:tabs>
                <w:tab w:val="clear" w:pos="720"/>
              </w:tabs>
              <w:bidi w:val="0"/>
              <w:spacing w:lineRule="auto" w:line="240"/>
              <w:ind w:hanging="0" w:start="0" w:end="0"/>
              <w:rPr>
                <w:rFonts w:ascii="Times New Roman" w:hAnsi="Times New Roman"/>
                <w:color w:val="000000"/>
                <w:sz w:val="20"/>
              </w:rPr>
            </w:pPr>
            <w:r>
              <w:rPr>
                <w:rFonts w:ascii="Times New Roman" w:hAnsi="Times New Roman"/>
                <w:color w:val="000000"/>
                <w:sz w:val="20"/>
              </w:rPr>
            </w:r>
          </w:p>
        </w:tc>
        <w:tc>
          <w:tcPr>
            <w:tcW w:w="361" w:type="dxa"/>
            <w:tcBorders/>
          </w:tcPr>
          <w:p>
            <w:pPr>
              <w:pStyle w:val="Normal"/>
              <w:tabs>
                <w:tab w:val="clear" w:pos="720"/>
              </w:tabs>
              <w:bidi w:val="0"/>
              <w:spacing w:lineRule="auto" w:line="240"/>
              <w:ind w:hanging="0" w:start="0" w:end="0"/>
              <w:rPr>
                <w:rFonts w:ascii="Times New Roman" w:hAnsi="Times New Roman"/>
                <w:color w:val="000000"/>
                <w:sz w:val="20"/>
              </w:rPr>
            </w:pPr>
            <w:r>
              <w:rPr>
                <w:rFonts w:ascii="Times New Roman" w:hAnsi="Times New Roman"/>
                <w:color w:val="000000"/>
                <w:sz w:val="20"/>
              </w:rPr>
            </w:r>
          </w:p>
        </w:tc>
        <w:tc>
          <w:tcPr>
            <w:tcW w:w="1012" w:type="dxa"/>
            <w:tcBorders/>
          </w:tcPr>
          <w:p>
            <w:pPr>
              <w:pStyle w:val="Normal"/>
              <w:tabs>
                <w:tab w:val="clear" w:pos="720"/>
              </w:tabs>
              <w:bidi w:val="0"/>
              <w:spacing w:lineRule="auto" w:line="240"/>
              <w:ind w:hanging="0" w:start="0" w:end="-288"/>
              <w:rPr/>
            </w:pPr>
            <w:r>
              <w:rPr>
                <w:rFonts w:ascii="Times New Roman" w:hAnsi="Times New Roman"/>
                <w:color w:val="000000"/>
                <w:sz w:val="20"/>
              </w:rPr>
              <w:t>Signature:</w:t>
              <w:tab/>
            </w:r>
          </w:p>
        </w:tc>
        <w:tc>
          <w:tcPr>
            <w:tcW w:w="4118" w:type="dxa"/>
            <w:tcBorders>
              <w:bottom w:val="single" w:sz="6" w:space="0" w:color="000000"/>
            </w:tcBorders>
          </w:tcPr>
          <w:p>
            <w:pPr>
              <w:pStyle w:val="Normal"/>
              <w:tabs>
                <w:tab w:val="clear" w:pos="720"/>
              </w:tabs>
              <w:bidi w:val="0"/>
              <w:spacing w:lineRule="auto" w:line="240"/>
              <w:ind w:hanging="0" w:start="0" w:end="0"/>
              <w:rPr>
                <w:rFonts w:ascii="Times New Roman" w:hAnsi="Times New Roman"/>
                <w:color w:val="000000"/>
                <w:sz w:val="20"/>
              </w:rPr>
            </w:pPr>
            <w:r>
              <w:rPr>
                <w:rFonts w:ascii="Times New Roman" w:hAnsi="Times New Roman"/>
                <w:color w:val="000000"/>
                <w:sz w:val="20"/>
              </w:rPr>
            </w:r>
          </w:p>
        </w:tc>
      </w:tr>
      <w:tr>
        <w:trPr>
          <w:cantSplit w:val="true"/>
        </w:trPr>
        <w:tc>
          <w:tcPr>
            <w:tcW w:w="1007" w:type="dxa"/>
            <w:tcBorders/>
          </w:tcPr>
          <w:p>
            <w:pPr>
              <w:pStyle w:val="Normal"/>
              <w:tabs>
                <w:tab w:val="clear" w:pos="720"/>
              </w:tabs>
              <w:bidi w:val="0"/>
              <w:spacing w:lineRule="auto" w:line="240"/>
              <w:ind w:hanging="0" w:start="0" w:end="-288"/>
              <w:rPr/>
            </w:pPr>
            <w:r>
              <w:rPr>
                <w:rFonts w:ascii="Times New Roman" w:hAnsi="Times New Roman"/>
                <w:color w:val="000000"/>
                <w:sz w:val="20"/>
              </w:rPr>
              <w:t>Name:</w:t>
            </w:r>
          </w:p>
        </w:tc>
        <w:tc>
          <w:tcPr>
            <w:tcW w:w="3690" w:type="dxa"/>
            <w:tcBorders/>
          </w:tcPr>
          <w:p>
            <w:pPr>
              <w:pStyle w:val="Normal"/>
              <w:tabs>
                <w:tab w:val="clear" w:pos="720"/>
              </w:tabs>
              <w:bidi w:val="0"/>
              <w:spacing w:lineRule="auto" w:line="240"/>
              <w:ind w:hanging="0" w:start="0" w:end="0"/>
              <w:rPr/>
            </w:pPr>
            <w:r>
              <w:rPr>
                <w:rFonts w:ascii="Times New Roman" w:hAnsi="Times New Roman"/>
                <w:color w:val="000000"/>
                <w:sz w:val="20"/>
              </w:rPr>
              <w:t>David W. Clare</w:t>
            </w:r>
          </w:p>
        </w:tc>
        <w:tc>
          <w:tcPr>
            <w:tcW w:w="361" w:type="dxa"/>
            <w:tcBorders/>
          </w:tcPr>
          <w:p>
            <w:pPr>
              <w:pStyle w:val="Normal"/>
              <w:tabs>
                <w:tab w:val="clear" w:pos="720"/>
              </w:tabs>
              <w:bidi w:val="0"/>
              <w:spacing w:lineRule="auto" w:line="240"/>
              <w:ind w:hanging="0" w:start="0" w:end="0"/>
              <w:rPr>
                <w:rFonts w:ascii="Times New Roman" w:hAnsi="Times New Roman"/>
                <w:color w:val="000000"/>
                <w:sz w:val="20"/>
              </w:rPr>
            </w:pPr>
            <w:r>
              <w:rPr>
                <w:rFonts w:ascii="Times New Roman" w:hAnsi="Times New Roman"/>
                <w:color w:val="000000"/>
                <w:sz w:val="20"/>
              </w:rPr>
            </w:r>
          </w:p>
        </w:tc>
        <w:tc>
          <w:tcPr>
            <w:tcW w:w="1012" w:type="dxa"/>
            <w:tcBorders/>
          </w:tcPr>
          <w:p>
            <w:pPr>
              <w:pStyle w:val="Normal"/>
              <w:tabs>
                <w:tab w:val="clear" w:pos="720"/>
              </w:tabs>
              <w:bidi w:val="0"/>
              <w:spacing w:lineRule="auto" w:line="240"/>
              <w:ind w:hanging="0" w:start="0" w:end="-288"/>
              <w:rPr/>
            </w:pPr>
            <w:r>
              <w:rPr>
                <w:rFonts w:ascii="Times New Roman" w:hAnsi="Times New Roman"/>
                <w:color w:val="000000"/>
                <w:sz w:val="20"/>
              </w:rPr>
              <w:t>Name:</w:t>
            </w:r>
          </w:p>
        </w:tc>
        <w:tc>
          <w:tcPr>
            <w:tcW w:w="4118" w:type="dxa"/>
            <w:tcBorders/>
          </w:tcPr>
          <w:p>
            <w:pPr>
              <w:pStyle w:val="Normal"/>
              <w:tabs>
                <w:tab w:val="clear" w:pos="720"/>
              </w:tabs>
              <w:bidi w:val="0"/>
              <w:spacing w:lineRule="auto" w:line="240"/>
              <w:ind w:hanging="0" w:start="0" w:end="0"/>
              <w:rPr>
                <w:rFonts w:ascii="Times New Roman" w:hAnsi="Times New Roman"/>
                <w:color w:val="000000"/>
                <w:sz w:val="20"/>
              </w:rPr>
            </w:pPr>
            <w:r>
              <w:rPr>
                <w:rFonts w:ascii="Times New Roman" w:hAnsi="Times New Roman"/>
                <w:color w:val="000000"/>
                <w:sz w:val="20"/>
              </w:rPr>
            </w:r>
          </w:p>
        </w:tc>
      </w:tr>
      <w:tr>
        <w:trPr>
          <w:cantSplit w:val="true"/>
        </w:trPr>
        <w:tc>
          <w:tcPr>
            <w:tcW w:w="1007" w:type="dxa"/>
            <w:tcBorders/>
          </w:tcPr>
          <w:p>
            <w:pPr>
              <w:pStyle w:val="Normal"/>
              <w:tabs>
                <w:tab w:val="clear" w:pos="720"/>
              </w:tabs>
              <w:bidi w:val="0"/>
              <w:spacing w:lineRule="auto" w:line="240"/>
              <w:ind w:hanging="0" w:start="0" w:end="-288"/>
              <w:rPr/>
            </w:pPr>
            <w:r>
              <w:rPr>
                <w:rFonts w:ascii="Times New Roman" w:hAnsi="Times New Roman"/>
                <w:color w:val="000000"/>
                <w:sz w:val="20"/>
              </w:rPr>
              <w:t>Title:</w:t>
            </w:r>
          </w:p>
        </w:tc>
        <w:tc>
          <w:tcPr>
            <w:tcW w:w="3690" w:type="dxa"/>
            <w:tcBorders>
              <w:bottom w:val="single" w:sz="6" w:space="0" w:color="000000"/>
            </w:tcBorders>
          </w:tcPr>
          <w:p>
            <w:pPr>
              <w:pStyle w:val="Normal"/>
              <w:tabs>
                <w:tab w:val="clear" w:pos="720"/>
              </w:tabs>
              <w:bidi w:val="0"/>
              <w:spacing w:lineRule="auto" w:line="240"/>
              <w:ind w:hanging="0" w:start="0" w:end="0"/>
              <w:rPr>
                <w:rFonts w:ascii="Times New Roman" w:hAnsi="Times New Roman"/>
                <w:color w:val="000000"/>
                <w:sz w:val="20"/>
              </w:rPr>
            </w:pPr>
            <w:r>
              <w:rPr>
                <w:rFonts w:ascii="Times New Roman" w:hAnsi="Times New Roman"/>
                <w:color w:val="000000"/>
                <w:sz w:val="20"/>
              </w:rPr>
              <w:t xml:space="preserve">Director </w:t>
            </w:r>
          </w:p>
          <w:p>
            <w:pPr>
              <w:pStyle w:val="Normal"/>
              <w:tabs>
                <w:tab w:val="clear" w:pos="720"/>
              </w:tabs>
              <w:bidi w:val="0"/>
              <w:spacing w:lineRule="auto" w:line="240"/>
              <w:ind w:hanging="0" w:start="0" w:end="0"/>
              <w:rPr/>
            </w:pPr>
            <w:r>
              <w:rPr>
                <w:rFonts w:ascii="Times New Roman" w:hAnsi="Times New Roman"/>
                <w:color w:val="000000"/>
                <w:sz w:val="20"/>
              </w:rPr>
              <w:t>Gas and Transportation Trading</w:t>
            </w:r>
          </w:p>
        </w:tc>
        <w:tc>
          <w:tcPr>
            <w:tcW w:w="361" w:type="dxa"/>
            <w:tcBorders/>
          </w:tcPr>
          <w:p>
            <w:pPr>
              <w:pStyle w:val="Normal"/>
              <w:tabs>
                <w:tab w:val="clear" w:pos="720"/>
              </w:tabs>
              <w:bidi w:val="0"/>
              <w:spacing w:lineRule="auto" w:line="240"/>
              <w:ind w:hanging="0" w:start="0" w:end="0"/>
              <w:rPr>
                <w:rFonts w:ascii="Times New Roman" w:hAnsi="Times New Roman"/>
                <w:color w:val="000000"/>
                <w:sz w:val="20"/>
              </w:rPr>
            </w:pPr>
            <w:r>
              <w:rPr>
                <w:rFonts w:ascii="Times New Roman" w:hAnsi="Times New Roman"/>
                <w:color w:val="000000"/>
                <w:sz w:val="20"/>
              </w:rPr>
            </w:r>
          </w:p>
        </w:tc>
        <w:tc>
          <w:tcPr>
            <w:tcW w:w="1012" w:type="dxa"/>
            <w:tcBorders/>
          </w:tcPr>
          <w:p>
            <w:pPr>
              <w:pStyle w:val="Normal"/>
              <w:tabs>
                <w:tab w:val="clear" w:pos="720"/>
              </w:tabs>
              <w:bidi w:val="0"/>
              <w:spacing w:lineRule="auto" w:line="240"/>
              <w:ind w:hanging="0" w:start="0" w:end="-288"/>
              <w:rPr/>
            </w:pPr>
            <w:r>
              <w:rPr>
                <w:rFonts w:ascii="Times New Roman" w:hAnsi="Times New Roman"/>
                <w:color w:val="000000"/>
                <w:sz w:val="20"/>
              </w:rPr>
              <w:t>Title:</w:t>
            </w:r>
          </w:p>
        </w:tc>
        <w:tc>
          <w:tcPr>
            <w:tcW w:w="4118" w:type="dxa"/>
            <w:tcBorders>
              <w:bottom w:val="single" w:sz="6" w:space="0" w:color="000000"/>
            </w:tcBorders>
          </w:tcPr>
          <w:p>
            <w:pPr>
              <w:pStyle w:val="Normal"/>
              <w:tabs>
                <w:tab w:val="clear" w:pos="720"/>
              </w:tabs>
              <w:bidi w:val="0"/>
              <w:spacing w:lineRule="auto" w:line="240"/>
              <w:ind w:hanging="0" w:start="0" w:end="0"/>
              <w:rPr>
                <w:rFonts w:ascii="Times New Roman" w:hAnsi="Times New Roman"/>
                <w:color w:val="000000"/>
                <w:sz w:val="20"/>
              </w:rPr>
            </w:pPr>
            <w:r>
              <w:rPr>
                <w:rFonts w:ascii="Times New Roman" w:hAnsi="Times New Roman"/>
                <w:color w:val="000000"/>
                <w:sz w:val="20"/>
              </w:rPr>
            </w:r>
          </w:p>
        </w:tc>
      </w:tr>
      <w:tr>
        <w:trPr>
          <w:cantSplit w:val="true"/>
        </w:trPr>
        <w:tc>
          <w:tcPr>
            <w:tcW w:w="1007" w:type="dxa"/>
            <w:tcBorders/>
          </w:tcPr>
          <w:p>
            <w:pPr>
              <w:pStyle w:val="Normal"/>
              <w:tabs>
                <w:tab w:val="clear" w:pos="720"/>
              </w:tabs>
              <w:bidi w:val="0"/>
              <w:spacing w:lineRule="auto" w:line="240"/>
              <w:ind w:hanging="0" w:start="0" w:end="-288"/>
              <w:rPr>
                <w:rFonts w:ascii="Times New Roman" w:hAnsi="Times New Roman"/>
                <w:color w:val="000000"/>
                <w:sz w:val="20"/>
              </w:rPr>
            </w:pPr>
            <w:r>
              <w:rPr>
                <w:rFonts w:ascii="Times New Roman" w:hAnsi="Times New Roman"/>
                <w:color w:val="000000"/>
                <w:sz w:val="20"/>
              </w:rPr>
            </w:r>
          </w:p>
        </w:tc>
        <w:tc>
          <w:tcPr>
            <w:tcW w:w="3690" w:type="dxa"/>
            <w:tcBorders/>
          </w:tcPr>
          <w:p>
            <w:pPr>
              <w:pStyle w:val="Normal"/>
              <w:tabs>
                <w:tab w:val="clear" w:pos="720"/>
              </w:tabs>
              <w:bidi w:val="0"/>
              <w:spacing w:lineRule="auto" w:line="240"/>
              <w:ind w:hanging="0" w:start="0" w:end="0"/>
              <w:rPr>
                <w:rFonts w:ascii="Times New Roman" w:hAnsi="Times New Roman"/>
                <w:color w:val="000000"/>
                <w:sz w:val="20"/>
              </w:rPr>
            </w:pPr>
            <w:r>
              <w:rPr>
                <w:rFonts w:ascii="Times New Roman" w:hAnsi="Times New Roman"/>
                <w:color w:val="000000"/>
                <w:sz w:val="20"/>
              </w:rPr>
            </w:r>
          </w:p>
        </w:tc>
        <w:tc>
          <w:tcPr>
            <w:tcW w:w="361" w:type="dxa"/>
            <w:tcBorders/>
          </w:tcPr>
          <w:p>
            <w:pPr>
              <w:pStyle w:val="Normal"/>
              <w:tabs>
                <w:tab w:val="clear" w:pos="720"/>
              </w:tabs>
              <w:bidi w:val="0"/>
              <w:spacing w:lineRule="auto" w:line="240"/>
              <w:ind w:hanging="0" w:start="0" w:end="0"/>
              <w:rPr>
                <w:rFonts w:ascii="Times New Roman" w:hAnsi="Times New Roman"/>
                <w:color w:val="000000"/>
                <w:sz w:val="20"/>
              </w:rPr>
            </w:pPr>
            <w:r>
              <w:rPr>
                <w:rFonts w:ascii="Times New Roman" w:hAnsi="Times New Roman"/>
                <w:color w:val="000000"/>
                <w:sz w:val="20"/>
              </w:rPr>
            </w:r>
          </w:p>
        </w:tc>
        <w:tc>
          <w:tcPr>
            <w:tcW w:w="1012" w:type="dxa"/>
            <w:tcBorders/>
          </w:tcPr>
          <w:p>
            <w:pPr>
              <w:pStyle w:val="Normal"/>
              <w:tabs>
                <w:tab w:val="clear" w:pos="720"/>
              </w:tabs>
              <w:bidi w:val="0"/>
              <w:spacing w:lineRule="auto" w:line="240"/>
              <w:ind w:hanging="0" w:start="0" w:end="-288"/>
              <w:rPr>
                <w:rFonts w:ascii="Times New Roman" w:hAnsi="Times New Roman"/>
                <w:color w:val="000000"/>
                <w:sz w:val="20"/>
              </w:rPr>
            </w:pPr>
            <w:r>
              <w:rPr>
                <w:rFonts w:ascii="Times New Roman" w:hAnsi="Times New Roman"/>
                <w:color w:val="000000"/>
                <w:sz w:val="20"/>
              </w:rPr>
            </w:r>
          </w:p>
        </w:tc>
        <w:tc>
          <w:tcPr>
            <w:tcW w:w="4118" w:type="dxa"/>
            <w:tcBorders/>
          </w:tcPr>
          <w:p>
            <w:pPr>
              <w:pStyle w:val="Normal"/>
              <w:tabs>
                <w:tab w:val="clear" w:pos="720"/>
              </w:tabs>
              <w:bidi w:val="0"/>
              <w:spacing w:lineRule="auto" w:line="240"/>
              <w:ind w:hanging="0" w:start="0" w:end="0"/>
              <w:rPr>
                <w:rFonts w:ascii="Times New Roman" w:hAnsi="Times New Roman"/>
                <w:color w:val="000000"/>
                <w:sz w:val="20"/>
              </w:rPr>
            </w:pPr>
            <w:r>
              <w:rPr>
                <w:rFonts w:ascii="Times New Roman" w:hAnsi="Times New Roman"/>
                <w:color w:val="000000"/>
                <w:sz w:val="20"/>
              </w:rPr>
            </w:r>
          </w:p>
        </w:tc>
      </w:tr>
      <w:tr>
        <w:trPr>
          <w:cantSplit w:val="true"/>
        </w:trPr>
        <w:tc>
          <w:tcPr>
            <w:tcW w:w="1007" w:type="dxa"/>
            <w:tcBorders/>
          </w:tcPr>
          <w:p>
            <w:pPr>
              <w:pStyle w:val="Normal"/>
              <w:tabs>
                <w:tab w:val="clear" w:pos="720"/>
              </w:tabs>
              <w:bidi w:val="0"/>
              <w:spacing w:lineRule="auto" w:line="240"/>
              <w:ind w:hanging="0" w:start="0" w:end="-288"/>
              <w:rPr/>
            </w:pPr>
            <w:r>
              <w:rPr>
                <w:rFonts w:ascii="Times New Roman" w:hAnsi="Times New Roman"/>
                <w:color w:val="000000"/>
                <w:sz w:val="20"/>
              </w:rPr>
              <w:t>Date:</w:t>
            </w:r>
          </w:p>
        </w:tc>
        <w:tc>
          <w:tcPr>
            <w:tcW w:w="3690" w:type="dxa"/>
            <w:tcBorders>
              <w:bottom w:val="single" w:sz="6" w:space="0" w:color="000000"/>
            </w:tcBorders>
          </w:tcPr>
          <w:p>
            <w:pPr>
              <w:pStyle w:val="Normal"/>
              <w:tabs>
                <w:tab w:val="clear" w:pos="720"/>
              </w:tabs>
              <w:bidi w:val="0"/>
              <w:spacing w:lineRule="auto" w:line="240"/>
              <w:ind w:hanging="0" w:start="0" w:end="0"/>
              <w:rPr>
                <w:rFonts w:ascii="Times New Roman" w:hAnsi="Times New Roman"/>
                <w:color w:val="000000"/>
                <w:sz w:val="20"/>
              </w:rPr>
            </w:pPr>
            <w:r>
              <w:rPr>
                <w:rFonts w:ascii="Times New Roman" w:hAnsi="Times New Roman"/>
                <w:color w:val="000000"/>
                <w:sz w:val="20"/>
              </w:rPr>
            </w:r>
          </w:p>
        </w:tc>
        <w:tc>
          <w:tcPr>
            <w:tcW w:w="361" w:type="dxa"/>
            <w:tcBorders/>
          </w:tcPr>
          <w:p>
            <w:pPr>
              <w:pStyle w:val="Normal"/>
              <w:tabs>
                <w:tab w:val="clear" w:pos="720"/>
              </w:tabs>
              <w:bidi w:val="0"/>
              <w:spacing w:lineRule="auto" w:line="240"/>
              <w:ind w:hanging="0" w:start="0" w:end="0"/>
              <w:rPr>
                <w:rFonts w:ascii="Times New Roman" w:hAnsi="Times New Roman"/>
                <w:color w:val="000000"/>
                <w:sz w:val="20"/>
              </w:rPr>
            </w:pPr>
            <w:r>
              <w:rPr>
                <w:rFonts w:ascii="Times New Roman" w:hAnsi="Times New Roman"/>
                <w:color w:val="000000"/>
                <w:sz w:val="20"/>
              </w:rPr>
            </w:r>
          </w:p>
        </w:tc>
        <w:tc>
          <w:tcPr>
            <w:tcW w:w="1012" w:type="dxa"/>
            <w:tcBorders/>
          </w:tcPr>
          <w:p>
            <w:pPr>
              <w:pStyle w:val="Normal"/>
              <w:tabs>
                <w:tab w:val="clear" w:pos="720"/>
              </w:tabs>
              <w:bidi w:val="0"/>
              <w:spacing w:lineRule="auto" w:line="240"/>
              <w:ind w:hanging="0" w:start="0" w:end="-288"/>
              <w:rPr/>
            </w:pPr>
            <w:r>
              <w:rPr>
                <w:rFonts w:ascii="Times New Roman" w:hAnsi="Times New Roman"/>
                <w:color w:val="000000"/>
                <w:sz w:val="20"/>
              </w:rPr>
              <w:t>Date:</w:t>
            </w:r>
          </w:p>
        </w:tc>
        <w:tc>
          <w:tcPr>
            <w:tcW w:w="4118" w:type="dxa"/>
            <w:tcBorders>
              <w:bottom w:val="single" w:sz="6" w:space="0" w:color="000000"/>
            </w:tcBorders>
          </w:tcPr>
          <w:p>
            <w:pPr>
              <w:pStyle w:val="Normal"/>
              <w:tabs>
                <w:tab w:val="clear" w:pos="720"/>
              </w:tabs>
              <w:bidi w:val="0"/>
              <w:spacing w:lineRule="auto" w:line="240"/>
              <w:ind w:hanging="0" w:start="0" w:end="0"/>
              <w:rPr>
                <w:rFonts w:ascii="Times New Roman" w:hAnsi="Times New Roman"/>
                <w:color w:val="000000"/>
                <w:sz w:val="20"/>
              </w:rPr>
            </w:pPr>
            <w:r>
              <w:rPr>
                <w:rFonts w:ascii="Times New Roman" w:hAnsi="Times New Roman"/>
                <w:color w:val="000000"/>
                <w:sz w:val="20"/>
              </w:rPr>
            </w:r>
          </w:p>
        </w:tc>
      </w:tr>
    </w:tbl>
    <w:p>
      <w:pPr>
        <w:pStyle w:val="Normal"/>
        <w:bidi w:val="0"/>
        <w:spacing w:lineRule="exact" w:line="360"/>
        <w:ind w:hanging="0" w:start="0" w:end="0"/>
        <w:rPr/>
      </w:pPr>
      <w:r>
        <w:rPr/>
      </w:r>
    </w:p>
    <w:p>
      <w:pPr>
        <w:pStyle w:val="Normal"/>
        <w:bidi w:val="0"/>
        <w:spacing w:lineRule="exact" w:line="360"/>
        <w:ind w:hanging="0" w:start="0" w:end="0"/>
        <w:rPr/>
      </w:pPr>
      <w:r>
        <w:rPr/>
      </w:r>
    </w:p>
    <w:p>
      <w:pPr>
        <w:pStyle w:val="Normal"/>
        <w:bidi w:val="0"/>
        <w:spacing w:lineRule="exact" w:line="360"/>
        <w:ind w:hanging="0" w:start="0" w:end="0"/>
        <w:rPr/>
      </w:pPr>
      <w:r>
        <w:rPr/>
        <w:t xml:space="preserve">This redlined draft, generated by CompareRite (TM) - The Instant Redliner, shows the differences between - </w:t>
      </w:r>
    </w:p>
    <w:p>
      <w:pPr>
        <w:pStyle w:val="Normal"/>
        <w:bidi w:val="0"/>
        <w:spacing w:lineRule="exact" w:line="360"/>
        <w:ind w:hanging="0" w:start="0" w:end="0"/>
        <w:rPr/>
      </w:pPr>
      <w:r>
        <w:rPr/>
        <w:t>original document   : I:\LEGAL\CONTRACT\PACIFIC GAS &amp; ELECTRIC\PG&amp;E CORE- ENRON CANADA 5-21-01 DRAFT (CHANGES ACCEPTED).DOC</w:t>
      </w:r>
    </w:p>
    <w:p>
      <w:pPr>
        <w:pStyle w:val="Normal"/>
        <w:bidi w:val="0"/>
        <w:spacing w:lineRule="exact" w:line="360"/>
        <w:ind w:hanging="0" w:start="0" w:end="0"/>
        <w:rPr/>
      </w:pPr>
      <w:r>
        <w:rPr/>
        <w:t>and revised document: I:\LEGAL\CONTRACT\PACIFIC GAS &amp; ELECTRIC\PG&amp;E CORE- ENRON CANADA REVISIONS 9-20-01 DRAFT.DOC</w:t>
      </w:r>
    </w:p>
    <w:p>
      <w:pPr>
        <w:pStyle w:val="Normal"/>
        <w:bidi w:val="0"/>
        <w:spacing w:lineRule="exact" w:line="360"/>
        <w:ind w:hanging="0" w:start="0" w:end="0"/>
        <w:rPr/>
      </w:pPr>
      <w:r>
        <w:rPr/>
      </w:r>
    </w:p>
    <w:p>
      <w:pPr>
        <w:pStyle w:val="Normal"/>
        <w:bidi w:val="0"/>
        <w:spacing w:lineRule="exact" w:line="360"/>
        <w:ind w:hanging="0" w:start="0" w:end="0"/>
        <w:rPr/>
      </w:pPr>
      <w:r>
        <w:rPr/>
        <w:t>CompareRite found  282 change(s) in the text</w:t>
      </w:r>
    </w:p>
    <w:p>
      <w:pPr>
        <w:pStyle w:val="Normal"/>
        <w:bidi w:val="0"/>
        <w:spacing w:lineRule="exact" w:line="360"/>
        <w:ind w:hanging="0" w:start="0" w:end="0"/>
        <w:rPr/>
      </w:pPr>
      <w:r>
        <w:rPr/>
      </w:r>
    </w:p>
    <w:p>
      <w:pPr>
        <w:pStyle w:val="Normal"/>
        <w:bidi w:val="0"/>
        <w:spacing w:lineRule="exact" w:line="360"/>
        <w:ind w:hanging="0" w:start="0" w:end="0"/>
        <w:rPr/>
      </w:pPr>
      <w:r>
        <w:rPr/>
        <w:t>Deletions appear as Overstrike text surrounded by {}</w:t>
      </w:r>
    </w:p>
    <w:p>
      <w:pPr>
        <w:pStyle w:val="Normal"/>
        <w:bidi w:val="0"/>
        <w:spacing w:lineRule="exact" w:line="360"/>
        <w:ind w:hanging="0" w:start="0" w:end="0"/>
        <w:rPr/>
      </w:pPr>
      <w:r>
        <w:rPr/>
        <w:t>Additions appear as Double Underline text surrounded by {}</w:t>
      </w:r>
    </w:p>
    <w:sectPr>
      <w:headerReference w:type="default" r:id="rId18"/>
      <w:headerReference w:type="first" r:id="rId19"/>
      <w:footerReference w:type="even" r:id="rId20"/>
      <w:footerReference w:type="default" r:id="rId21"/>
      <w:footerReference w:type="first" r:id="rId22"/>
      <w:type w:val="nextPage"/>
      <w:pgSz w:w="12240" w:h="15840"/>
      <w:pgMar w:left="1080" w:right="1080" w:gutter="0" w:header="0" w:top="720" w:footer="288" w:bottom="86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Times New Roman">
    <w:charset w:val="01" w:characterSet="utf-8"/>
    <w:family w:val="roman"/>
    <w:pitch w:val="variable"/>
  </w:font>
  <w:font w:name="Arial Narro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lineRule="exact" w:line="360"/>
      <w:ind w:hanging="0" w:start="0" w:end="0"/>
      <w:jc w:val="both"/>
      <w:textAlignment w:val="auto"/>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lineRule="exact" w:line="360"/>
      <w:ind w:hanging="0" w:start="0" w:end="0"/>
      <w:jc w:val="both"/>
      <w:textAlignment w:val="auto"/>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exact" w:line="360"/>
      <w:rPr>
        <w:rFonts w:ascii="Arial Narrow" w:hAnsi="Arial Narrow"/>
      </w:rPr>
    </w:pPr>
    <w:r>
      <w:rPr/>
      <w:fldChar w:fldCharType="begin"/>
    </w:r>
    <w:r>
      <w:rPr/>
      <w:instrText xml:space="preserve"> FILENAME \p </w:instrText>
    </w:r>
    <w:r>
      <w:rPr/>
      <w:fldChar w:fldCharType="separate"/>
    </w:r>
    <w:r>
      <w:rPr/>
      <w:t>/mnt/main-storage/datasets/enron-docs/doc/3.262159.PGUVIZVMXPBXZTRKSPA5QFJVYEU4MB5SB.1.DOC</w:t>
    </w:r>
    <w:r>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exact" w:line="360"/>
      <w:rPr>
        <w:rFonts w:ascii="Arial Narrow" w:hAnsi="Arial Narrow"/>
      </w:rPr>
    </w:pPr>
    <w:r>
      <w:rPr/>
      <w:fldChar w:fldCharType="begin"/>
    </w:r>
    <w:r>
      <w:rPr/>
      <w:instrText xml:space="preserve"> FILENAME \p </w:instrText>
    </w:r>
    <w:r>
      <w:rPr/>
      <w:fldChar w:fldCharType="separate"/>
    </w:r>
    <w:r>
      <w:rPr/>
      <w:t>/mnt/main-storage/datasets/enron-docs/doc/3.262159.PGUVIZVMXPBXZTRKSPA5QFJVYEU4MB5SB.1.DOC</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exact" w:line="360"/>
      <w:jc w:val="center"/>
      <w:rPr>
        <w:rFonts w:ascii="Times New Roman" w:hAnsi="Times New Roman"/>
      </w:rPr>
    </w:pPr>
    <w:r>
      <w:rPr>
        <w:rFonts w:ascii="Times New Roman" w:hAnsi="Times New Roman"/>
      </w:rPr>
    </w:r>
  </w:p>
  <w:p>
    <w:pPr>
      <w:pStyle w:val="Footer"/>
      <w:widowControl/>
      <w:bidi w:val="0"/>
      <w:spacing w:lineRule="exact" w:line="360"/>
      <w:jc w:val="end"/>
      <w:rPr>
        <w:rFonts w:ascii="Times New Roman" w:hAnsi="Times New Roman"/>
        <w:b/>
        <w:i/>
        <w:i/>
        <w:sz w:val="22"/>
      </w:rPr>
    </w:pPr>
    <w:r>
      <w:rPr>
        <w:rFonts w:ascii="Times New Roman" w:hAnsi="Times New Roman"/>
        <w:b/>
        <w:i/>
        <w:sz w:val="22"/>
      </w:rPr>
    </w:r>
  </w:p>
  <w:p>
    <w:pPr>
      <w:pStyle w:val="Footer"/>
      <w:widowControl/>
      <w:bidi w:val="0"/>
      <w:spacing w:lineRule="exact" w:line="360"/>
      <w:jc w:val="center"/>
      <w:rPr>
        <w:rStyle w:val="PageNumber"/>
        <w:sz w:val="22"/>
      </w:rPr>
    </w:pPr>
    <w:r>
      <w:rPr>
        <w:sz w:val="22"/>
      </w:rPr>
      <w:t xml:space="preserve">Page </w:t>
    </w:r>
    <w:r>
      <w:rPr>
        <w:rStyle w:val="PageNumber"/>
        <w:sz w:val="22"/>
        <w:lang w:val="en-US" w:eastAsia="en-US"/>
      </w:rPr>
      <w:fldChar w:fldCharType="begin"/>
    </w:r>
    <w:r>
      <w:rPr>
        <w:rStyle w:val="PageNumber"/>
        <w:sz w:val="22"/>
        <w:lang w:val="en-US" w:eastAsia="en-US"/>
      </w:rPr>
      <w:instrText xml:space="preserve"> PAGE </w:instrText>
    </w:r>
    <w:r>
      <w:rPr>
        <w:rStyle w:val="PageNumber"/>
        <w:sz w:val="22"/>
        <w:lang w:val="en-US" w:eastAsia="en-US"/>
      </w:rPr>
      <w:fldChar w:fldCharType="separate"/>
    </w:r>
    <w:r>
      <w:rPr>
        <w:rStyle w:val="PageNumber"/>
        <w:sz w:val="22"/>
        <w:lang w:val="en-US" w:eastAsia="en-US"/>
      </w:rPr>
      <w:t>0</w:t>
    </w:r>
    <w:r>
      <w:rPr>
        <w:rStyle w:val="PageNumber"/>
        <w:sz w:val="22"/>
        <w:lang w:val="en-US" w:eastAsia="en-US"/>
      </w:rPr>
      <w:fldChar w:fldCharType="end"/>
    </w:r>
    <w:r>
      <w:rPr>
        <w:rStyle w:val="PageNumber"/>
        <w:lang w:val="en-US" w:eastAsia="en-US"/>
      </w:rPr>
      <w:t xml:space="preserve"> </w:t>
    </w:r>
    <w:r>
      <w:rPr>
        <w:rStyle w:val="PageNumber"/>
        <w:sz w:val="22"/>
        <w:lang w:val="en-US" w:eastAsia="en-US"/>
      </w:rPr>
      <w:t>of 18</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exact" w:line="360"/>
      <w:rPr>
        <w:rFonts w:ascii="Arial Narrow" w:hAnsi="Arial Narrow"/>
      </w:rPr>
    </w:pPr>
    <w:r>
      <w:rPr>
        <w:rFonts w:ascii="Arial Narrow" w:hAnsi="Arial Narrow"/>
        <w:lang w:val="en-CA" w:eastAsia="en-CA"/>
      </w:rPr>
      <w:fldChar w:fldCharType="begin"/>
    </w:r>
    <w:r>
      <w:rPr>
        <w:rFonts w:ascii="Arial Narrow" w:hAnsi="Arial Narrow"/>
        <w:lang w:val="en-CA" w:eastAsia="en-CA"/>
      </w:rPr>
      <w:instrText xml:space="preserve"> FILENAME \p </w:instrText>
    </w:r>
    <w:r>
      <w:rPr>
        <w:rFonts w:ascii="Arial Narrow" w:hAnsi="Arial Narrow"/>
        <w:lang w:val="en-CA" w:eastAsia="en-CA"/>
      </w:rPr>
      <w:fldChar w:fldCharType="separate"/>
    </w:r>
    <w:r>
      <w:rPr>
        <w:rFonts w:ascii="Arial Narrow" w:hAnsi="Arial Narrow"/>
        <w:lang w:val="en-CA" w:eastAsia="en-CA"/>
      </w:rPr>
      <w:t>/mnt/main-storage/datasets/enron-docs/doc/3.262159.PGUVIZVMXPBXZTRKSPA5QFJVYEU4MB5SB.1.DOC</w:t>
    </w:r>
    <w:r>
      <w:rPr>
        <w:rFonts w:ascii="Arial Narrow" w:hAnsi="Arial Narrow"/>
        <w:lang w:val="en-CA" w:eastAsia="en-CA"/>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lineRule="exact" w:line="360"/>
      <w:ind w:hanging="0" w:start="0" w:end="0"/>
      <w:jc w:val="both"/>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exact" w:line="360"/>
      <w:jc w:val="center"/>
      <w:rPr>
        <w:rStyle w:val="PageNumber"/>
        <w:sz w:val="18"/>
      </w:rPr>
    </w:pPr>
    <w:r>
      <w:rPr>
        <w:sz w:val="18"/>
      </w:rPr>
      <w:t xml:space="preserve">Page </w:t>
    </w:r>
    <w:r>
      <w:rPr>
        <w:rStyle w:val="PageNumber"/>
        <w:sz w:val="18"/>
        <w:lang w:val="en-US" w:eastAsia="en-US"/>
      </w:rPr>
      <w:fldChar w:fldCharType="begin"/>
    </w:r>
    <w:r>
      <w:rPr>
        <w:rStyle w:val="PageNumber"/>
        <w:sz w:val="18"/>
        <w:lang w:val="en-US" w:eastAsia="en-US"/>
      </w:rPr>
      <w:instrText xml:space="preserve"> PAGE </w:instrText>
    </w:r>
    <w:r>
      <w:rPr>
        <w:rStyle w:val="PageNumber"/>
        <w:sz w:val="18"/>
        <w:lang w:val="en-US" w:eastAsia="en-US"/>
      </w:rPr>
      <w:fldChar w:fldCharType="separate"/>
    </w:r>
    <w:r>
      <w:rPr>
        <w:rStyle w:val="PageNumber"/>
        <w:sz w:val="18"/>
        <w:lang w:val="en-US" w:eastAsia="en-US"/>
      </w:rPr>
      <w:t>0</w:t>
    </w:r>
    <w:r>
      <w:rPr>
        <w:rStyle w:val="PageNumber"/>
        <w:sz w:val="18"/>
        <w:lang w:val="en-US" w:eastAsia="en-US"/>
      </w:rPr>
      <w:fldChar w:fldCharType="end"/>
    </w:r>
    <w:r>
      <w:rPr>
        <w:rStyle w:val="PageNumber"/>
        <w:sz w:val="18"/>
        <w:lang w:val="en-US" w:eastAsia="en-US"/>
      </w:rPr>
      <w:t xml:space="preserve"> of 27</w:t>
    </w:r>
  </w:p>
  <w:p>
    <w:pPr>
      <w:pStyle w:val="Normal"/>
      <w:widowControl/>
      <w:bidi w:val="0"/>
      <w:spacing w:lineRule="exact" w:line="360"/>
      <w:ind w:hanging="0" w:start="0" w:end="0"/>
      <w:rPr/>
    </w:pPr>
    <w:r>
      <w:rPr/>
    </w:r>
  </w:p>
  <w:p>
    <w:pPr>
      <w:pStyle w:val="Footer"/>
      <w:widowControl/>
      <w:bidi w:val="0"/>
      <w:spacing w:lineRule="exact" w:line="360"/>
      <w:rPr>
        <w:b/>
        <w:sz w:val="12"/>
      </w:rPr>
    </w:pPr>
    <w:r>
      <w:rPr/>
      <w:fldChar w:fldCharType="begin"/>
    </w:r>
    <w:r>
      <w:rPr/>
      <w:instrText xml:space="preserve"> FILENAME \p </w:instrText>
    </w:r>
    <w:r>
      <w:rPr/>
      <w:fldChar w:fldCharType="separate"/>
    </w:r>
    <w:r>
      <w:rPr/>
      <w:t>/mnt/main-storage/datasets/enron-docs/doc/3.262159.PGUVIZVMXPBXZTRKSPA5QFJVYEU4MB5SB.1.DOC</w:t>
    </w:r>
    <w: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exact" w:line="360"/>
      <w:rPr>
        <w:rFonts w:ascii="Arial Narrow" w:hAnsi="Arial Narrow"/>
      </w:rPr>
    </w:pPr>
    <w:r>
      <w:rPr>
        <w:rFonts w:ascii="Arial Narrow" w:hAnsi="Arial Narrow"/>
        <w:lang w:val="en-CA" w:eastAsia="en-CA"/>
      </w:rPr>
      <w:fldChar w:fldCharType="begin"/>
    </w:r>
    <w:r>
      <w:rPr>
        <w:rFonts w:ascii="Arial Narrow" w:hAnsi="Arial Narrow"/>
        <w:lang w:val="en-CA" w:eastAsia="en-CA"/>
      </w:rPr>
      <w:instrText xml:space="preserve"> FILENAME \p </w:instrText>
    </w:r>
    <w:r>
      <w:rPr>
        <w:rFonts w:ascii="Arial Narrow" w:hAnsi="Arial Narrow"/>
        <w:lang w:val="en-CA" w:eastAsia="en-CA"/>
      </w:rPr>
      <w:fldChar w:fldCharType="separate"/>
    </w:r>
    <w:r>
      <w:rPr>
        <w:rFonts w:ascii="Arial Narrow" w:hAnsi="Arial Narrow"/>
        <w:lang w:val="en-CA" w:eastAsia="en-CA"/>
      </w:rPr>
      <w:t>/mnt/main-storage/datasets/enron-docs/doc/3.262159.PGUVIZVMXPBXZTRKSPA5QFJVYEU4MB5SB.1.DOC</w:t>
    </w:r>
    <w:r>
      <w:rPr>
        <w:rFonts w:ascii="Arial Narrow" w:hAnsi="Arial Narrow"/>
        <w:lang w:val="en-CA" w:eastAsia="en-CA"/>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lineRule="exact" w:line="360"/>
      <w:ind w:hanging="0" w:start="0" w:end="0"/>
      <w:jc w:val="both"/>
      <w:textAlignment w:val="auto"/>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auto" w:line="240"/>
      <w:jc w:val="center"/>
      <w:rPr>
        <w:rStyle w:val="PageNumber"/>
      </w:rPr>
    </w:pPr>
    <w:r>
      <w:rPr/>
      <w:t xml:space="preserve">Page </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26</w:t>
    </w:r>
    <w:r>
      <w:rPr>
        <w:rStyle w:val="PageNumber"/>
        <w:lang w:val="en-CA" w:eastAsia="en-CA"/>
      </w:rPr>
      <w:fldChar w:fldCharType="end"/>
    </w:r>
    <w:r>
      <w:rPr>
        <w:rStyle w:val="PageNumber"/>
        <w:lang w:val="en-US" w:eastAsia="en-US"/>
      </w:rPr>
      <w:t xml:space="preserve"> of 24</w:t>
    </w:r>
  </w:p>
  <w:p>
    <w:pPr>
      <w:pStyle w:val="Footer"/>
      <w:widowControl/>
      <w:bidi w:val="0"/>
      <w:spacing w:lineRule="auto" w:line="240"/>
      <w:jc w:val="center"/>
      <w:rPr>
        <w:rStyle w:val="PageNumber"/>
      </w:rPr>
    </w:pPr>
    <w:r>
      <w:rPr/>
    </w:r>
  </w:p>
  <w:p>
    <w:pPr>
      <w:pStyle w:val="Footer"/>
      <w:widowControl/>
      <w:bidi w:val="0"/>
      <w:spacing w:lineRule="auto" w:line="240"/>
      <w:rPr>
        <w:rFonts w:ascii="Arial Narrow" w:hAnsi="Arial Narrow"/>
      </w:rPr>
    </w:pPr>
    <w:r>
      <w:rPr/>
      <w:fldChar w:fldCharType="begin"/>
    </w:r>
    <w:r>
      <w:rPr/>
      <w:instrText xml:space="preserve"> FILENAME \p </w:instrText>
    </w:r>
    <w:r>
      <w:rPr/>
      <w:fldChar w:fldCharType="separate"/>
    </w:r>
    <w:r>
      <w:rPr/>
      <w:t>/mnt/main-storage/datasets/enron-docs/doc/3.262159.PGUVIZVMXPBXZTRKSPA5QFJVYEU4MB5SB.1.DOC</w:t>
    </w:r>
    <w: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auto" w:line="240"/>
      <w:jc w:val="center"/>
      <w:rPr>
        <w:rStyle w:val="PageNumber"/>
      </w:rPr>
    </w:pPr>
    <w:r>
      <w:rPr/>
      <w:t xml:space="preserve">Page </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26</w:t>
    </w:r>
    <w:r>
      <w:rPr>
        <w:rStyle w:val="PageNumber"/>
        <w:lang w:val="en-CA" w:eastAsia="en-CA"/>
      </w:rPr>
      <w:fldChar w:fldCharType="end"/>
    </w:r>
    <w:r>
      <w:rPr>
        <w:rStyle w:val="PageNumber"/>
        <w:lang w:val="en-US" w:eastAsia="en-US"/>
      </w:rPr>
      <w:t xml:space="preserve"> of 24</w:t>
    </w:r>
  </w:p>
  <w:p>
    <w:pPr>
      <w:pStyle w:val="Footer"/>
      <w:widowControl/>
      <w:bidi w:val="0"/>
      <w:spacing w:lineRule="auto" w:line="240"/>
      <w:jc w:val="center"/>
      <w:rPr>
        <w:rStyle w:val="PageNumber"/>
      </w:rPr>
    </w:pPr>
    <w:r>
      <w:rPr/>
    </w:r>
  </w:p>
  <w:p>
    <w:pPr>
      <w:pStyle w:val="Footer"/>
      <w:widowControl/>
      <w:bidi w:val="0"/>
      <w:spacing w:lineRule="auto" w:line="240"/>
      <w:rPr>
        <w:rFonts w:ascii="Arial Narrow" w:hAnsi="Arial Narrow"/>
      </w:rPr>
    </w:pPr>
    <w:r>
      <w:rPr/>
      <w:fldChar w:fldCharType="begin"/>
    </w:r>
    <w:r>
      <w:rPr/>
      <w:instrText xml:space="preserve"> FILENAME \p </w:instrText>
    </w:r>
    <w:r>
      <w:rPr/>
      <w:fldChar w:fldCharType="separate"/>
    </w:r>
    <w:r>
      <w:rPr/>
      <w:t>/mnt/main-storage/datasets/enron-docs/doc/3.262159.PGUVIZVMXPBXZTRKSPA5QFJVYEU4MB5SB.1.DOC</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spacing w:lineRule="exact" w:line="360"/>
      <w:ind w:hanging="0" w:start="0" w:end="0"/>
      <w:jc w:val="both"/>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exact" w:line="360"/>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spacing w:lineRule="exact" w:line="360"/>
      <w:ind w:hanging="0" w:start="0" w:end="0"/>
      <w:jc w:val="both"/>
      <w:textAlignment w:val="auto"/>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exact" w:line="360"/>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spacing w:lineRule="exact" w:line="360"/>
      <w:ind w:hanging="0" w:start="0" w:end="0"/>
      <w:jc w:val="both"/>
      <w:textAlignment w:val="auto"/>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exact" w:line="360"/>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exact" w:line="360"/>
      <w:jc w:val="cent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36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decimal"/>
      <w:lvlText w:val="%1."/>
      <w:lvlJc w:val="start"/>
      <w:pPr>
        <w:tabs>
          <w:tab w:val="num" w:pos="0"/>
        </w:tabs>
        <w:ind w:start="36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3"/>
      <w:numFmt w:val="decimal"/>
      <w:lvlText w:val="%1."/>
      <w:lvlJc w:val="start"/>
      <w:pPr>
        <w:tabs>
          <w:tab w:val="num" w:pos="0"/>
        </w:tabs>
        <w:ind w:start="36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4"/>
      <w:numFmt w:val="decimal"/>
      <w:lvlText w:val="%1."/>
      <w:lvlJc w:val="start"/>
      <w:pPr>
        <w:tabs>
          <w:tab w:val="num" w:pos="0"/>
        </w:tabs>
        <w:ind w:start="36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5"/>
      <w:numFmt w:val="decimal"/>
      <w:lvlText w:val="%1."/>
      <w:lvlJc w:val="start"/>
      <w:pPr>
        <w:tabs>
          <w:tab w:val="num" w:pos="0"/>
        </w:tabs>
        <w:ind w:start="36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6"/>
      <w:numFmt w:val="decimal"/>
      <w:lvlText w:val="%1."/>
      <w:lvlJc w:val="start"/>
      <w:pPr>
        <w:tabs>
          <w:tab w:val="num" w:pos="0"/>
        </w:tabs>
        <w:ind w:start="36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7"/>
      <w:numFmt w:val="decimal"/>
      <w:lvlText w:val="%1."/>
      <w:lvlJc w:val="start"/>
      <w:pPr>
        <w:tabs>
          <w:tab w:val="num" w:pos="0"/>
        </w:tabs>
        <w:ind w:start="36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8"/>
      <w:numFmt w:val="decimal"/>
      <w:lvlText w:val="%1."/>
      <w:lvlJc w:val="start"/>
      <w:pPr>
        <w:tabs>
          <w:tab w:val="num" w:pos="0"/>
        </w:tabs>
        <w:ind w:start="36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9"/>
      <w:numFmt w:val="decimal"/>
      <w:lvlText w:val="%1."/>
      <w:lvlJc w:val="start"/>
      <w:pPr>
        <w:tabs>
          <w:tab w:val="num" w:pos="0"/>
        </w:tabs>
        <w:ind w:start="36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0"/>
      <w:numFmt w:val="decimal"/>
      <w:lvlText w:val="%1."/>
      <w:lvlJc w:val="start"/>
      <w:pPr>
        <w:tabs>
          <w:tab w:val="num" w:pos="0"/>
        </w:tabs>
        <w:ind w:start="36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1"/>
      <w:numFmt w:val="decimal"/>
      <w:lvlText w:val="%1."/>
      <w:lvlJc w:val="start"/>
      <w:pPr>
        <w:tabs>
          <w:tab w:val="num" w:pos="0"/>
        </w:tabs>
        <w:ind w:start="36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2"/>
      <w:numFmt w:val="decimal"/>
      <w:lvlText w:val="%1."/>
      <w:lvlJc w:val="start"/>
      <w:pPr>
        <w:tabs>
          <w:tab w:val="num" w:pos="0"/>
        </w:tabs>
        <w:ind w:start="36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3"/>
      <w:numFmt w:val="decimal"/>
      <w:lvlText w:val="%1."/>
      <w:lvlJc w:val="start"/>
      <w:pPr>
        <w:tabs>
          <w:tab w:val="num" w:pos="0"/>
        </w:tabs>
        <w:ind w:start="36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4"/>
      <w:numFmt w:val="decimal"/>
      <w:lvlText w:val="%1."/>
      <w:lvlJc w:val="start"/>
      <w:pPr>
        <w:tabs>
          <w:tab w:val="num" w:pos="0"/>
        </w:tabs>
        <w:ind w:start="36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5"/>
      <w:numFmt w:val="decimal"/>
      <w:lvlText w:val="%1."/>
      <w:lvlJc w:val="start"/>
      <w:pPr>
        <w:tabs>
          <w:tab w:val="num" w:pos="0"/>
        </w:tabs>
        <w:ind w:start="36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16"/>
      <w:numFmt w:val="decimal"/>
      <w:lvlText w:val="%1."/>
      <w:lvlJc w:val="start"/>
      <w:pPr>
        <w:tabs>
          <w:tab w:val="num" w:pos="0"/>
        </w:tabs>
        <w:ind w:start="36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17"/>
      <w:numFmt w:val="decimal"/>
      <w:lvlText w:val="%1."/>
      <w:lvlJc w:val="start"/>
      <w:pPr>
        <w:tabs>
          <w:tab w:val="num" w:pos="0"/>
        </w:tabs>
        <w:ind w:start="36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18"/>
      <w:numFmt w:val="decimal"/>
      <w:lvlText w:val="%1."/>
      <w:lvlJc w:val="start"/>
      <w:pPr>
        <w:tabs>
          <w:tab w:val="num" w:pos="0"/>
        </w:tabs>
        <w:ind w:start="36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start w:val="19"/>
      <w:numFmt w:val="decimal"/>
      <w:lvlText w:val="%1."/>
      <w:lvlJc w:val="start"/>
      <w:pPr>
        <w:tabs>
          <w:tab w:val="num" w:pos="0"/>
        </w:tabs>
        <w:ind w:start="36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92"/>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spacing w:lineRule="exact" w:line="360"/>
      <w:jc w:val="both"/>
      <w:textAlignment w:val="auto"/>
    </w:pPr>
    <w:rPr>
      <w:rFonts w:ascii="Helvetica" w:hAnsi="Helvetica" w:eastAsia="Symbol" w:cs="Helvetica"/>
      <w:color w:val="auto"/>
      <w:kern w:val="2"/>
      <w:sz w:val="22"/>
      <w:szCs w:val="24"/>
      <w:lang w:val="en-US" w:eastAsia="en-US" w:bidi="hi-IN"/>
    </w:rPr>
  </w:style>
  <w:style w:type="paragraph" w:styleId="Heading1">
    <w:name w:val="heading 1"/>
    <w:basedOn w:val="Normal"/>
    <w:next w:val="Normal"/>
    <w:qFormat/>
    <w:pPr>
      <w:keepNext w:val="true"/>
      <w:widowControl w:val="false"/>
      <w:spacing w:lineRule="exact" w:line="360" w:before="240" w:after="60"/>
      <w:ind w:hanging="0" w:start="0" w:end="0"/>
      <w:jc w:val="both"/>
      <w:textAlignment w:val="auto"/>
    </w:pPr>
    <w:rPr>
      <w:rFonts w:ascii="Helvetica" w:hAnsi="Helvetica"/>
      <w:b/>
      <w:kern w:val="2"/>
      <w:sz w:val="28"/>
      <w:lang w:val="en-US" w:eastAsia="en-US"/>
    </w:rPr>
  </w:style>
  <w:style w:type="paragraph" w:styleId="Heading2">
    <w:name w:val="heading 2"/>
    <w:basedOn w:val="Normal"/>
    <w:next w:val="Normal"/>
    <w:qFormat/>
    <w:pPr>
      <w:keepNext w:val="true"/>
      <w:widowControl w:val="false"/>
      <w:spacing w:lineRule="exact" w:line="360"/>
      <w:ind w:hanging="0" w:start="0" w:end="0"/>
      <w:jc w:val="center"/>
      <w:textAlignment w:val="auto"/>
    </w:pPr>
    <w:rPr>
      <w:rFonts w:ascii="Helvetica" w:hAnsi="Helvetica"/>
      <w:b/>
      <w:sz w:val="22"/>
      <w:lang w:val="en-US" w:eastAsia="en-US"/>
    </w:rPr>
  </w:style>
  <w:style w:type="paragraph" w:styleId="Heading3">
    <w:name w:val="heading 3"/>
    <w:basedOn w:val="Normal"/>
    <w:next w:val="Normal"/>
    <w:qFormat/>
    <w:pPr>
      <w:keepNext w:val="true"/>
      <w:widowControl w:val="false"/>
      <w:spacing w:lineRule="exact" w:line="360" w:before="240" w:after="60"/>
      <w:ind w:hanging="0" w:start="0" w:end="0"/>
      <w:jc w:val="both"/>
      <w:textAlignment w:val="auto"/>
    </w:pPr>
    <w:rPr>
      <w:rFonts w:ascii="Helvetica" w:hAnsi="Helvetica"/>
      <w:sz w:val="22"/>
      <w:lang w:val="en-US" w:eastAsia="en-US"/>
    </w:rPr>
  </w:style>
  <w:style w:type="paragraph" w:styleId="Heading4">
    <w:name w:val="heading 4"/>
    <w:basedOn w:val="Normal"/>
    <w:next w:val="Normal"/>
    <w:qFormat/>
    <w:pPr>
      <w:keepNext w:val="true"/>
      <w:widowControl w:val="false"/>
      <w:tabs>
        <w:tab w:val="clear" w:pos="720"/>
        <w:tab w:val="left" w:pos="576" w:leader="none"/>
        <w:tab w:val="left" w:pos="1296" w:leader="none"/>
        <w:tab w:val="left" w:pos="4464" w:leader="none"/>
      </w:tabs>
      <w:spacing w:lineRule="exact" w:line="360"/>
      <w:ind w:hanging="0" w:start="0" w:end="0"/>
      <w:jc w:val="center"/>
      <w:textAlignment w:val="auto"/>
    </w:pPr>
    <w:rPr>
      <w:rFonts w:ascii="Helvetica" w:hAnsi="Helvetica"/>
      <w:b/>
      <w:sz w:val="22"/>
      <w:lang w:val="en-US" w:eastAsia="en-US"/>
    </w:rPr>
  </w:style>
  <w:style w:type="paragraph" w:styleId="Heading5">
    <w:name w:val="heading 5"/>
    <w:basedOn w:val="Normal"/>
    <w:next w:val="Normal"/>
    <w:qFormat/>
    <w:pPr>
      <w:keepNext w:val="true"/>
      <w:widowControl w:val="false"/>
      <w:spacing w:lineRule="exact" w:line="360"/>
      <w:ind w:hanging="0" w:start="0" w:end="0"/>
      <w:jc w:val="both"/>
      <w:textAlignment w:val="auto"/>
    </w:pPr>
    <w:rPr>
      <w:b/>
      <w:sz w:val="22"/>
      <w:lang w:val="en-US" w:eastAsia="en-US"/>
    </w:rPr>
  </w:style>
  <w:style w:type="character" w:styleId="DefaultParagraphFont">
    <w:name w:val="Default Paragraph Font"/>
    <w:qFormat/>
    <w:rPr/>
  </w:style>
  <w:style w:type="character" w:styleId="PageNumber">
    <w:name w:val="page number"/>
    <w:basedOn w:val="DefaultParagraphFont"/>
    <w:rPr>
      <w:rFonts w:ascii="Helvetica" w:hAnsi="Helvetica"/>
      <w:sz w:val="16"/>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lineRule="exact" w:line="360"/>
      <w:ind w:hanging="0" w:start="0" w:end="0"/>
      <w:jc w:val="both"/>
      <w:textAlignment w:val="auto"/>
    </w:pPr>
    <w:rPr>
      <w:rFonts w:ascii="Helvetica" w:hAnsi="Helvetica"/>
      <w:color w:val="000000"/>
      <w:sz w:val="20"/>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autoRedefine/>
    <w:pPr>
      <w:widowControl w:val="false"/>
      <w:spacing w:lineRule="exact" w:line="360"/>
      <w:ind w:hanging="0" w:start="0" w:end="0"/>
      <w:jc w:val="both"/>
      <w:textAlignment w:val="auto"/>
    </w:pPr>
    <w:rPr>
      <w:rFonts w:ascii="Arial" w:hAnsi="Arial"/>
      <w:caps/>
      <w:sz w:val="20"/>
      <w:lang w:val="en-US" w:eastAsia="en-US"/>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spacing w:lineRule="exact" w:line="360"/>
      <w:ind w:hanging="0" w:start="0" w:end="0"/>
      <w:jc w:val="both"/>
      <w:textAlignment w:val="auto"/>
    </w:pPr>
    <w:rPr>
      <w:rFonts w:ascii="Arial" w:hAnsi="Arial"/>
      <w:sz w:val="16"/>
      <w:lang w:val="en-US" w:eastAsia="en-US"/>
    </w:rPr>
  </w:style>
  <w:style w:type="paragraph" w:styleId="Header">
    <w:name w:val="header"/>
    <w:basedOn w:val="Normal"/>
    <w:pPr>
      <w:widowControl w:val="false"/>
      <w:tabs>
        <w:tab w:val="clear" w:pos="720"/>
        <w:tab w:val="center" w:pos="4320" w:leader="none"/>
        <w:tab w:val="right" w:pos="8640" w:leader="none"/>
      </w:tabs>
      <w:spacing w:lineRule="exact" w:line="360"/>
      <w:ind w:hanging="0" w:start="0" w:end="0"/>
      <w:jc w:val="both"/>
      <w:textAlignment w:val="auto"/>
    </w:pPr>
    <w:rPr>
      <w:rFonts w:ascii="Helvetica" w:hAnsi="Helvetica"/>
      <w:sz w:val="22"/>
      <w:lang w:val="en-US" w:eastAsia="en-US"/>
    </w:rPr>
  </w:style>
  <w:style w:type="paragraph" w:styleId="Spacing">
    <w:name w:val="Spacing"/>
    <w:basedOn w:val="Normal"/>
    <w:qFormat/>
    <w:pPr>
      <w:widowControl w:val="false"/>
      <w:spacing w:lineRule="exact" w:line="360"/>
      <w:ind w:hanging="0" w:start="0" w:end="0"/>
      <w:jc w:val="both"/>
      <w:textAlignment w:val="auto"/>
    </w:pPr>
    <w:rPr>
      <w:rFonts w:ascii="Helvetica" w:hAnsi="Helvetica"/>
      <w:sz w:val="22"/>
      <w:lang w:val="en-US" w:eastAsia="en-US"/>
    </w:rPr>
  </w:style>
  <w:style w:type="paragraph" w:styleId="indent">
    <w:name w:val="indent"/>
    <w:basedOn w:val="Normal"/>
    <w:qFormat/>
    <w:pPr>
      <w:widowControl w:val="false"/>
      <w:spacing w:lineRule="auto" w:line="360"/>
      <w:ind w:hanging="900" w:start="900" w:end="0"/>
      <w:jc w:val="both"/>
      <w:textAlignment w:val="auto"/>
    </w:pPr>
    <w:rPr>
      <w:rFonts w:ascii="Helvetica" w:hAnsi="Helvetica"/>
      <w:sz w:val="22"/>
      <w:lang w:val="en-US" w:eastAsia="en-US"/>
    </w:rPr>
  </w:style>
  <w:style w:type="paragraph" w:styleId="indent1">
    <w:name w:val="indent1"/>
    <w:basedOn w:val="Normal"/>
    <w:qFormat/>
    <w:pPr>
      <w:widowControl w:val="false"/>
      <w:spacing w:lineRule="auto" w:line="360"/>
      <w:ind w:hanging="720" w:start="720" w:end="0"/>
      <w:jc w:val="both"/>
      <w:textAlignment w:val="auto"/>
    </w:pPr>
    <w:rPr>
      <w:rFonts w:ascii="Helvetica" w:hAnsi="Helvetica"/>
      <w:sz w:val="22"/>
      <w:lang w:val="en-US" w:eastAsia="en-US"/>
    </w:rPr>
  </w:style>
  <w:style w:type="paragraph" w:styleId="TOC2">
    <w:name w:val="toc 2"/>
    <w:basedOn w:val="Normal"/>
    <w:next w:val="Normal"/>
    <w:autoRedefine/>
    <w:pPr>
      <w:widowControl w:val="false"/>
      <w:spacing w:lineRule="exact" w:line="360"/>
      <w:ind w:hanging="0" w:start="240" w:end="0"/>
      <w:jc w:val="both"/>
      <w:textAlignment w:val="auto"/>
    </w:pPr>
    <w:rPr>
      <w:smallCaps/>
      <w:sz w:val="20"/>
      <w:lang w:val="en-US" w:eastAsia="en-US"/>
    </w:rPr>
  </w:style>
  <w:style w:type="paragraph" w:styleId="TOC3">
    <w:name w:val="toc 3"/>
    <w:basedOn w:val="Normal"/>
    <w:next w:val="Normal"/>
    <w:autoRedefine/>
    <w:pPr>
      <w:widowControl w:val="false"/>
      <w:spacing w:lineRule="exact" w:line="360"/>
      <w:ind w:hanging="0" w:start="480" w:end="0"/>
      <w:jc w:val="both"/>
      <w:textAlignment w:val="auto"/>
    </w:pPr>
    <w:rPr>
      <w:i/>
      <w:sz w:val="20"/>
      <w:lang w:val="en-US" w:eastAsia="en-US"/>
    </w:rPr>
  </w:style>
  <w:style w:type="paragraph" w:styleId="TOC4">
    <w:name w:val="toc 4"/>
    <w:basedOn w:val="Normal"/>
    <w:next w:val="Normal"/>
    <w:autoRedefine/>
    <w:pPr>
      <w:widowControl w:val="false"/>
      <w:spacing w:lineRule="exact" w:line="360"/>
      <w:ind w:hanging="0" w:start="720" w:end="0"/>
      <w:jc w:val="both"/>
      <w:textAlignment w:val="auto"/>
    </w:pPr>
    <w:rPr>
      <w:sz w:val="18"/>
      <w:lang w:val="en-US" w:eastAsia="en-US"/>
    </w:rPr>
  </w:style>
  <w:style w:type="paragraph" w:styleId="TOC5">
    <w:name w:val="toc 5"/>
    <w:basedOn w:val="Normal"/>
    <w:next w:val="Normal"/>
    <w:autoRedefine/>
    <w:pPr>
      <w:widowControl w:val="false"/>
      <w:spacing w:lineRule="exact" w:line="360"/>
      <w:ind w:hanging="0" w:start="960" w:end="0"/>
      <w:jc w:val="both"/>
      <w:textAlignment w:val="auto"/>
    </w:pPr>
    <w:rPr>
      <w:sz w:val="18"/>
      <w:lang w:val="en-US" w:eastAsia="en-US"/>
    </w:rPr>
  </w:style>
  <w:style w:type="paragraph" w:styleId="TOC6">
    <w:name w:val="toc 6"/>
    <w:basedOn w:val="Normal"/>
    <w:next w:val="Normal"/>
    <w:autoRedefine/>
    <w:pPr>
      <w:widowControl w:val="false"/>
      <w:spacing w:lineRule="exact" w:line="360"/>
      <w:ind w:hanging="0" w:start="1200" w:end="0"/>
      <w:jc w:val="both"/>
      <w:textAlignment w:val="auto"/>
    </w:pPr>
    <w:rPr>
      <w:sz w:val="18"/>
      <w:lang w:val="en-US" w:eastAsia="en-US"/>
    </w:rPr>
  </w:style>
  <w:style w:type="paragraph" w:styleId="TOC7">
    <w:name w:val="toc 7"/>
    <w:basedOn w:val="Normal"/>
    <w:next w:val="Normal"/>
    <w:autoRedefine/>
    <w:pPr>
      <w:widowControl w:val="false"/>
      <w:spacing w:lineRule="exact" w:line="360"/>
      <w:ind w:hanging="0" w:start="1440" w:end="0"/>
      <w:jc w:val="both"/>
      <w:textAlignment w:val="auto"/>
    </w:pPr>
    <w:rPr>
      <w:sz w:val="18"/>
      <w:lang w:val="en-US" w:eastAsia="en-US"/>
    </w:rPr>
  </w:style>
  <w:style w:type="paragraph" w:styleId="TOC8">
    <w:name w:val="toc 8"/>
    <w:basedOn w:val="Normal"/>
    <w:next w:val="Normal"/>
    <w:autoRedefine/>
    <w:pPr>
      <w:widowControl w:val="false"/>
      <w:spacing w:lineRule="exact" w:line="360"/>
      <w:ind w:hanging="0" w:start="1680" w:end="0"/>
      <w:jc w:val="both"/>
      <w:textAlignment w:val="auto"/>
    </w:pPr>
    <w:rPr>
      <w:sz w:val="18"/>
      <w:lang w:val="en-US" w:eastAsia="en-US"/>
    </w:rPr>
  </w:style>
  <w:style w:type="paragraph" w:styleId="TOC9">
    <w:name w:val="toc 9"/>
    <w:basedOn w:val="Normal"/>
    <w:next w:val="Normal"/>
    <w:autoRedefine/>
    <w:pPr>
      <w:widowControl w:val="false"/>
      <w:spacing w:lineRule="exact" w:line="360"/>
      <w:ind w:hanging="0" w:start="1920" w:end="0"/>
      <w:jc w:val="both"/>
      <w:textAlignment w:val="auto"/>
    </w:pPr>
    <w:rPr>
      <w:sz w:val="18"/>
      <w:lang w:val="en-US" w:eastAsia="en-US"/>
    </w:rPr>
  </w:style>
  <w:style w:type="paragraph" w:styleId="Proforma">
    <w:name w:val="Proforma"/>
    <w:basedOn w:val="Heading3"/>
    <w:qFormat/>
    <w:pPr>
      <w:keepNext w:val="true"/>
      <w:widowControl w:val="false"/>
      <w:spacing w:lineRule="exact" w:line="360" w:before="240" w:after="60"/>
      <w:ind w:hanging="0" w:start="0" w:end="0"/>
      <w:jc w:val="center"/>
      <w:textAlignment w:val="auto"/>
    </w:pPr>
    <w:rPr>
      <w:rFonts w:ascii="Helvetica" w:hAnsi="Helvetica"/>
      <w:b/>
      <w:sz w:val="22"/>
      <w:u w:val="single"/>
      <w:lang w:val="en-US" w:eastAsia="en-US"/>
    </w:rPr>
  </w:style>
  <w:style w:type="paragraph" w:styleId="BodyText2">
    <w:name w:val="Body Text 2"/>
    <w:basedOn w:val="Normal"/>
    <w:qFormat/>
    <w:pPr>
      <w:widowControl w:val="false"/>
      <w:spacing w:lineRule="auto" w:line="360" w:before="0" w:after="120"/>
      <w:ind w:hanging="0" w:start="720" w:end="0"/>
      <w:jc w:val="both"/>
      <w:textAlignment w:val="auto"/>
    </w:pPr>
    <w:rPr>
      <w:rFonts w:ascii="Helvetica" w:hAnsi="Helvetica"/>
      <w:color w:val="000000"/>
      <w:sz w:val="22"/>
      <w:lang w:val="en-US" w:eastAsia="en-US"/>
    </w:rPr>
  </w:style>
  <w:style w:type="paragraph" w:styleId="BodyText3">
    <w:name w:val="Body Text 3"/>
    <w:basedOn w:val="Normal"/>
    <w:qFormat/>
    <w:pPr>
      <w:widowControl w:val="false"/>
      <w:spacing w:lineRule="exact" w:line="360" w:before="0" w:after="240"/>
      <w:ind w:hanging="720" w:start="720" w:end="0"/>
      <w:jc w:val="both"/>
      <w:textAlignment w:val="auto"/>
    </w:pPr>
    <w:rPr>
      <w:rFonts w:ascii="Helvetica" w:hAnsi="Helvetica"/>
      <w:sz w:val="22"/>
      <w:lang w:val="en-US" w:eastAsia="en-US"/>
    </w:rPr>
  </w:style>
  <w:style w:type="paragraph" w:styleId="ListNumber">
    <w:name w:val="List Number"/>
    <w:basedOn w:val="Normal"/>
    <w:pPr>
      <w:widowControl w:val="false"/>
      <w:tabs>
        <w:tab w:val="clear" w:pos="720"/>
        <w:tab w:val="left" w:pos="576" w:leader="none"/>
        <w:tab w:val="left" w:pos="1008" w:leader="none"/>
      </w:tabs>
      <w:spacing w:lineRule="exact" w:line="360" w:before="0" w:after="120"/>
      <w:ind w:hanging="576" w:start="576" w:end="0"/>
      <w:jc w:val="both"/>
      <w:textAlignment w:val="auto"/>
    </w:pPr>
    <w:rPr>
      <w:rFonts w:ascii="Helvetica" w:hAnsi="Helvetica"/>
      <w:sz w:val="22"/>
      <w:lang w:val="en-US" w:eastAsia="en-US"/>
    </w:rPr>
  </w:style>
  <w:style w:type="paragraph" w:styleId="BodyTextIndent2">
    <w:name w:val="Body Text Indent 2"/>
    <w:basedOn w:val="Normal"/>
    <w:qFormat/>
    <w:pPr>
      <w:widowControl w:val="false"/>
      <w:spacing w:lineRule="auto" w:line="360"/>
      <w:ind w:hanging="720" w:start="720" w:end="0"/>
      <w:jc w:val="both"/>
      <w:textAlignment w:val="auto"/>
    </w:pPr>
    <w:rPr>
      <w:rFonts w:ascii="Helvetica" w:hAnsi="Helvetica"/>
      <w:sz w:val="22"/>
      <w:lang w:val="en-US" w:eastAsia="en-US"/>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footer" Target="footer12.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LibreOffice_project/2cc84caafd2707671cae2773f8085721f003b89f</Application>
  <AppVersion>15.0000</AppVersion>
  <Pages>99</Pages>
  <Words>11550</Words>
  <Characters>80850</Characters>
  <CharactersWithSpaces>65835</CharactersWithSpaces>
  <Company>PG&amp;E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2001-09-21T09:21:00Z</dcterms:created>
  <dc:creator>David W. Anderson</dc:creator>
  <dc:description/>
  <cp:keywords>DN 170836.3 02618 00125 6/25/2001 3:40:26 PM</cp:keywords>
  <dc:language>en-CA</dc:language>
  <cp:lastModifiedBy/>
  <cp:lastPrinted>2001-09-24T16:19:00Z</cp:lastPrinted>
  <dcterms:modified xsi:type="dcterms:W3CDTF">2001-09-24T16:19:00Z</dcterms:modified>
  <cp:revision>15</cp:revision>
  <dc:subject/>
  <dc:title>CORE Gas Contract No.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scrawfo3</vt:lpwstr>
  </property>
</Properties>
</file>