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start"/>
        <w:rPr>
          <w:rFonts w:ascii="Times New Roman" w:hAnsi="Times New Roman"/>
          <w:sz w:val="22"/>
        </w:rPr>
      </w:pPr>
      <w:r>
        <w:rPr>
          <w:rFonts w:ascii="Times New Roman" w:hAnsi="Times New Roman"/>
        </w:rPr>
        <w:tab/>
      </w:r>
      <w:r>
        <w:rPr>
          <w:rFonts w:ascii="Times New Roman" w:hAnsi="Times New Roman"/>
          <w:sz w:val="22"/>
        </w:rPr>
        <w:t>INTERNET TRADING ACCESS AGREEMENT</w:t>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ind w:firstLine="1440"/>
        <w:jc w:val="start"/>
        <w:rPr>
          <w:rFonts w:ascii="Times New Roman" w:hAnsi="Times New Roman"/>
          <w:sz w:val="22"/>
        </w:rPr>
      </w:pPr>
      <w:r>
        <w:rPr>
          <w:rFonts w:ascii="Times New Roman" w:hAnsi="Times New Roman"/>
          <w:sz w:val="22"/>
        </w:rPr>
        <w:t xml:space="preserve">WHEREAS, [Enron Capital &amp; Trade Resources Limited] ^ </w:t>
      </w:r>
      <w:r>
        <w:rPr>
          <w:rFonts w:ascii="Times New Roman" w:hAnsi="Times New Roman"/>
          <w:sz w:val="22"/>
          <w:u w:val="double"/>
        </w:rPr>
        <w:t>for itself and on behalf of its group undertakings (as defined by section 259 of the Companies Act 1985) (“group undertakings”) from time to time</w:t>
      </w:r>
      <w:r>
        <w:rPr>
          <w:rFonts w:ascii="Times New Roman" w:hAnsi="Times New Roman"/>
          <w:sz w:val="22"/>
        </w:rPr>
        <w:t xml:space="preserv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 Counterparty wishes to access the Website ^; and Enron is willing to provide such access on the terms and conditions set forth herein, Enron and Counterparty hereby agree as follows:</w:t>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ind w:firstLine="1440"/>
        <w:jc w:val="start"/>
        <w:rPr>
          <w:rFonts w:ascii="Times New Roman" w:hAnsi="Times New Roman"/>
          <w:sz w:val="22"/>
        </w:rPr>
      </w:pPr>
      <w:r>
        <w:rPr>
          <w:rFonts w:ascii="Times New Roman" w:hAnsi="Times New Roman"/>
          <w:sz w:val="22"/>
        </w:rPr>
        <w:t xml:space="preserve">Enron shall issue to Counterparty one or more passwords that will enable Counterparty to access and utilize the Website (the “Passwords”).    Counterparty understands and agrees that (1) it will be solely responsible for any and all actions taken with respect to the ^ use of the Website (including the execution of Transactions) by any person using the Passwords; (2) its access to and use of the Website will be subject to the Electronic Trading Agreement included on the Website (the “ETA”) and that, when Counterparty first accesses the Website, it will be required to indicate its agreement to the ETA by “clicking” on the ^ </w:t>
      </w:r>
      <w:r>
        <w:rPr>
          <w:rFonts w:ascii="Times New Roman" w:hAnsi="Times New Roman"/>
          <w:sz w:val="22"/>
          <w:u w:val="double"/>
        </w:rPr>
        <w:t>designated</w:t>
      </w:r>
      <w:r>
        <w:rPr>
          <w:rFonts w:ascii="Times New Roman" w:hAnsi="Times New Roman"/>
          <w:sz w:val="22"/>
        </w:rPr>
        <w:t xml:space="preserve"> spaces; (3) it will utilize the Website ^(including </w:t>
      </w:r>
      <w:r>
        <w:rPr>
          <w:rFonts w:ascii="Times New Roman" w:hAnsi="Times New Roman"/>
          <w:sz w:val="22"/>
          <w:u w:val="double"/>
        </w:rPr>
        <w:t>executing</w:t>
      </w:r>
      <w:r>
        <w:rPr>
          <w:rFonts w:ascii="Times New Roman" w:hAnsi="Times New Roman"/>
          <w:sz w:val="22"/>
        </w:rPr>
        <w:t xml:space="preserve"> Transactions) solely in accordance with the ETA and any procedures specified from time to time by Enron; (4) when a person using the Passwords has “clicked” on the ^ </w:t>
      </w:r>
      <w:r>
        <w:rPr>
          <w:rFonts w:ascii="Times New Roman" w:hAnsi="Times New Roman"/>
          <w:sz w:val="22"/>
          <w:u w:val="double"/>
        </w:rPr>
        <w:t>designated</w:t>
      </w:r>
      <w:r>
        <w:rPr>
          <w:rFonts w:ascii="Times New Roman" w:hAnsi="Times New Roman"/>
          <w:sz w:val="22"/>
        </w:rPr>
        <w:t xml:space="preserve"> spaces on the ETA or any other agreement provided on the Website, or taken any other actions required or permitted on the Website, Counterparty will have agreed to and will be bound by the ETA or such other agreements, or by such other actions, to the same extent as if it had manually executed the ETA or such other agreements or taken such actions directly; and (5) the ETA and any Transactions executed on the Website will be deemed to be “in writing”and to have been “signed” (and any record of the ETA or any such Transaction will be deemed to be a “writing”) for all purposes.    Without limitation of the foregoing, Counterparty agrees that it will be bound by any Transactions executed ^ </w:t>
      </w:r>
      <w:r>
        <w:rPr>
          <w:rFonts w:ascii="Times New Roman" w:hAnsi="Times New Roman"/>
          <w:sz w:val="22"/>
          <w:u w:val="double"/>
        </w:rPr>
        <w:t>on</w:t>
      </w:r>
      <w:r>
        <w:rPr>
          <w:rFonts w:ascii="Times New Roman" w:hAnsi="Times New Roman"/>
          <w:sz w:val="22"/>
        </w:rPr>
        <w:t xml:space="preserve"> the ^ </w:t>
      </w:r>
      <w:r>
        <w:rPr>
          <w:rFonts w:ascii="Times New Roman" w:hAnsi="Times New Roman"/>
          <w:sz w:val="22"/>
          <w:u w:val="double"/>
        </w:rPr>
        <w:t>Website</w:t>
      </w:r>
      <w:r>
        <w:rPr>
          <w:rFonts w:ascii="Times New Roman" w:hAnsi="Times New Roman"/>
          <w:sz w:val="22"/>
        </w:rPr>
        <w:t xml:space="preserve"> through a “click” agreement (or other action specified by Enron) by any person using the Passwords, subject to and in accordance with the terms of    this Agreement, the ETA, any procedures established by Enron with respect to the ^ </w:t>
      </w:r>
      <w:r>
        <w:rPr>
          <w:rFonts w:ascii="Times New Roman" w:hAnsi="Times New Roman"/>
          <w:sz w:val="22"/>
          <w:u w:val="double"/>
        </w:rPr>
        <w:t>utilization of the Website</w:t>
      </w:r>
      <w:r>
        <w:rPr>
          <w:rFonts w:ascii="Times New Roman" w:hAnsi="Times New Roman"/>
          <w:sz w:val="22"/>
        </w:rPr>
        <w:t xml:space="preserve"> and, if applicable, any master agreements between Enron and Counterparty with respect to such Transactions </w:t>
      </w:r>
      <w:r>
        <w:rPr>
          <w:rFonts w:ascii="Times New Roman" w:hAnsi="Times New Roman"/>
          <w:sz w:val="22"/>
          <w:u w:val="double"/>
        </w:rPr>
        <w:t>as amended on the Website</w:t>
      </w:r>
      <w:r>
        <w:rPr>
          <w:rFonts w:ascii="Times New Roman" w:hAnsi="Times New Roman"/>
          <w:sz w:val="22"/>
        </w:rPr>
        <w:t>.</w:t>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ind w:firstLine="1440"/>
        <w:jc w:val="start"/>
        <w:rPr>
          <w:rFonts w:ascii="Times New Roman" w:hAnsi="Times New Roman"/>
          <w:sz w:val="22"/>
        </w:rPr>
      </w:pPr>
      <w:r>
        <w:rPr>
          <w:rFonts w:ascii="Times New Roman" w:hAnsi="Times New Roman"/>
          <w:sz w:val="22"/>
        </w:rPr>
        <w:t xml:space="preserve">This Agreement will be governed by and construed in accordance with ^ </w:t>
      </w:r>
      <w:r>
        <w:rPr>
          <w:rFonts w:ascii="Times New Roman" w:hAnsi="Times New Roman"/>
          <w:sz w:val="22"/>
          <w:u w:val="double"/>
        </w:rPr>
        <w:t>English law and the parties hereby submit to the exclusive jurisdiction of the English Courts</w:t>
      </w:r>
      <w:r>
        <w:rPr>
          <w:rFonts w:ascii="Times New Roman" w:hAnsi="Times New Roman"/>
          <w:sz w:val="22"/>
        </w:rPr>
        <w:t>.</w:t>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t>Date:</w:t>
      </w:r>
    </w:p>
    <w:p>
      <w:pPr>
        <w:pStyle w:val="Normal"/>
        <w:widowControl/>
        <w:bidi w:val="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ENRON CAPITAL AND</w:t>
        <w:tab/>
        <w:tab/>
        <w:tab/>
        <w:tab/>
        <w:tab/>
        <w:t>[COUNTERPARTY]</w:t>
      </w:r>
    </w:p>
    <w:p>
      <w:pPr>
        <w:pStyle w:val="Normal"/>
        <w:widowControl/>
        <w:bidi w:val="0"/>
        <w:jc w:val="start"/>
        <w:rPr>
          <w:rFonts w:ascii="Times New Roman" w:hAnsi="Times New Roman"/>
          <w:sz w:val="22"/>
        </w:rPr>
      </w:pPr>
      <w:r>
        <w:rPr>
          <w:rFonts w:ascii="Times New Roman" w:hAnsi="Times New Roman"/>
          <w:sz w:val="22"/>
        </w:rPr>
        <w:t xml:space="preserve">      </w:t>
      </w:r>
      <w:r>
        <w:rPr>
          <w:rFonts w:ascii="Times New Roman" w:hAnsi="Times New Roman"/>
          <w:sz w:val="22"/>
        </w:rPr>
        <w:t>TRADE RESOURCES LIMITED</w:t>
        <w:tab/>
        <w:tab/>
        <w:tab/>
      </w:r>
    </w:p>
    <w:p>
      <w:pPr>
        <w:pStyle w:val="Normal"/>
        <w:widowControl/>
        <w:bidi w:val="0"/>
        <w:jc w:val="start"/>
        <w:rPr>
          <w:rFonts w:ascii="Times New Roman" w:hAnsi="Times New Roman"/>
          <w:sz w:val="22"/>
          <w:u w:val="double"/>
        </w:rPr>
      </w:pPr>
      <w:r>
        <w:rPr>
          <w:rFonts w:ascii="Times New Roman" w:hAnsi="Times New Roman"/>
          <w:sz w:val="22"/>
          <w:u w:val="double"/>
        </w:rPr>
        <w:t>(for itself and on behalf of its group undertakings</w:t>
      </w:r>
    </w:p>
    <w:p>
      <w:pPr>
        <w:pStyle w:val="Normal"/>
        <w:widowControl/>
        <w:bidi w:val="0"/>
        <w:jc w:val="start"/>
        <w:rPr>
          <w:rFonts w:ascii="Times New Roman" w:hAnsi="Times New Roman"/>
          <w:sz w:val="22"/>
        </w:rPr>
      </w:pPr>
      <w:r>
        <w:rPr>
          <w:rFonts w:ascii="Times New Roman" w:hAnsi="Times New Roman"/>
          <w:sz w:val="22"/>
          <w:u w:val="double"/>
        </w:rPr>
        <w:t>from time to time)</w:t>
      </w:r>
    </w:p>
    <w:p>
      <w:pPr>
        <w:pStyle w:val="Normal"/>
        <w:widowControl/>
        <w:bidi w:val="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By:    ___________________</w:t>
        <w:tab/>
        <w:tab/>
        <w:tab/>
        <w:tab/>
        <w:tab/>
        <w:t>By:    ________________</w:t>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Title:</w:t>
        <w:tab/>
        <w:tab/>
        <w:tab/>
        <w:tab/>
        <w:tab/>
        <w:tab/>
        <w:tab/>
        <w:tab/>
        <w:t>Title:</w:t>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 COMPARISON OF HEADERS ------------------</w:t>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-HEADER 1-</w:t>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S&amp;C Draft of May 21, 1999</w:t>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 COMPARISON OF FOOTERS ------------------</w:t>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-FOOTER 1-</w:t>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 xml:space="preserve">London-^ </w:t>
      </w:r>
      <w:r>
        <w:rPr>
          <w:rFonts w:ascii="Times New Roman" w:hAnsi="Times New Roman"/>
          <w:sz w:val="22"/>
          <w:u w:val="double"/>
        </w:rPr>
        <w:t>1/363477/02</w:t>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NY12532: 259013.2</w:t>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 xml:space="preserve">This redlined draft, generated by CompareRite (TM) - The Instant Redliner, shows the differences between - </w:t>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original document      : F:\LONDON-1\001893\7SGL01!.DOC</w:t>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and revised document: F:\LONDON-1\001893\7SGL02!.DOC</w:t>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CompareRite found      14 change(s) in the text</w:t>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CompareRite found        1 change(s) in the notes</w:t>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 xml:space="preserve">Deletions appear as a Normal ^ </w:t>
      </w:r>
    </w:p>
    <w:p>
      <w:pPr>
        <w:pStyle w:val="Normal"/>
        <w:widowControl/>
        <w:tabs>
          <w:tab w:val="clear" w:pos="720"/>
          <w:tab w:val="left" w:pos="-1440" w:leader="none"/>
        </w:tabs>
        <w:bidi w:val="0"/>
        <w:ind w:hanging="5760" w:start="5760"/>
        <w:jc w:val="start"/>
        <w:rPr>
          <w:rFonts w:ascii="Times New Roman" w:hAnsi="Times New Roman"/>
          <w:sz w:val="22"/>
        </w:rPr>
      </w:pPr>
      <w:r>
        <w:rPr>
          <w:rFonts w:ascii="Times New Roman" w:hAnsi="Times New Roman"/>
          <w:sz w:val="22"/>
        </w:rPr>
        <w:t xml:space="preserve">Additions appear as Double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rFonts w:ascii="Times New Roman" w:hAnsi="Times New Roman"/>
        <w:sz w:val="16"/>
      </w:rPr>
    </w:pPr>
    <w:r>
      <w:rPr>
        <w:rFonts w:ascii="Times New Roman" w:hAnsi="Times New Roman"/>
        <w:sz w:val="16"/>
      </w:rPr>
      <w:t>London-1/363477/02</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sz w:val="16"/>
      </w:rPr>
    </w:pPr>
    <w:r>
      <w:rPr>
        <w:rFonts w:ascii="Times New Roman" w:hAnsi="Times New Roman"/>
        <w:sz w:val="16"/>
      </w:rPr>
      <w:t>NY12532: 259013.2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rFonts w:ascii="Times New Roman" w:hAnsi="Times New Roman"/>
        <w:sz w:val="16"/>
      </w:rPr>
    </w:pPr>
    <w:r>
      <w:rPr>
        <w:rFonts w:ascii="Times New Roman" w:hAnsi="Times New Roman"/>
        <w:sz w:val="16"/>
      </w:rPr>
      <w:t>London-1/363477/02</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sz w:val="16"/>
      </w:rPr>
    </w:pPr>
    <w:r>
      <w:rPr>
        <w:rFonts w:ascii="Times New Roman" w:hAnsi="Times New Roman"/>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Times New Roman" w:hAnsi="Times New Roman"/>
      </w:rPr>
    </w:pPr>
    <w:r>
      <w:rPr>
        <w:rFonts w:ascii="Times New Roman" w:hAnsi="Times New Roman"/>
      </w:rPr>
      <w:t>S&amp;C Draft of May 21, 1999</w:t>
    </w:r>
  </w:p>
  <w:p>
    <w:pPr>
      <w:pStyle w:val="Normal"/>
      <w:bidi w:val="0"/>
      <w:spacing w:lineRule="exact" w:line="241"/>
      <w:jc w:val="end"/>
      <w:rPr>
        <w:rFonts w:ascii="Times New Roman" w:hAnsi="Times New Roman"/>
      </w:rPr>
    </w:pPr>
    <w:r>
      <w:rPr>
        <w:rFonts w:ascii="Times New Roman" w:hAnsi="Times New Roman"/>
      </w:rPr>
    </w:r>
  </w:p>
  <w:p>
    <w:pPr>
      <w:pStyle w:val="Normal"/>
      <w:bidi w:val="0"/>
      <w:spacing w:lineRule="exact" w:line="241"/>
      <w:jc w:val="end"/>
      <w:rPr>
        <w:rFonts w:ascii="Times New Roman" w:hAnsi="Times New Roman"/>
      </w:rPr>
    </w:pPr>
    <w:r>
      <w:rPr>
        <w:rFonts w:ascii="Times New Roman" w:hAnsi="Times New Roman"/>
      </w:rPr>
    </w:r>
  </w:p>
  <w:p>
    <w:pPr>
      <w:pStyle w:val="Normal"/>
      <w:bidi w:val="0"/>
      <w:spacing w:lineRule="exact" w:line="241"/>
      <w:jc w:val="end"/>
      <w:rPr>
        <w:rFonts w:ascii="Times New Roman" w:hAnsi="Times New Roman"/>
      </w:rPr>
    </w:pPr>
    <w:r>
      <w:rPr>
        <w:rFonts w:ascii="Times New Roman" w:hAnsi="Times New Roman"/>
      </w:rPr>
    </w:r>
  </w:p>
  <w:p>
    <w:pPr>
      <w:pStyle w:val="Normal"/>
      <w:bidi w:val="0"/>
      <w:spacing w:lineRule="exact" w:line="240"/>
      <w:jc w:val="start"/>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Times New Roman" w:hAnsi="Times New Roman"/>
      </w:rPr>
    </w:pPr>
    <w:r>
      <w:rPr>
        <w:rFonts w:ascii="Times New Roman" w:hAnsi="Times New Roman"/>
      </w:rPr>
      <w:t>S&amp;C Draft of May 21, 1999</w:t>
    </w:r>
  </w:p>
  <w:p>
    <w:pPr>
      <w:pStyle w:val="Normal"/>
      <w:bidi w:val="0"/>
      <w:spacing w:lineRule="exact" w:line="241"/>
      <w:jc w:val="end"/>
      <w:rPr>
        <w:rFonts w:ascii="Times New Roman" w:hAnsi="Times New Roman"/>
      </w:rPr>
    </w:pPr>
    <w:r>
      <w:rPr>
        <w:rFonts w:ascii="Times New Roman" w:hAnsi="Times New Roman"/>
      </w:rPr>
    </w:r>
  </w:p>
  <w:p>
    <w:pPr>
      <w:pStyle w:val="Normal"/>
      <w:bidi w:val="0"/>
      <w:spacing w:lineRule="exact" w:line="241"/>
      <w:jc w:val="end"/>
      <w:rPr>
        <w:rFonts w:ascii="Times New Roman" w:hAnsi="Times New Roman"/>
      </w:rPr>
    </w:pPr>
    <w:r>
      <w:rPr>
        <w:rFonts w:ascii="Times New Roman" w:hAnsi="Times New Roman"/>
      </w:rPr>
    </w:r>
  </w:p>
  <w:p>
    <w:pPr>
      <w:pStyle w:val="Normal"/>
      <w:bidi w:val="0"/>
      <w:spacing w:lineRule="exact" w:line="241"/>
      <w:jc w:val="end"/>
      <w:rPr>
        <w:rFonts w:ascii="Times New Roman" w:hAnsi="Times New Roman"/>
      </w:rPr>
    </w:pPr>
    <w:r>
      <w:rPr>
        <w:rFonts w:ascii="Times New Roman" w:hAnsi="Times New Roman"/>
      </w:rPr>
    </w:r>
  </w:p>
  <w:p>
    <w:pPr>
      <w:pStyle w:val="Normal"/>
      <w:bidi w:val="0"/>
      <w:spacing w:lineRule="exact" w:line="240"/>
      <w:jc w:val="start"/>
      <w:rPr>
        <w:rFonts w:ascii="Times New Roman" w:hAnsi="Times New Roman"/>
      </w:rPr>
    </w:pPr>
    <w:r>
      <w:rPr>
        <w:rFonts w:ascii="Times New Roman" w:hAnsi="Times New Roman"/>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 w:hAnsi="Liberation Serif" w:eastAsia="Liberation Sans" w:cs="NotoSans NF"/>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541</Words>
  <Characters>3791</Characters>
  <CharactersWithSpaces>3087</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1999-05-27T11:30:00Z</dcterms:created>
  <dc:creator>007504</dc:creator>
  <dc:description/>
  <dc:language>en-US</dc:language>
  <cp:lastModifiedBy/>
  <cp:lastPrinted>1999-05-27T10:24:00Z</cp:lastPrinted>
  <dcterms:modified xsi:type="dcterms:W3CDTF">1999-05-27T11:30:00Z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007504</vt:lpwstr>
  </property>
</Properties>
</file>