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tLeast" w:line="280"/>
        <w:jc w:val="start"/>
        <w:rPr>
          <w:b/>
          <w:u w:val="single"/>
        </w:rPr>
      </w:pPr>
      <w:r>
        <w:rPr>
          <w:b/>
          <w:u w:val="single"/>
        </w:rPr>
        <w:t xml:space="preserve">STRUCTURE II DRAFT: UK Version: </w:t>
      </w:r>
      <w:r>
        <w:rPr>
          <w:b/>
          <w:strike/>
          <w:u w:val="single"/>
        </w:rPr>
        <w:t>143.2.2000</w:t>
      </w:r>
      <w:r>
        <w:rPr>
          <w:b/>
          <w:u w:val="single"/>
        </w:rPr>
        <w:t xml:space="preserve"> </w:t>
      </w:r>
      <w:r>
        <w:rPr>
          <w:b/>
          <w:u w:val="double"/>
        </w:rPr>
        <w:t>16.2.2000</w:t>
      </w:r>
    </w:p>
    <w:p>
      <w:pPr>
        <w:pStyle w:val="Normal"/>
        <w:widowControl/>
        <w:bidi w:val="0"/>
        <w:spacing w:lineRule="atLeast" w:line="280"/>
        <w:jc w:val="center"/>
        <w:rPr>
          <w:b/>
        </w:rPr>
      </w:pPr>
      <w:r>
        <w:rPr>
          <w:b/>
        </w:rPr>
        <w:t>ENRON POWER TRADING LIMITED (“Enron”)</w:t>
      </w:r>
    </w:p>
    <w:p>
      <w:pPr>
        <w:pStyle w:val="Normal"/>
        <w:widowControl/>
        <w:bidi w:val="0"/>
        <w:spacing w:lineRule="atLeast" w:line="280"/>
        <w:jc w:val="center"/>
        <w:rPr>
          <w:b/>
        </w:rPr>
      </w:pPr>
      <w:r>
        <w:rPr>
          <w:b/>
        </w:rPr>
        <w:t>GENERAL TERMS AND CONDITIONS (“GTC”)</w:t>
      </w:r>
    </w:p>
    <w:p>
      <w:pPr>
        <w:pStyle w:val="Normal"/>
        <w:widowControl/>
        <w:bidi w:val="0"/>
        <w:spacing w:lineRule="atLeast" w:line="280"/>
        <w:jc w:val="center"/>
        <w:rPr>
          <w:b/>
        </w:rPr>
      </w:pPr>
      <w:r>
        <w:rPr>
          <w:b/>
        </w:rPr>
        <w:t>CREDIT PRODUCT</w:t>
      </w:r>
    </w:p>
    <w:p>
      <w:pPr>
        <w:pStyle w:val="Heading1"/>
        <w:widowControl/>
        <w:numPr>
          <w:ilvl w:val="0"/>
          <w:numId w:val="0"/>
        </w:numPr>
        <w:bidi w:val="0"/>
        <w:spacing w:lineRule="atLeast" w:line="280"/>
        <w:ind w:hanging="708" w:start="709"/>
        <w:jc w:val="both"/>
        <w:outlineLvl w:val="0"/>
        <w:rPr/>
      </w:pPr>
      <w:r>
        <w:rPr/>
        <w:t>1.</w:t>
        <w:tab/>
        <w:t>Transactions</w:t>
      </w:r>
    </w:p>
    <w:p>
      <w:pPr>
        <w:pStyle w:val="Normal"/>
        <w:widowControl/>
        <w:bidi w:val="0"/>
        <w:spacing w:lineRule="atLeast" w:line="280"/>
        <w:ind w:hanging="0" w:start="709"/>
        <w:jc w:val="both"/>
        <w:rPr/>
      </w:pPr>
      <w:r>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widowControl/>
        <w:bidi w:val="0"/>
        <w:spacing w:lineRule="atLeast" w:line="280"/>
        <w:ind w:hanging="0" w:start="709"/>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widowControl/>
        <w:numPr>
          <w:ilvl w:val="0"/>
          <w:numId w:val="0"/>
        </w:numPr>
        <w:bidi w:val="0"/>
        <w:spacing w:lineRule="atLeast" w:line="280"/>
        <w:ind w:hanging="708" w:start="709"/>
        <w:jc w:val="both"/>
        <w:outlineLvl w:val="0"/>
        <w:rPr/>
      </w:pPr>
      <w:r>
        <w:rPr/>
        <w:t>2.</w:t>
        <w:tab/>
        <w:t>Representations and Warranties</w:t>
      </w:r>
    </w:p>
    <w:p>
      <w:pPr>
        <w:pStyle w:val="Normal"/>
        <w:widowControl/>
        <w:bidi w:val="0"/>
        <w:spacing w:lineRule="atLeast" w:line="280"/>
        <w:ind w:hanging="0" w:start="709"/>
        <w:jc w:val="both"/>
        <w:rPr/>
      </w:pPr>
      <w:r>
        <w:rPr/>
        <w:t>Each of Enron and Counterparty represents and warrants to the other at the time each Transaction is executed that (a) </w:t>
      </w:r>
      <w:r>
        <w:rPr>
          <w:u w:val="single"/>
        </w:rPr>
        <w:t>Status and Capacity</w:t>
      </w:r>
      <w:r>
        <w:rPr/>
        <w:t>: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u w:val="single"/>
        </w:rPr>
        <w:t>Authority</w:t>
      </w:r>
      <w:r>
        <w:rPr/>
        <w:t>: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u w:val="single"/>
        </w:rPr>
        <w:t>Eligible Swap Participant</w:t>
      </w:r>
      <w:r>
        <w:rPr/>
        <w:t>: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u w:val="single"/>
        </w:rPr>
        <w:t>Line of Business</w:t>
      </w:r>
      <w:r>
        <w:rPr/>
        <w:t>: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u w:val="single"/>
        </w:rPr>
        <w:t>No Reliance</w:t>
      </w:r>
      <w:r>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widowControl/>
        <w:bidi w:val="0"/>
        <w:spacing w:lineRule="atLeast" w:line="280"/>
        <w:ind w:hanging="0" w:start="709"/>
        <w:jc w:val="start"/>
        <w:rPr/>
      </w:pPr>
      <w:r>
        <w:rPr/>
        <w:t>Counterparty acknowledges, agrees and understands that:</w:t>
      </w:r>
    </w:p>
    <w:p>
      <w:pPr>
        <w:pStyle w:val="Normal"/>
        <w:widowControl/>
        <w:bidi w:val="0"/>
        <w:spacing w:lineRule="atLeast" w:line="280"/>
        <w:ind w:hanging="709" w:start="1418"/>
        <w:jc w:val="both"/>
        <w:rPr/>
      </w:pPr>
      <w:r>
        <w:rPr/>
        <w:t>(A)</w:t>
        <w:tab/>
      </w:r>
      <w:r>
        <w:rPr>
          <w:strike/>
        </w:rPr>
        <w:t>ENRON’S PARTICIPATION IN TRANSACTIONS MAY INVOLVE CERTAIN ACTUAL OR POTENTIAL CONFLICTS OF INTEREST.</w:t>
      </w:r>
      <w:r>
        <w:rPr/>
        <w:t xml:space="preserve">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w:t>
      </w:r>
      <w:r>
        <w:rPr>
          <w:u w:val="double"/>
        </w:rPr>
        <w:t>AND ENRON’S PARTICIPATION IN TRANSACTIONS MAY INVOLVE CERTAIN ACTUAL OR POTENTIAL CONFLICTS OF INTEREST</w:t>
      </w:r>
      <w:r>
        <w:rPr/>
        <w:t>.</w:t>
      </w:r>
    </w:p>
    <w:p>
      <w:pPr>
        <w:pStyle w:val="Normal"/>
        <w:widowControl/>
        <w:bidi w:val="0"/>
        <w:spacing w:lineRule="atLeast" w:line="280"/>
        <w:ind w:hanging="720" w:start="1429"/>
        <w:jc w:val="both"/>
        <w:rPr/>
      </w:pPr>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widowControl/>
        <w:bidi w:val="0"/>
        <w:spacing w:lineRule="atLeast" w:line="280"/>
        <w:ind w:hanging="709" w:start="1418"/>
        <w:jc w:val="both"/>
        <w:rPr/>
      </w:pPr>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widowControl/>
        <w:bidi w:val="0"/>
        <w:spacing w:lineRule="atLeast" w:line="280"/>
        <w:ind w:hanging="709" w:start="1418"/>
        <w:jc w:val="both"/>
        <w:rPr/>
      </w:pPr>
      <w:r>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Heading1"/>
        <w:widowControl/>
        <w:numPr>
          <w:ilvl w:val="0"/>
          <w:numId w:val="0"/>
        </w:numPr>
        <w:bidi w:val="0"/>
        <w:spacing w:lineRule="atLeast" w:line="280"/>
        <w:ind w:hanging="708" w:start="709"/>
        <w:jc w:val="both"/>
        <w:outlineLvl w:val="0"/>
        <w:rPr/>
      </w:pPr>
      <w:r>
        <w:rPr/>
        <w:t>3.</w:t>
        <w:tab/>
        <w:t>Payments</w:t>
      </w:r>
    </w:p>
    <w:p>
      <w:pPr>
        <w:pStyle w:val="Normal"/>
        <w:widowControl/>
        <w:bidi w:val="0"/>
        <w:spacing w:lineRule="atLeast" w:line="280"/>
        <w:ind w:hanging="0" w:start="709"/>
        <w:jc w:val="both"/>
        <w:rPr/>
      </w:pPr>
      <w:r>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widowControl/>
        <w:bidi w:val="0"/>
        <w:spacing w:lineRule="atLeast" w:line="280"/>
        <w:ind w:hanging="0" w:start="709"/>
        <w:jc w:val="both"/>
        <w:rPr/>
      </w:pPr>
      <w:r>
        <w:rPr/>
        <w:t>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w:t>
      </w:r>
    </w:p>
    <w:p>
      <w:pPr>
        <w:pStyle w:val="Normal"/>
        <w:widowControl/>
        <w:bidi w:val="0"/>
        <w:spacing w:lineRule="atLeast" w:line="280"/>
        <w:ind w:hanging="0" w:start="709"/>
        <w:jc w:val="both"/>
        <w:rPr/>
      </w:pPr>
      <w:r>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widowControl/>
        <w:bidi w:val="0"/>
        <w:spacing w:lineRule="atLeast" w:line="280"/>
        <w:ind w:hanging="0" w:start="709"/>
        <w:jc w:val="both"/>
        <w:rPr/>
      </w:pPr>
      <w:r>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widowControl/>
        <w:bidi w:val="0"/>
        <w:spacing w:lineRule="atLeast" w:line="280"/>
        <w:ind w:hanging="0" w:start="709"/>
        <w:jc w:val="both"/>
        <w:rPr/>
      </w:pPr>
      <w:r>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widowControl/>
        <w:numPr>
          <w:ilvl w:val="0"/>
          <w:numId w:val="0"/>
        </w:numPr>
        <w:bidi w:val="0"/>
        <w:spacing w:lineRule="atLeast" w:line="280"/>
        <w:ind w:hanging="708" w:start="709"/>
        <w:jc w:val="both"/>
        <w:outlineLvl w:val="0"/>
        <w:rPr/>
      </w:pPr>
      <w:r>
        <w:rPr/>
        <w:t>4.</w:t>
        <w:tab/>
        <w:t>Collateral</w:t>
      </w:r>
    </w:p>
    <w:p>
      <w:pPr>
        <w:pStyle w:val="Normal"/>
        <w:widowControl/>
        <w:bidi w:val="0"/>
        <w:spacing w:lineRule="atLeast" w:line="280"/>
        <w:ind w:hanging="0" w:start="720"/>
        <w:jc w:val="both"/>
        <w:rPr/>
      </w:pPr>
      <w:r>
        <w:rPr/>
        <w:t xml:space="preserve">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w:t>
      </w:r>
      <w:r>
        <w:rPr>
          <w:strike/>
        </w:rPr>
        <w:t>a</w:t>
      </w:r>
      <w:r>
        <w:rPr/>
        <w:t xml:space="preserve"> </w:t>
      </w:r>
      <w:r>
        <w:rPr>
          <w:u w:val="double"/>
        </w:rPr>
        <w:t>such</w:t>
      </w:r>
      <w:r>
        <w:rPr/>
        <w:t xml:space="preserve"> party </w:t>
      </w:r>
      <w:r>
        <w:rPr>
          <w:u w:val="double"/>
        </w:rPr>
        <w:t>and</w:t>
      </w:r>
      <w:r>
        <w:rPr/>
        <w:t xml:space="preserve"> in such form and for such amount as is acceptable to Enron in its absolute discretion.</w:t>
      </w:r>
    </w:p>
    <w:p>
      <w:pPr>
        <w:pStyle w:val="Heading1"/>
        <w:widowControl/>
        <w:numPr>
          <w:ilvl w:val="0"/>
          <w:numId w:val="0"/>
        </w:numPr>
        <w:bidi w:val="0"/>
        <w:spacing w:lineRule="atLeast" w:line="280"/>
        <w:ind w:hanging="708" w:start="709"/>
        <w:jc w:val="both"/>
        <w:outlineLvl w:val="0"/>
        <w:rPr/>
      </w:pPr>
      <w:r>
        <w:rPr/>
        <w:t>5.</w:t>
        <w:tab/>
        <w:t>Events of Default</w:t>
      </w:r>
    </w:p>
    <w:p>
      <w:pPr>
        <w:pStyle w:val="Normal"/>
        <w:widowContro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bidi w:val="0"/>
        <w:spacing w:lineRule="atLeast" w:line="280"/>
        <w:ind w:hanging="0" w:start="709"/>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w:t>
      </w:r>
      <w:r>
        <w:rPr>
          <w:strike/>
        </w:rPr>
        <w:t>or</w:t>
      </w:r>
      <w:r>
        <w:rPr/>
        <w:t xml:space="preserve">(h) in respect of Counterparty, a change of Control occurs; or (i) Counterparty fails to provide a letter of credit or guarantee in accordance with </w:t>
      </w:r>
      <w:r>
        <w:rPr>
          <w:strike/>
        </w:rPr>
        <w:t>section</w:t>
      </w:r>
      <w:r>
        <w:rPr/>
        <w:t xml:space="preserve"> </w:t>
      </w:r>
      <w:r>
        <w:rPr>
          <w:u w:val="double"/>
        </w:rPr>
        <w:t>Section</w:t>
      </w:r>
      <w:r>
        <w:rPr/>
        <w:t xml:space="preserve"> 4 on request by Enron or any default occurs under the terms of such letter of credit or guarantee.</w:t>
      </w:r>
      <w:r>
        <w:rPr>
          <w:strike/>
        </w:rPr>
        <w:t>.</w:t>
      </w:r>
    </w:p>
    <w:p>
      <w:pPr>
        <w:pStyle w:val="Normal"/>
        <w:widowContro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bidi w:val="0"/>
        <w:spacing w:lineRule="atLeast" w:line="280"/>
        <w:ind w:hanging="0" w:start="709"/>
        <w:jc w:val="both"/>
        <w:rPr/>
      </w:pPr>
      <w:r>
        <w:rPr/>
        <w:t xml:space="preserve">Each obligation of each party </w:t>
      </w:r>
      <w:r>
        <w:rPr>
          <w:u w:val="double"/>
        </w:rPr>
        <w:t>to make payments</w:t>
      </w:r>
      <w:r>
        <w:rPr/>
        <w:t xml:space="preserve"> under this GTC </w:t>
      </w:r>
      <w:r>
        <w:rPr>
          <w:u w:val="double"/>
        </w:rPr>
        <w:t>or a Transaction</w:t>
      </w:r>
      <w:r>
        <w:rPr/>
        <w:t xml:space="preserve"> is subject to the condition precedent that no Event of Default with respect to the other party has occurred and is continuing.</w:t>
      </w:r>
    </w:p>
    <w:p>
      <w:pPr>
        <w:pStyle w:val="Heading1"/>
        <w:widowControl/>
        <w:numPr>
          <w:ilvl w:val="0"/>
          <w:numId w:val="0"/>
        </w:numPr>
        <w:bidi w:val="0"/>
        <w:spacing w:lineRule="atLeast" w:line="280"/>
        <w:ind w:hanging="708" w:start="709"/>
        <w:jc w:val="both"/>
        <w:outlineLvl w:val="0"/>
        <w:rPr/>
      </w:pPr>
      <w:r>
        <w:rPr/>
        <w:t>6.</w:t>
        <w:tab/>
        <w:t>Remedies</w:t>
      </w:r>
    </w:p>
    <w:p>
      <w:pPr>
        <w:pStyle w:val="Normal"/>
        <w:widowControl/>
        <w:bidi w:val="0"/>
        <w:spacing w:lineRule="atLeast" w:line="280"/>
        <w:ind w:hanging="0" w:start="720"/>
        <w:jc w:val="both"/>
        <w:rPr/>
      </w:pPr>
      <w:r>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widowControl/>
        <w:bidi w:val="0"/>
        <w:spacing w:lineRule="atLeast" w:line="280"/>
        <w:ind w:hanging="0" w:start="720"/>
        <w:jc w:val="both"/>
        <w:rPr>
          <w:b/>
        </w:rPr>
      </w:pPr>
      <w:r>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widowControl/>
        <w:bidi w:val="0"/>
        <w:spacing w:lineRule="atLeast" w:line="280"/>
        <w:ind w:hanging="0" w:start="709"/>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widowControl/>
        <w:numPr>
          <w:ilvl w:val="0"/>
          <w:numId w:val="0"/>
        </w:numPr>
        <w:bidi w:val="0"/>
        <w:spacing w:lineRule="atLeast" w:line="280"/>
        <w:ind w:hanging="708" w:start="709"/>
        <w:jc w:val="both"/>
        <w:outlineLvl w:val="0"/>
        <w:rPr/>
      </w:pPr>
      <w:r>
        <w:rPr/>
        <w:t>7.</w:t>
        <w:tab/>
        <w:t>Set-off</w:t>
      </w:r>
    </w:p>
    <w:p>
      <w:pPr>
        <w:pStyle w:val="Normal"/>
        <w:widowControl/>
        <w:bidi w:val="0"/>
        <w:spacing w:lineRule="atLeast" w:line="280"/>
        <w:ind w:hanging="0" w:start="709"/>
        <w:jc w:val="both"/>
        <w:rPr/>
      </w:pPr>
      <w:r>
        <w:rPr/>
        <w:t>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w:t>
        <w:tab/>
        <w:t xml:space="preserve">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widowControl/>
        <w:bidi w:val="0"/>
        <w:spacing w:lineRule="atLeast" w:line="280"/>
        <w:ind w:hanging="0" w:start="709"/>
        <w:jc w:val="both"/>
        <w:rPr/>
      </w:pPr>
      <w:r>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Heading1"/>
        <w:widowControl/>
        <w:numPr>
          <w:ilvl w:val="0"/>
          <w:numId w:val="0"/>
        </w:numPr>
        <w:bidi w:val="0"/>
        <w:spacing w:lineRule="atLeast" w:line="280"/>
        <w:ind w:hanging="708" w:start="709"/>
        <w:jc w:val="start"/>
        <w:outlineLvl w:val="0"/>
        <w:rPr/>
      </w:pPr>
      <w:r>
        <w:rPr/>
        <w:t>8.</w:t>
        <w:tab/>
        <w:t>Termination</w:t>
      </w:r>
    </w:p>
    <w:p>
      <w:pPr>
        <w:pStyle w:val="Normal"/>
        <w:widowControl/>
        <w:bidi w:val="0"/>
        <w:spacing w:lineRule="atLeast" w:line="280"/>
        <w:ind w:hanging="0" w:start="720"/>
        <w:jc w:val="start"/>
        <w:rPr/>
      </w:pPr>
      <w:r>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Heading1"/>
        <w:widowControl/>
        <w:numPr>
          <w:ilvl w:val="0"/>
          <w:numId w:val="0"/>
        </w:numPr>
        <w:bidi w:val="0"/>
        <w:spacing w:lineRule="atLeast" w:line="280"/>
        <w:ind w:hanging="708" w:start="709"/>
        <w:jc w:val="both"/>
        <w:outlineLvl w:val="0"/>
        <w:rPr/>
      </w:pPr>
      <w:r>
        <w:rPr/>
        <w:t>9.</w:t>
        <w:tab/>
        <w:t>Miscellaneous</w:t>
      </w:r>
    </w:p>
    <w:p>
      <w:pPr>
        <w:pStyle w:val="Normal"/>
        <w:widowControl/>
        <w:bidi w:val="0"/>
        <w:spacing w:lineRule="atLeast" w:line="280"/>
        <w:ind w:hanging="0" w:start="709"/>
        <w:jc w:val="both"/>
        <w:rPr/>
      </w:pPr>
      <w:r>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r>
        <w:rPr>
          <w:u w:val="double"/>
        </w:rPr>
        <w:t xml:space="preserve">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w:t>
      </w:r>
      <w:r>
        <w:rPr/>
        <w:t xml:space="preserve">    Enron may assign and/or transfer the whole or any part of its rights or obligations under any Transaction(s) and this GTC to one or more Affiliates.    </w:t>
      </w:r>
    </w:p>
    <w:p>
      <w:pPr>
        <w:pStyle w:val="Normal"/>
        <w:widowControl/>
        <w:bidi w:val="0"/>
        <w:spacing w:lineRule="atLeast" w:line="280"/>
        <w:ind w:hanging="0" w:start="709"/>
        <w:jc w:val="both"/>
        <w:rPr/>
      </w:pPr>
      <w:r>
        <w:rPr/>
        <w:t>The governing law and jurisdiction applicable to each Transaction and this GTC shall be determined according to paragraph 1 of the Schedule to this GTC.</w:t>
      </w:r>
    </w:p>
    <w:p>
      <w:pPr>
        <w:pStyle w:val="Normal"/>
        <w:widowControl/>
        <w:bidi w:val="0"/>
        <w:spacing w:lineRule="atLeast" w:line="280"/>
        <w:ind w:hanging="0" w:start="709"/>
        <w:jc w:val="both"/>
        <w:rPr/>
      </w:pPr>
      <w:r>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widowControl/>
        <w:bidi w:val="0"/>
        <w:spacing w:lineRule="atLeast" w:line="280"/>
        <w:ind w:hanging="0" w:start="709"/>
        <w:jc w:val="both"/>
        <w:rPr/>
      </w:pPr>
      <w:r>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widowControl/>
        <w:numPr>
          <w:ilvl w:val="0"/>
          <w:numId w:val="0"/>
        </w:numPr>
        <w:bidi w:val="0"/>
        <w:spacing w:lineRule="atLeast" w:line="280"/>
        <w:ind w:hanging="708" w:start="709"/>
        <w:jc w:val="start"/>
        <w:outlineLvl w:val="0"/>
        <w:rPr/>
      </w:pPr>
      <w:r>
        <w:rPr/>
        <w:t>10.</w:t>
        <w:tab/>
        <w:t>Notices</w:t>
      </w:r>
    </w:p>
    <w:p>
      <w:pPr>
        <w:pStyle w:val="Normal"/>
        <w:widowControl/>
        <w:bidi w:val="0"/>
        <w:spacing w:lineRule="atLeast" w:line="280"/>
        <w:ind w:hanging="0" w:start="709"/>
        <w:jc w:val="both"/>
        <w:rPr/>
      </w:pPr>
      <w:r>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Heading1"/>
        <w:widowControl/>
        <w:numPr>
          <w:ilvl w:val="0"/>
          <w:numId w:val="0"/>
        </w:numPr>
        <w:bidi w:val="0"/>
        <w:spacing w:lineRule="atLeast" w:line="280"/>
        <w:ind w:hanging="708" w:start="709"/>
        <w:jc w:val="start"/>
        <w:outlineLvl w:val="0"/>
        <w:rPr/>
      </w:pPr>
      <w:r>
        <w:rPr/>
        <w:t>11.</w:t>
        <w:tab/>
        <w:t>Amendment</w:t>
      </w:r>
    </w:p>
    <w:p>
      <w:pPr>
        <w:pStyle w:val="Normal"/>
        <w:widowControl/>
        <w:bidi w:val="0"/>
        <w:spacing w:lineRule="atLeast" w:line="280"/>
        <w:ind w:hanging="0" w:start="709"/>
        <w:jc w:val="both"/>
        <w:rPr/>
      </w:pPr>
      <w:r>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Heading1"/>
        <w:widowControl/>
        <w:numPr>
          <w:ilvl w:val="0"/>
          <w:numId w:val="0"/>
        </w:numPr>
        <w:bidi w:val="0"/>
        <w:spacing w:lineRule="atLeast" w:line="280"/>
        <w:ind w:hanging="708" w:start="709"/>
        <w:jc w:val="both"/>
        <w:outlineLvl w:val="0"/>
        <w:rPr/>
      </w:pPr>
      <w:r>
        <w:rPr/>
        <w:t>12.</w:t>
        <w:tab/>
        <w:t>Taxes</w:t>
      </w:r>
    </w:p>
    <w:p>
      <w:pPr>
        <w:pStyle w:val="Heading3"/>
        <w:keepNext w:val="true"/>
        <w:widowControl/>
        <w:numPr>
          <w:ilvl w:val="0"/>
          <w:numId w:val="0"/>
        </w:numPr>
        <w:bidi w:val="0"/>
        <w:spacing w:lineRule="atLeast" w:line="280"/>
        <w:ind w:hanging="709" w:start="1418"/>
        <w:jc w:val="both"/>
        <w:outlineLvl w:val="2"/>
        <w:rPr/>
      </w:pPr>
      <w:r>
        <w:rPr/>
        <w:t>(A)</w:t>
        <w:tab/>
        <w:t>Payor Representations</w:t>
      </w:r>
    </w:p>
    <w:p>
      <w:pPr>
        <w:pStyle w:val="Normal"/>
        <w:widowControl/>
        <w:bidi w:val="0"/>
        <w:spacing w:lineRule="atLeast" w:line="280"/>
        <w:ind w:hanging="0" w:start="1418"/>
        <w:jc w:val="both"/>
        <w:rPr/>
      </w:pPr>
      <w:r>
        <w:rPr/>
        <w:t>In connection with making all payments under a Transaction, each party makes the following payor representation:</w:t>
      </w:r>
    </w:p>
    <w:p>
      <w:pPr>
        <w:pStyle w:val="Normal"/>
        <w:widowControl/>
        <w:bidi w:val="0"/>
        <w:spacing w:lineRule="atLeast" w:line="280"/>
        <w:ind w:hanging="0" w:start="1418"/>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widowControl/>
        <w:bidi w:val="0"/>
        <w:spacing w:lineRule="atLeast" w:line="280"/>
        <w:ind w:hanging="0" w:start="1418"/>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widowControl/>
        <w:numPr>
          <w:ilvl w:val="0"/>
          <w:numId w:val="0"/>
        </w:numPr>
        <w:bidi w:val="0"/>
        <w:spacing w:lineRule="atLeast" w:line="280"/>
        <w:ind w:hanging="709" w:start="1418"/>
        <w:jc w:val="both"/>
        <w:outlineLvl w:val="2"/>
        <w:rPr/>
      </w:pPr>
      <w:r>
        <w:rPr/>
        <w:t>(B)</w:t>
        <w:tab/>
        <w:t>Payee Representations</w:t>
      </w:r>
    </w:p>
    <w:p>
      <w:pPr>
        <w:pStyle w:val="Normal"/>
        <w:keepNext w:val="true"/>
        <w:widowControl/>
        <w:bidi w:val="0"/>
        <w:spacing w:lineRule="atLeast" w:line="280"/>
        <w:ind w:hanging="0" w:start="1418"/>
        <w:jc w:val="both"/>
        <w:rPr/>
      </w:pPr>
      <w:r>
        <w:rPr/>
        <w:t>In connection with receiving all payments under a Transaction, Counterparty makes the following payee representations:</w:t>
      </w:r>
    </w:p>
    <w:p>
      <w:pPr>
        <w:pStyle w:val="Normal"/>
        <w:widowControl/>
        <w:bidi w:val="0"/>
        <w:spacing w:lineRule="atLeast" w:line="280"/>
        <w:ind w:hanging="0" w:start="1418"/>
        <w:jc w:val="both"/>
        <w:rPr/>
      </w:pPr>
      <w:r>
        <w:rPr/>
        <w:t xml:space="preserve">It is fully eligible for the benefits of the “Business Profits” or “Industrial and Commercial Profits” provision, as the case may be, the “Interest” provision or the “Other Income” provision (if any) of the Counterparty </w:t>
      </w:r>
      <w:r>
        <w:rPr>
          <w:strike/>
        </w:rPr>
        <w:t>Residency</w:t>
      </w:r>
      <w:r>
        <w:rPr/>
        <w:t xml:space="preserve"> </w:t>
      </w:r>
      <w:r>
        <w:rPr>
          <w:u w:val="double"/>
        </w:rPr>
        <w:t>Residence</w:t>
      </w:r>
      <w:r>
        <w:rPr/>
        <w:t xml:space="preserv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widowControl/>
        <w:bidi w:val="0"/>
        <w:spacing w:lineRule="atLeast" w:line="280"/>
        <w:ind w:hanging="0" w:start="1418"/>
        <w:jc w:val="both"/>
        <w:rPr/>
      </w:pPr>
      <w:r>
        <w:rPr/>
        <w:t>In connection with receiving all payments under a Transaction, Enron makes the following payee representations:</w:t>
      </w:r>
    </w:p>
    <w:p>
      <w:pPr>
        <w:pStyle w:val="Normal"/>
        <w:widowControl/>
        <w:bidi w:val="0"/>
        <w:spacing w:lineRule="atLeast" w:line="280"/>
        <w:ind w:hanging="0" w:start="1418"/>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widowControl/>
        <w:bidi w:val="0"/>
        <w:spacing w:lineRule="atLeast" w:line="280"/>
        <w:ind w:hanging="0" w:start="1418"/>
        <w:jc w:val="both"/>
        <w:rPr/>
      </w:pPr>
      <w:r>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widowControl/>
        <w:bidi w:val="0"/>
        <w:spacing w:lineRule="atLeast" w:line="280"/>
        <w:ind w:hanging="0" w:start="1418"/>
        <w:jc w:val="both"/>
        <w:rPr/>
      </w:pPr>
      <w:r>
        <w:rPr/>
        <w:t>“</w:t>
      </w:r>
      <w:r>
        <w:rPr>
          <w:i/>
        </w:rPr>
        <w:t>Counterparty Branch Jurisdiction</w:t>
      </w:r>
      <w:r>
        <w:rPr/>
        <w:t>” means the jurisdiction (if any) specified as such by the parties to a Transaction.</w:t>
      </w:r>
    </w:p>
    <w:p>
      <w:pPr>
        <w:pStyle w:val="Normal"/>
        <w:widowControl/>
        <w:bidi w:val="0"/>
        <w:spacing w:lineRule="atLeast" w:line="280"/>
        <w:ind w:hanging="0" w:start="1418"/>
        <w:jc w:val="both"/>
        <w:rPr/>
      </w:pPr>
      <w:r>
        <w:rPr/>
        <w:t>“</w:t>
      </w:r>
      <w:r>
        <w:rPr>
          <w:i/>
        </w:rPr>
        <w:t>Counterparty Branch Treaty</w:t>
      </w:r>
      <w:r>
        <w:rPr/>
        <w:t>” means the income tax treaty between the United Kingdom and the Counterparty Branch Jurisdiction provided that, where there is no such treaty, there shall be no Counterparty Branch Treaty.</w:t>
      </w:r>
    </w:p>
    <w:p>
      <w:pPr>
        <w:pStyle w:val="Normal"/>
        <w:widowControl/>
        <w:bidi w:val="0"/>
        <w:spacing w:lineRule="atLeast" w:line="280"/>
        <w:ind w:hanging="0" w:start="1418"/>
        <w:jc w:val="both"/>
        <w:rPr/>
      </w:pPr>
      <w:r>
        <w:rPr/>
        <w:t>“</w:t>
      </w:r>
      <w:r>
        <w:rPr>
          <w:i/>
        </w:rPr>
        <w:t>Counterparty Residence Treaty</w:t>
      </w:r>
      <w:r>
        <w:rPr/>
        <w:t>” means the income tax treaty between the United Kingdom and the Counterparty Residence Jurisdiction provided that, where there is no such treaty, there shall be no Counterparty Residence Treaty.</w:t>
      </w:r>
    </w:p>
    <w:p>
      <w:pPr>
        <w:pStyle w:val="Normal"/>
        <w:widowControl/>
        <w:bidi w:val="0"/>
        <w:spacing w:lineRule="atLeast" w:line="280"/>
        <w:ind w:hanging="0" w:start="1418"/>
        <w:jc w:val="both"/>
        <w:rPr/>
      </w:pPr>
      <w:r>
        <w:rPr/>
        <w:t>“</w:t>
      </w:r>
      <w:r>
        <w:rPr>
          <w:i/>
        </w:rPr>
        <w:t>Counterparty Residence Jurisdiction</w:t>
      </w:r>
      <w:r>
        <w:rPr/>
        <w:t>” means the jurisdiction specified as such by the parties to a Transaction.</w:t>
      </w:r>
    </w:p>
    <w:p>
      <w:pPr>
        <w:pStyle w:val="Heading3"/>
        <w:keepNext w:val="true"/>
        <w:widowControl/>
        <w:numPr>
          <w:ilvl w:val="0"/>
          <w:numId w:val="0"/>
        </w:numPr>
        <w:bidi w:val="0"/>
        <w:spacing w:lineRule="atLeast" w:line="280"/>
        <w:ind w:hanging="709" w:start="1418"/>
        <w:jc w:val="both"/>
        <w:outlineLvl w:val="2"/>
        <w:rPr/>
      </w:pPr>
      <w:r>
        <w:rPr/>
        <w:t>(C)</w:t>
        <w:tab/>
        <w:t>Changes in Representation</w:t>
      </w:r>
    </w:p>
    <w:p>
      <w:pPr>
        <w:pStyle w:val="Normal"/>
        <w:widowControl/>
        <w:bidi w:val="0"/>
        <w:spacing w:lineRule="atLeast" w:line="280"/>
        <w:ind w:hanging="0" w:start="1418"/>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widowControl/>
        <w:numPr>
          <w:ilvl w:val="0"/>
          <w:numId w:val="0"/>
        </w:numPr>
        <w:bidi w:val="0"/>
        <w:spacing w:lineRule="atLeast" w:line="280"/>
        <w:ind w:hanging="709" w:start="1418"/>
        <w:jc w:val="both"/>
        <w:outlineLvl w:val="2"/>
        <w:rPr/>
      </w:pPr>
      <w:r>
        <w:rPr/>
        <w:t>(D)</w:t>
        <w:tab/>
        <w:t>Withholding Tax Exemption Form</w:t>
      </w:r>
    </w:p>
    <w:p>
      <w:pPr>
        <w:pStyle w:val="Normal"/>
        <w:widowControl/>
        <w:bidi w:val="0"/>
        <w:spacing w:lineRule="atLeast" w:line="280"/>
        <w:ind w:hanging="0" w:start="1418"/>
        <w:jc w:val="both"/>
        <w:rPr/>
      </w:pPr>
      <w:r>
        <w:rPr/>
        <w:t xml:space="preserve">Upon request, each party shall provide the other with </w:t>
      </w:r>
      <w:r>
        <w:rPr>
          <w:u w:val="double"/>
        </w:rPr>
        <w:t>(or, if a party has assigned its rights under this GTC or any Transaction, procure the provision of)</w:t>
      </w:r>
      <w:r>
        <w:rPr/>
        <w:t xml:space="preserve"> a properly completed and executed exemption form, certificate or other document that will allow the other party to make any payment hereunder without deduction or withholding for Tax, including, but not limited to, the United States </w:t>
      </w:r>
      <w:r>
        <w:rPr>
          <w:strike/>
        </w:rPr>
        <w:t>Inland</w:t>
      </w:r>
      <w:r>
        <w:rPr/>
        <w:t xml:space="preserve"> </w:t>
      </w:r>
      <w:r>
        <w:rPr>
          <w:u w:val="double"/>
        </w:rPr>
        <w:t>Internal</w:t>
      </w:r>
      <w:r>
        <w:rPr/>
        <w:t xml:space="preserve"> Revenue </w:t>
      </w:r>
      <w:r>
        <w:rPr>
          <w:u w:val="double"/>
        </w:rPr>
        <w:t>Service</w:t>
      </w:r>
      <w:r>
        <w:rPr/>
        <w:t xml:space="preserve"> Form W-8 </w:t>
      </w:r>
      <w:r>
        <w:rPr>
          <w:strike/>
        </w:rPr>
        <w:t xml:space="preserve">and 1001 and </w:t>
      </w:r>
      <w:r>
        <w:rPr>
          <w:u w:val="double"/>
        </w:rPr>
        <w:t>, 1001 and/or 4224 and appropriate</w:t>
      </w:r>
      <w:r>
        <w:rPr/>
        <w:t xml:space="preserve"> successor forms </w:t>
      </w:r>
      <w:r>
        <w:rPr>
          <w:u w:val="double"/>
        </w:rPr>
        <w:t>thereto</w:t>
      </w:r>
      <w:r>
        <w:rPr/>
        <w:t>.</w:t>
      </w:r>
    </w:p>
    <w:p>
      <w:pPr>
        <w:pStyle w:val="Heading3"/>
        <w:keepNext w:val="true"/>
        <w:widowControl/>
        <w:numPr>
          <w:ilvl w:val="0"/>
          <w:numId w:val="0"/>
        </w:numPr>
        <w:bidi w:val="0"/>
        <w:spacing w:lineRule="atLeast" w:line="280"/>
        <w:ind w:hanging="709" w:start="1418"/>
        <w:jc w:val="both"/>
        <w:outlineLvl w:val="2"/>
        <w:rPr/>
      </w:pPr>
      <w:r>
        <w:rPr/>
        <w:t>(E)</w:t>
        <w:tab/>
        <w:t>Gross Up</w:t>
      </w:r>
    </w:p>
    <w:p>
      <w:pPr>
        <w:pStyle w:val="Normal"/>
        <w:widowControl/>
        <w:bidi w:val="0"/>
        <w:spacing w:lineRule="atLeast" w:line="280"/>
        <w:ind w:hanging="0" w:start="1418"/>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widowControl/>
        <w:numPr>
          <w:ilvl w:val="0"/>
          <w:numId w:val="0"/>
        </w:numPr>
        <w:bidi w:val="0"/>
        <w:spacing w:lineRule="atLeast" w:line="280"/>
        <w:ind w:hanging="708" w:start="2126"/>
        <w:jc w:val="both"/>
        <w:outlineLvl w:val="3"/>
        <w:rPr/>
      </w:pPr>
      <w:r>
        <w:rPr/>
        <w:t>(i)</w:t>
        <w:tab/>
        <w:t>Promptly notify the other party (“Y”) of such requirement; and</w:t>
      </w:r>
    </w:p>
    <w:p>
      <w:pPr>
        <w:pStyle w:val="Heading4"/>
        <w:widowControl/>
        <w:numPr>
          <w:ilvl w:val="0"/>
          <w:numId w:val="0"/>
        </w:numPr>
        <w:bidi w:val="0"/>
        <w:spacing w:lineRule="atLeast" w:line="280"/>
        <w:ind w:hanging="708" w:start="2126"/>
        <w:jc w:val="both"/>
        <w:outlineLvl w:val="3"/>
        <w:rPr/>
      </w:pPr>
      <w:r>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widowControl/>
        <w:numPr>
          <w:ilvl w:val="0"/>
          <w:numId w:val="0"/>
        </w:numPr>
        <w:bidi w:val="0"/>
        <w:spacing w:lineRule="atLeast" w:line="280"/>
        <w:ind w:hanging="708" w:start="2126"/>
        <w:jc w:val="both"/>
        <w:outlineLvl w:val="3"/>
        <w:rPr/>
      </w:pPr>
      <w:r>
        <w:rPr/>
        <w:t>(iii)</w:t>
        <w:tab/>
        <w:t>Promptly forward to Y an official receipt (or certified copy thereof) or other documentation reasonably acceptable to Y evidencing such payment to such authorities; and</w:t>
      </w:r>
    </w:p>
    <w:p>
      <w:pPr>
        <w:pStyle w:val="Heading4"/>
        <w:widowControl/>
        <w:numPr>
          <w:ilvl w:val="0"/>
          <w:numId w:val="0"/>
        </w:numPr>
        <w:bidi w:val="0"/>
        <w:spacing w:lineRule="atLeast" w:line="280"/>
        <w:ind w:hanging="708" w:start="2126"/>
        <w:jc w:val="both"/>
        <w:outlineLvl w:val="3"/>
        <w:rPr/>
      </w:pPr>
      <w:r>
        <w:rPr/>
        <w:t>(iv)</w:t>
        <w:tab/>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Heading3"/>
        <w:keepNext w:val="true"/>
        <w:widowControl/>
        <w:numPr>
          <w:ilvl w:val="0"/>
          <w:numId w:val="0"/>
        </w:numPr>
        <w:bidi w:val="0"/>
        <w:spacing w:lineRule="atLeast" w:line="280"/>
        <w:ind w:hanging="709" w:start="1418"/>
        <w:jc w:val="both"/>
        <w:outlineLvl w:val="2"/>
        <w:rPr/>
      </w:pPr>
      <w:r>
        <w:rPr/>
        <w:t>(F)</w:t>
        <w:tab/>
        <w:t>Liability</w:t>
      </w:r>
    </w:p>
    <w:p>
      <w:pPr>
        <w:pStyle w:val="Normal"/>
        <w:keepNext w:val="true"/>
        <w:widowControl/>
        <w:bidi w:val="0"/>
        <w:spacing w:lineRule="atLeast" w:line="280"/>
        <w:ind w:hanging="0" w:start="1418"/>
        <w:jc w:val="both"/>
        <w:rPr/>
      </w:pPr>
      <w:r>
        <w:rPr/>
        <w:t>If:</w:t>
      </w:r>
    </w:p>
    <w:p>
      <w:pPr>
        <w:pStyle w:val="Heading4"/>
        <w:widowControl/>
        <w:numPr>
          <w:ilvl w:val="0"/>
          <w:numId w:val="0"/>
        </w:numPr>
        <w:bidi w:val="0"/>
        <w:spacing w:lineRule="atLeast" w:line="280"/>
        <w:ind w:hanging="708" w:start="2126"/>
        <w:jc w:val="both"/>
        <w:outlineLvl w:val="3"/>
        <w:rPr/>
      </w:pPr>
      <w:r>
        <w:rPr/>
        <w:t>(i)</w:t>
        <w:tab/>
        <w:t xml:space="preserve">X is required by any applicable law, as modified by the practice of any relevant governmental revenue authority, to make any deduction or withholding </w:t>
      </w:r>
      <w:r>
        <w:rPr>
          <w:strike/>
        </w:rPr>
        <w:t>[</w:t>
      </w:r>
      <w:r>
        <w:rPr/>
        <w:t xml:space="preserve">for or on account of any Tax </w:t>
      </w:r>
      <w:r>
        <w:rPr>
          <w:strike/>
        </w:rPr>
        <w:t>]</w:t>
      </w:r>
      <w:r>
        <w:rPr/>
        <w:t xml:space="preserve"> in respect of which X would not be required to pay an additional amount to Y under subsection (E)(iv); and</w:t>
      </w:r>
    </w:p>
    <w:p>
      <w:pPr>
        <w:pStyle w:val="Heading4"/>
        <w:widowControl/>
        <w:numPr>
          <w:ilvl w:val="0"/>
          <w:numId w:val="0"/>
        </w:numPr>
        <w:bidi w:val="0"/>
        <w:spacing w:lineRule="atLeast" w:line="280"/>
        <w:ind w:hanging="708" w:start="2126"/>
        <w:jc w:val="both"/>
        <w:outlineLvl w:val="3"/>
        <w:rPr/>
      </w:pPr>
      <w:r>
        <w:rPr/>
        <w:t>(ii)</w:t>
        <w:tab/>
        <w:t>X does not so deduct or withhold; and</w:t>
      </w:r>
    </w:p>
    <w:p>
      <w:pPr>
        <w:pStyle w:val="Heading4"/>
        <w:widowControl/>
        <w:numPr>
          <w:ilvl w:val="0"/>
          <w:numId w:val="0"/>
        </w:numPr>
        <w:bidi w:val="0"/>
        <w:spacing w:lineRule="atLeast" w:line="280"/>
        <w:ind w:hanging="708" w:start="2126"/>
        <w:jc w:val="both"/>
        <w:outlineLvl w:val="3"/>
        <w:rPr/>
      </w:pPr>
      <w:r>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widowControl/>
        <w:numPr>
          <w:ilvl w:val="0"/>
          <w:numId w:val="0"/>
        </w:numPr>
        <w:bidi w:val="0"/>
        <w:spacing w:lineRule="atLeast" w:line="280"/>
        <w:ind w:hanging="709" w:start="1418"/>
        <w:jc w:val="both"/>
        <w:outlineLvl w:val="2"/>
        <w:rPr/>
      </w:pPr>
      <w:r>
        <w:rPr/>
        <w:t>(G)</w:t>
        <w:tab/>
        <w:t>Change in Tax Law</w:t>
      </w:r>
    </w:p>
    <w:p>
      <w:pPr>
        <w:pStyle w:val="Normal"/>
        <w:keepNext w:val="true"/>
        <w:widowControl/>
        <w:bidi w:val="0"/>
        <w:spacing w:lineRule="atLeast" w:line="280"/>
        <w:ind w:hanging="0" w:start="1418"/>
        <w:jc w:val="both"/>
        <w:rPr/>
      </w:pPr>
      <w:r>
        <w:rPr/>
        <w:t>If, as a result of a Change in Tax Law, Counterparty or Enron will, or there is a substantial likelihood that it will, on the next succeeding payment date:</w:t>
      </w:r>
    </w:p>
    <w:p>
      <w:pPr>
        <w:pStyle w:val="Heading4"/>
        <w:widowControl/>
        <w:numPr>
          <w:ilvl w:val="0"/>
          <w:numId w:val="0"/>
        </w:numPr>
        <w:bidi w:val="0"/>
        <w:spacing w:lineRule="atLeast" w:line="280"/>
        <w:ind w:hanging="708" w:start="2126"/>
        <w:jc w:val="both"/>
        <w:outlineLvl w:val="3"/>
        <w:rPr/>
      </w:pPr>
      <w:r>
        <w:rPr/>
        <w:t>(i)</w:t>
        <w:tab/>
        <w:t>Be required to pay to the other party an additional amount in respect of an Indemnifiable Tax (except in respect of any interest payable under the Transaction); or</w:t>
      </w:r>
    </w:p>
    <w:p>
      <w:pPr>
        <w:pStyle w:val="Heading4"/>
        <w:widowControl/>
        <w:numPr>
          <w:ilvl w:val="0"/>
          <w:numId w:val="0"/>
        </w:numPr>
        <w:bidi w:val="0"/>
        <w:spacing w:lineRule="atLeast" w:line="280"/>
        <w:ind w:hanging="708" w:start="2126"/>
        <w:jc w:val="both"/>
        <w:outlineLvl w:val="3"/>
        <w:rPr/>
      </w:pPr>
      <w:r>
        <w:rPr/>
        <w:t>(ii)</w:t>
        <w:tab/>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r>
        <w:rPr>
          <w:u w:val="double"/>
        </w:rPr>
        <w:t>,</w:t>
      </w:r>
    </w:p>
    <w:p>
      <w:pPr>
        <w:pStyle w:val="Normal"/>
        <w:widowControl/>
        <w:bidi w:val="0"/>
        <w:spacing w:lineRule="atLeast" w:line="280"/>
        <w:ind w:hanging="0" w:start="1440"/>
        <w:jc w:val="both"/>
        <w:rPr/>
      </w:pPr>
      <w:r>
        <w:rPr/>
        <w:t xml:space="preserve">then such party may, in its sole discretion, upon two (2) Business Days notice to the other party, designate an Early Termination Date under Section </w:t>
      </w:r>
      <w:r>
        <w:rPr>
          <w:strike/>
        </w:rPr>
        <w:t>65</w:t>
      </w:r>
      <w:r>
        <w:rPr/>
        <w:t xml:space="preserve"> </w:t>
      </w:r>
      <w:r>
        <w:rPr>
          <w:u w:val="double"/>
        </w:rPr>
        <w:t>6</w:t>
      </w:r>
      <w:r>
        <w:rPr/>
        <w:t xml:space="preserve"> of this GTC. For purposes of calculating Gains, Losses and Costs under Section </w:t>
      </w:r>
      <w:r>
        <w:rPr>
          <w:strike/>
        </w:rPr>
        <w:t>56</w:t>
      </w:r>
      <w:r>
        <w:rPr/>
        <w:t xml:space="preserve"> </w:t>
      </w:r>
      <w:r>
        <w:rPr>
          <w:u w:val="double"/>
        </w:rPr>
        <w:t>6</w:t>
      </w:r>
      <w:r>
        <w:rPr/>
        <w:t xml:space="preserve"> of this GTC, the party designating the Early Termination Date as a result of a Change in Tax Law shall be treated as the Defaulting Party, and the other party shall be treated as the non-defaulting party.</w:t>
      </w:r>
    </w:p>
    <w:p>
      <w:pPr>
        <w:pStyle w:val="Heading3"/>
        <w:keepNext w:val="true"/>
        <w:widowControl/>
        <w:numPr>
          <w:ilvl w:val="0"/>
          <w:numId w:val="0"/>
        </w:numPr>
        <w:bidi w:val="0"/>
        <w:spacing w:lineRule="atLeast" w:line="280"/>
        <w:ind w:hanging="709" w:start="1418"/>
        <w:jc w:val="both"/>
        <w:outlineLvl w:val="2"/>
        <w:rPr/>
      </w:pPr>
      <w:r>
        <w:rPr/>
        <w:t>(H)</w:t>
        <w:tab/>
        <w:t>Miscellaneous</w:t>
      </w:r>
    </w:p>
    <w:p>
      <w:pPr>
        <w:pStyle w:val="Normal"/>
        <w:widowControl/>
        <w:bidi w:val="0"/>
        <w:spacing w:lineRule="atLeast" w:line="280"/>
        <w:ind w:hanging="0" w:start="1418"/>
        <w:jc w:val="both"/>
        <w:rPr/>
      </w:pPr>
      <w:r>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Heading1"/>
        <w:widowControl/>
        <w:numPr>
          <w:ilvl w:val="0"/>
          <w:numId w:val="0"/>
        </w:numPr>
        <w:bidi w:val="0"/>
        <w:spacing w:lineRule="atLeast" w:line="280"/>
        <w:ind w:hanging="708" w:start="709"/>
        <w:jc w:val="both"/>
        <w:outlineLvl w:val="0"/>
        <w:rPr/>
      </w:pPr>
      <w:r>
        <w:rPr/>
        <w:t>13.</w:t>
        <w:tab/>
        <w:t>Currency Provisions</w:t>
      </w:r>
    </w:p>
    <w:p>
      <w:pPr>
        <w:pStyle w:val="Normal"/>
        <w:widowControl/>
        <w:bidi w:val="0"/>
        <w:spacing w:lineRule="atLeast" w:line="280"/>
        <w:ind w:hanging="0" w:start="709"/>
        <w:jc w:val="both"/>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widowControl/>
        <w:numPr>
          <w:ilvl w:val="0"/>
          <w:numId w:val="0"/>
        </w:numPr>
        <w:bidi w:val="0"/>
        <w:spacing w:lineRule="atLeast" w:line="280"/>
        <w:ind w:hanging="708" w:start="709"/>
        <w:jc w:val="both"/>
        <w:outlineLvl w:val="0"/>
        <w:rPr/>
      </w:pPr>
      <w:r>
        <w:rPr/>
        <w:t>14.</w:t>
        <w:tab/>
        <w:t>General Definitions</w:t>
      </w:r>
    </w:p>
    <w:p>
      <w:pPr>
        <w:pStyle w:val="Normal"/>
        <w:keepNext w:val="true"/>
        <w:widowControl/>
        <w:bidi w:val="0"/>
        <w:spacing w:lineRule="atLeast" w:line="280"/>
        <w:ind w:hanging="0" w:start="709"/>
        <w:jc w:val="both"/>
        <w:rPr/>
      </w:pPr>
      <w:r>
        <w:rPr/>
        <w:t>As used in this GTC:</w:t>
      </w:r>
    </w:p>
    <w:p>
      <w:pPr>
        <w:pStyle w:val="Normal"/>
        <w:widowControl/>
        <w:bidi w:val="0"/>
        <w:spacing w:lineRule="atLeast" w:line="280"/>
        <w:ind w:hanging="0" w:start="709"/>
        <w:jc w:val="both"/>
        <w:rPr/>
      </w:pPr>
      <w:r>
        <w:rPr>
          <w:i/>
          <w:strike/>
        </w:rPr>
        <w:t>[</w:t>
      </w:r>
      <w:r>
        <w:rPr>
          <w:i/>
        </w:rPr>
        <w:t xml:space="preserve">“Affiliate” </w:t>
      </w:r>
      <w:r>
        <w:rPr/>
        <w:t xml:space="preserve">shall mean: </w:t>
      </w:r>
      <w:r>
        <w:rPr>
          <w:strike/>
        </w:rPr>
        <w:t>in relation to any party, any entity, directly or indirectly in the Control of the party, any entity that Controls, directly or indirectly, the party or any entity directly or indirectly under common Control with the party.]</w:t>
      </w:r>
    </w:p>
    <w:p>
      <w:pPr>
        <w:pStyle w:val="Heading5"/>
        <w:widowControl/>
        <w:numPr>
          <w:ilvl w:val="0"/>
          <w:numId w:val="0"/>
        </w:numPr>
        <w:tabs>
          <w:tab w:val="clear" w:pos="2835"/>
          <w:tab w:val="left" w:pos="1418" w:leader="none"/>
          <w:tab w:val="left" w:pos="2126" w:leader="none"/>
          <w:tab w:val="left" w:pos="2977" w:leader="none"/>
          <w:tab w:val="left" w:pos="3544" w:leader="none"/>
          <w:tab w:val="left" w:pos="4253" w:leader="none"/>
          <w:tab w:val="left" w:pos="4961" w:leader="none"/>
          <w:tab w:val="left" w:pos="5670" w:leader="none"/>
          <w:tab w:val="right" w:pos="8363" w:leader="none"/>
        </w:tabs>
        <w:bidi w:val="0"/>
        <w:spacing w:lineRule="atLeast" w:line="280"/>
        <w:ind w:hanging="709" w:start="1418"/>
        <w:jc w:val="start"/>
        <w:outlineLvl w:val="4"/>
        <w:rPr/>
      </w:pPr>
      <w:r>
        <w:rPr/>
        <w:t>(a)</w:t>
        <w:tab/>
        <w:t>in relation to any party, any entity, directly or indirectly in the Control of the party, any entity that Controls, directly or indirectly, the party or any entity directly or indirectly under common Control with the party; and</w:t>
      </w:r>
    </w:p>
    <w:p>
      <w:pPr>
        <w:pStyle w:val="Heading5"/>
        <w:widowControl/>
        <w:numPr>
          <w:ilvl w:val="0"/>
          <w:numId w:val="0"/>
        </w:numPr>
        <w:tabs>
          <w:tab w:val="clear" w:pos="2835"/>
          <w:tab w:val="left" w:pos="1418" w:leader="none"/>
          <w:tab w:val="left" w:pos="2126" w:leader="none"/>
          <w:tab w:val="left" w:pos="3119" w:leader="none"/>
          <w:tab w:val="left" w:pos="3544" w:leader="none"/>
          <w:tab w:val="left" w:pos="4253" w:leader="none"/>
          <w:tab w:val="left" w:pos="4961" w:leader="none"/>
          <w:tab w:val="left" w:pos="5670" w:leader="none"/>
          <w:tab w:val="right" w:pos="8363" w:leader="none"/>
        </w:tabs>
        <w:bidi w:val="0"/>
        <w:spacing w:lineRule="atLeast" w:line="280"/>
        <w:ind w:hanging="709" w:start="1418"/>
        <w:jc w:val="start"/>
        <w:outlineLvl w:val="4"/>
        <w:rPr/>
      </w:pPr>
      <w:r>
        <w:rPr/>
        <w:t>(b)</w:t>
        <w:tab/>
        <w:t>in relation to Enron, any entity, whether or not under the Control of Enron or under the Control of any entity falling within paragraph (a) above, established by Enron and/or or any entity falling within paragraph (a) above in connection with a financing transaction (including, without limitation, any monetisation, securitisation or sub-participation of Enron’s rights and/or obligations under any or all of the Transactions entered into pursuant to this GTC).</w:t>
      </w:r>
    </w:p>
    <w:p>
      <w:pPr>
        <w:pStyle w:val="Normal"/>
        <w:keepNext w:val="true"/>
        <w:widowControl/>
        <w:bidi w:val="0"/>
        <w:spacing w:lineRule="atLeast" w:line="280"/>
        <w:ind w:hanging="0" w:start="709"/>
        <w:jc w:val="both"/>
        <w:rPr/>
      </w:pPr>
      <w:r>
        <w:rPr>
          <w:i/>
        </w:rPr>
        <w:t>“</w:t>
      </w:r>
      <w:r>
        <w:rPr>
          <w:i/>
        </w:rPr>
        <w:t>Bankruptcy Event”</w:t>
      </w:r>
      <w:r>
        <w:rPr/>
        <w:t xml:space="preserve"> shall mean in respect of a Transaction:</w:t>
      </w:r>
    </w:p>
    <w:p>
      <w:pPr>
        <w:pStyle w:val="Normal"/>
        <w:widowControl/>
        <w:bidi w:val="0"/>
        <w:spacing w:lineRule="atLeast" w:line="280"/>
        <w:ind w:hanging="709" w:start="1418"/>
        <w:jc w:val="both"/>
        <w:rPr/>
      </w:pPr>
      <w:r>
        <w:rPr/>
        <w:t>(i)</w:t>
        <w:tab/>
        <w:t>the Reference Entity is adjudicated or found to be insolvent or unable to pay its debts by any court of competent jurisdiction;</w:t>
      </w:r>
    </w:p>
    <w:p>
      <w:pPr>
        <w:pStyle w:val="Normal"/>
        <w:widowControl/>
        <w:bidi w:val="0"/>
        <w:spacing w:lineRule="atLeast" w:line="280"/>
        <w:ind w:hanging="709" w:start="1418"/>
        <w:jc w:val="start"/>
        <w:rPr/>
      </w:pPr>
      <w:r>
        <w:rPr/>
        <w:t>(ii)</w:t>
        <w:tab/>
        <w:t>a resolution is passed to approve a creditor’s voluntary arrangement in respect of the Reference Entity under Part 1 Insolvency Act 1986;</w:t>
      </w:r>
    </w:p>
    <w:p>
      <w:pPr>
        <w:pStyle w:val="Normal"/>
        <w:widowControl/>
        <w:bidi w:val="0"/>
        <w:spacing w:lineRule="atLeast" w:line="280"/>
        <w:ind w:hanging="709" w:start="1418"/>
        <w:jc w:val="both"/>
        <w:rPr/>
      </w:pPr>
      <w:r>
        <w:rPr/>
        <w:t>(iii)</w:t>
        <w:tab/>
        <w:t>a resolution is passed or an order is made to approve a composition or similar arrangement with creditors of the Reference Entity under Section 425 Companies Act 1985;</w:t>
      </w:r>
    </w:p>
    <w:p>
      <w:pPr>
        <w:pStyle w:val="Normal"/>
        <w:widowControl/>
        <w:bidi w:val="0"/>
        <w:spacing w:lineRule="atLeast" w:line="280"/>
        <w:ind w:hanging="709" w:start="1418"/>
        <w:jc w:val="both"/>
        <w:rPr/>
      </w:pPr>
      <w:r>
        <w:rPr/>
        <w:t>(iv)</w:t>
        <w:tab/>
        <w:t>a petition for an administration order in respect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widowControl/>
        <w:bidi w:val="0"/>
        <w:spacing w:lineRule="atLeast" w:line="280"/>
        <w:ind w:hanging="709" w:start="1418"/>
        <w:jc w:val="both"/>
        <w:rPr/>
      </w:pPr>
      <w:r>
        <w:rPr/>
        <w:t>(v)</w:t>
        <w:tab/>
        <w:t>an administration order is made in respect of the Reference Entity;</w:t>
      </w:r>
    </w:p>
    <w:p>
      <w:pPr>
        <w:pStyle w:val="Normal"/>
        <w:widowControl/>
        <w:bidi w:val="0"/>
        <w:spacing w:lineRule="atLeast" w:line="280"/>
        <w:ind w:hanging="709" w:start="1418"/>
        <w:jc w:val="both"/>
        <w:rPr/>
      </w:pPr>
      <w:r>
        <w:rPr/>
        <w:t>(vi)</w:t>
        <w:tab/>
        <w: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30 days of its presentation;</w:t>
      </w:r>
    </w:p>
    <w:p>
      <w:pPr>
        <w:pStyle w:val="Normal"/>
        <w:widowControl/>
        <w:bidi w:val="0"/>
        <w:spacing w:lineRule="atLeast" w:line="280"/>
        <w:ind w:hanging="709" w:start="1418"/>
        <w:jc w:val="both"/>
        <w:rPr/>
      </w:pPr>
      <w:r>
        <w:rPr/>
        <w:t>(vii)</w:t>
        <w:tab/>
        <w:t xml:space="preserve">an administrative receiver or receiver or manager is appointed in relation to the Reference Entity or all, or substantially all, of its undertaking or assets; </w:t>
      </w:r>
    </w:p>
    <w:p>
      <w:pPr>
        <w:pStyle w:val="Normal"/>
        <w:widowControl/>
        <w:bidi w:val="0"/>
        <w:spacing w:lineRule="atLeast" w:line="280"/>
        <w:ind w:hanging="709" w:start="1418"/>
        <w:jc w:val="both"/>
        <w:rPr/>
      </w:pPr>
      <w:r>
        <w:rPr/>
        <w:t>(viii)</w:t>
        <w:tab/>
        <w:t xml:space="preserve">a liquidator, provisional liquidator or similar official is appointed in relation to the Reference Entity or all, or substantially all, of its undertaking or assets (other than for the purposes of an amalgamation, merger, consolidation, reorganisation, reconstruction or other arrangement in each case not involving the insolvency of the Reference Entity); </w:t>
      </w:r>
    </w:p>
    <w:p>
      <w:pPr>
        <w:pStyle w:val="Normal"/>
        <w:widowControl/>
        <w:bidi w:val="0"/>
        <w:spacing w:lineRule="atLeast" w:line="280"/>
        <w:ind w:hanging="709" w:start="1418"/>
        <w:jc w:val="both"/>
        <w:rPr/>
      </w:pPr>
      <w:r>
        <w:rPr/>
        <w:t>(ix)</w:t>
        <w:tab/>
        <w: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t>
      </w:r>
    </w:p>
    <w:p>
      <w:pPr>
        <w:pStyle w:val="Normal"/>
        <w:widowControl/>
        <w:bidi w:val="0"/>
        <w:spacing w:lineRule="atLeast" w:line="280"/>
        <w:ind w:hanging="709" w:start="1418"/>
        <w:jc w:val="both"/>
        <w:rPr/>
      </w:pPr>
      <w:r>
        <w:rPr/>
        <w:t>(x)</w:t>
        <w:tab/>
        <w:t xml:space="preserve">any event with consequences similar or analogous to any of those referred to in (i) to (ix) (inclusive) above occurs in any jurisdiction outside England and Wales in relation to the Reference Entity.    </w:t>
      </w:r>
    </w:p>
    <w:p>
      <w:pPr>
        <w:pStyle w:val="Normal"/>
        <w:widowControl/>
        <w:bidi w:val="0"/>
        <w:spacing w:lineRule="atLeast" w:line="280"/>
        <w:ind w:hanging="0" w:start="709"/>
        <w:jc w:val="both"/>
        <w:rPr/>
      </w:pPr>
      <w:r>
        <w:rPr>
          <w:i/>
        </w:rPr>
        <w:t>“</w:t>
      </w:r>
      <w:r>
        <w:rPr>
          <w:i/>
        </w:rPr>
        <w:t>Bankruptcy Event Notice”</w:t>
      </w:r>
      <w:r>
        <w:rPr/>
        <w:t xml:space="preserve"> shall mean an irrevocable notice delivered by one party to the other that describes in reasonable detail a Bankruptcy Event occurring on or after the Effective Date and before the Scheduled Termination Date. </w:t>
      </w:r>
    </w:p>
    <w:p>
      <w:pPr>
        <w:pStyle w:val="Normal"/>
        <w:widowControl/>
        <w:bidi w:val="0"/>
        <w:spacing w:lineRule="atLeast" w:line="280"/>
        <w:ind w:hanging="0" w:start="709"/>
        <w:jc w:val="both"/>
        <w:rPr/>
      </w:pPr>
      <w:r>
        <w:rPr>
          <w:i/>
        </w:rPr>
        <w:t>“</w:t>
      </w:r>
      <w:r>
        <w:rPr>
          <w:i/>
        </w:rPr>
        <w:t xml:space="preserve">Business Day” </w:t>
      </w:r>
      <w:r>
        <w:rPr/>
        <w:t>shall have the meaning set out in Paragraph 2 of the Schedule to this GTC.</w:t>
      </w:r>
    </w:p>
    <w:p>
      <w:pPr>
        <w:pStyle w:val="Normal"/>
        <w:widowControl/>
        <w:bidi w:val="0"/>
        <w:spacing w:lineRule="atLeast" w:line="280"/>
        <w:ind w:hanging="0" w:start="709"/>
        <w:jc w:val="both"/>
        <w:rPr/>
      </w:pPr>
      <w:r>
        <w:rPr>
          <w:i/>
        </w:rPr>
        <w:t>“</w:t>
      </w:r>
      <w:r>
        <w:rPr>
          <w:i/>
        </w:rPr>
        <w:t>Buyer”</w:t>
      </w:r>
      <w:r>
        <w:rPr/>
        <w:t xml:space="preserve"> shall mean the purchaser of the Credit Product in respect of a Transaction as set out on this website and recorded in Enron’s electronic records in respect of the Transaction.</w:t>
      </w:r>
    </w:p>
    <w:p>
      <w:pPr>
        <w:pStyle w:val="Normal"/>
        <w:widowControl/>
        <w:bidi w:val="0"/>
        <w:spacing w:lineRule="atLeast" w:line="280"/>
        <w:ind w:hanging="0" w:start="709"/>
        <w:jc w:val="both"/>
        <w:rPr/>
      </w:pPr>
      <w:r>
        <w:rPr>
          <w:i/>
        </w:rPr>
        <w:t>“</w:t>
      </w:r>
      <w:r>
        <w:rPr>
          <w:i/>
        </w:rPr>
        <w:t>Buyer Payment”</w:t>
      </w:r>
      <w:r>
        <w:rPr/>
        <w:t xml:space="preserve"> shall mean the amount to be paid on each Buyer Payment Date by the Buyer to the Seller pursuant to a Transaction as set out on this website and recorded in Enron’s electronic records in respect of the Transaction.    </w:t>
      </w:r>
    </w:p>
    <w:p>
      <w:pPr>
        <w:pStyle w:val="Normal"/>
        <w:widowControl/>
        <w:bidi w:val="0"/>
        <w:spacing w:lineRule="atLeast" w:line="280"/>
        <w:ind w:hanging="0" w:start="709"/>
        <w:jc w:val="both"/>
        <w:rPr/>
      </w:pPr>
      <w:r>
        <w:rPr>
          <w:i/>
        </w:rPr>
        <w:t>“</w:t>
      </w:r>
      <w:r>
        <w:rPr>
          <w:i/>
        </w:rPr>
        <w:t>Buyer Payment Date”</w:t>
      </w:r>
      <w:r>
        <w:rPr/>
        <w:t xml:space="preserve"> shall mean in respect of a Transaction:</w:t>
      </w:r>
    </w:p>
    <w:p>
      <w:pPr>
        <w:pStyle w:val="Normal"/>
        <w:widowControl/>
        <w:bidi w:val="0"/>
        <w:spacing w:lineRule="atLeast" w:line="280"/>
        <w:ind w:hanging="709" w:start="1418"/>
        <w:jc w:val="both"/>
        <w:rPr/>
      </w:pPr>
      <w:r>
        <w:rPr/>
        <w:t>(i)</w:t>
        <w:tab/>
        <w:t>in respect of the first payment, the first Quarter Day falling after the Effective Date for that Transaction;</w:t>
      </w:r>
    </w:p>
    <w:p>
      <w:pPr>
        <w:pStyle w:val="Normal"/>
        <w:widowControl/>
        <w:bidi w:val="0"/>
        <w:spacing w:lineRule="atLeast" w:line="280"/>
        <w:ind w:hanging="709" w:start="1418"/>
        <w:jc w:val="both"/>
        <w:rPr/>
      </w:pPr>
      <w:r>
        <w:rPr/>
        <w:t>(ii)</w:t>
        <w:tab/>
        <w:t>in respect of the second and each subsequent payment, each Quarter Day falling before the Scheduled Termination Date; and</w:t>
      </w:r>
    </w:p>
    <w:p>
      <w:pPr>
        <w:pStyle w:val="Normal"/>
        <w:widowControl/>
        <w:bidi w:val="0"/>
        <w:spacing w:lineRule="atLeast" w:line="280"/>
        <w:ind w:hanging="709" w:start="1418"/>
        <w:jc w:val="both"/>
        <w:rPr/>
      </w:pPr>
      <w:r>
        <w:rPr/>
        <w:t>(iii)</w:t>
        <w:tab/>
        <w:t>in respect of the final payment, the Scheduled Termination Date.</w:t>
      </w:r>
    </w:p>
    <w:p>
      <w:pPr>
        <w:pStyle w:val="Normal"/>
        <w:widowControl/>
        <w:bidi w:val="0"/>
        <w:spacing w:lineRule="atLeast" w:line="280"/>
        <w:ind w:hanging="0" w:start="709"/>
        <w:jc w:val="both"/>
        <w:rPr/>
      </w:pPr>
      <w:r>
        <w:rPr>
          <w:i/>
        </w:rPr>
        <w:t>“</w:t>
      </w:r>
      <w:r>
        <w:rPr>
          <w:i/>
        </w:rPr>
        <w:t xml:space="preserve">Change in Tax Law” </w:t>
      </w:r>
      <w:r>
        <w:rPr/>
        <w:t xml:space="preserve">shall mean any proposed or final rulemaking published by a taxing authority, or a final decision of a court of competent jurisdiction, after the </w:t>
      </w:r>
      <w:r>
        <w:rPr>
          <w:strike/>
        </w:rPr>
        <w:t>[date hereof] [</w:t>
      </w:r>
      <w:r>
        <w:rPr/>
        <w:t xml:space="preserve">Trade Date of the relevant Transaction </w:t>
      </w:r>
      <w:r>
        <w:rPr>
          <w:strike/>
        </w:rPr>
        <w:t>]</w:t>
      </w:r>
      <w:r>
        <w:rPr/>
        <w:t>(regardless of whether</w:t>
      </w:r>
      <w:r>
        <w:rPr>
          <w:b/>
        </w:rPr>
        <w:t xml:space="preserve"> </w:t>
      </w:r>
      <w:r>
        <w:rPr/>
        <w:t xml:space="preserve">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w:t>
      </w:r>
      <w:r>
        <w:rPr>
          <w:strike/>
        </w:rPr>
        <w:t>[date hereof] [</w:t>
      </w:r>
      <w:r>
        <w:rPr/>
        <w:t>Trade Date of the relevant Transaction</w:t>
      </w:r>
      <w:r>
        <w:rPr>
          <w:strike/>
        </w:rPr>
        <w:t>]</w:t>
      </w:r>
      <w:r>
        <w:rPr/>
        <w:t>.</w:t>
      </w:r>
    </w:p>
    <w:p>
      <w:pPr>
        <w:pStyle w:val="Normal"/>
        <w:widowControl/>
        <w:bidi w:val="0"/>
        <w:spacing w:lineRule="atLeast" w:line="280"/>
        <w:ind w:hanging="0" w:start="709"/>
        <w:jc w:val="both"/>
        <w:rPr/>
      </w:pPr>
      <w:r>
        <w:rPr>
          <w:i/>
        </w:rPr>
        <w:t>“</w:t>
      </w:r>
      <w:r>
        <w:rPr>
          <w:i/>
        </w:rPr>
        <w:t>Contractual Currency”</w:t>
      </w:r>
      <w:r>
        <w:rPr/>
        <w:t xml:space="preserve"> shall mean the currency in which the Buyer Payments and Seller Payment shall be made in respect of a Transaction as set out on this website and recorded in Enron’s electronic records in respect of the Transaction.</w:t>
      </w:r>
    </w:p>
    <w:p>
      <w:pPr>
        <w:pStyle w:val="Normal"/>
        <w:widowControl/>
        <w:bidi w:val="0"/>
        <w:spacing w:lineRule="atLeast" w:line="280"/>
        <w:ind w:hanging="0" w:start="709"/>
        <w:jc w:val="both"/>
        <w:rPr>
          <w:i/>
          <w:i/>
        </w:rPr>
      </w:pPr>
      <w:r>
        <w:rPr>
          <w:i/>
        </w:rPr>
        <w:t>“</w:t>
      </w:r>
      <w:r>
        <w:rPr>
          <w:i/>
        </w:rPr>
        <w:t>Control”</w:t>
      </w:r>
      <w:r>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widowControl/>
        <w:bidi w:val="0"/>
        <w:spacing w:lineRule="atLeast" w:line="280"/>
        <w:ind w:hanging="0" w:start="709"/>
        <w:jc w:val="both"/>
        <w:rPr/>
      </w:pPr>
      <w:r>
        <w:rPr>
          <w:i/>
        </w:rPr>
        <w:t>“</w:t>
      </w:r>
      <w:r>
        <w:rPr>
          <w:i/>
        </w:rPr>
        <w:t>Credit Product”</w:t>
      </w:r>
      <w:r>
        <w:rPr/>
        <w:t xml:space="preserve"> shall mean in respect of a Transaction the credit protection which the parties to such Transaction buy or sell in respect of the Reference Entity the subject of such Transaction.    </w:t>
      </w:r>
    </w:p>
    <w:p>
      <w:pPr>
        <w:pStyle w:val="Normal"/>
        <w:widowControl/>
        <w:bidi w:val="0"/>
        <w:spacing w:lineRule="atLeast" w:line="280"/>
        <w:ind w:hanging="0" w:start="709"/>
        <w:jc w:val="both"/>
        <w:rPr/>
      </w:pPr>
      <w:r>
        <w:rPr>
          <w:i/>
        </w:rPr>
        <w:t>“</w:t>
      </w:r>
      <w:r>
        <w:rPr>
          <w:i/>
        </w:rPr>
        <w:t>Derivative Transaction”</w:t>
      </w:r>
      <w:r>
        <w:rPr/>
        <w:t xml:space="preserve"> shall mean any swap, option or other financially-settled derivative transaction between the parties (but, for the avoidance of doubt, shall not include any Transaction).</w:t>
      </w:r>
    </w:p>
    <w:p>
      <w:pPr>
        <w:pStyle w:val="Normal"/>
        <w:widowControl/>
        <w:bidi w:val="0"/>
        <w:spacing w:lineRule="atLeast" w:line="280"/>
        <w:ind w:hanging="0" w:start="709"/>
        <w:jc w:val="both"/>
        <w:rPr/>
      </w:pPr>
      <w:r>
        <w:rPr>
          <w:i/>
        </w:rPr>
        <w:t>“</w:t>
      </w:r>
      <w:r>
        <w:rPr>
          <w:i/>
        </w:rPr>
        <w:t>Determination Agent”</w:t>
      </w:r>
      <w:r>
        <w:rPr/>
        <w:t xml:space="preserve"> shall mean Enron.</w:t>
      </w:r>
    </w:p>
    <w:p>
      <w:pPr>
        <w:pStyle w:val="Normal"/>
        <w:widowControl/>
        <w:bidi w:val="0"/>
        <w:spacing w:lineRule="atLeast" w:line="280"/>
        <w:ind w:hanging="0" w:start="709"/>
        <w:jc w:val="both"/>
        <w:rPr/>
      </w:pPr>
      <w:r>
        <w:rPr>
          <w:i/>
        </w:rPr>
        <w:t>“</w:t>
      </w:r>
      <w:r>
        <w:rPr>
          <w:i/>
        </w:rPr>
        <w:t>Effective Date”</w:t>
      </w:r>
      <w:r>
        <w:rPr/>
        <w:t xml:space="preserve"> shall mean 12.01 a.m. on the date falling two Months after the Trade Date.</w:t>
      </w:r>
    </w:p>
    <w:p>
      <w:pPr>
        <w:pStyle w:val="Normal"/>
        <w:widowControl/>
        <w:bidi w:val="0"/>
        <w:spacing w:lineRule="atLeast" w:line="280"/>
        <w:ind w:hanging="0" w:start="709"/>
        <w:jc w:val="both"/>
        <w:rPr/>
      </w:pPr>
      <w:r>
        <w:rPr>
          <w:i/>
        </w:rPr>
        <w:t>“</w:t>
      </w:r>
      <w:r>
        <w:rPr>
          <w:i/>
        </w:rPr>
        <w:t>ETA”</w:t>
      </w:r>
      <w:r>
        <w:rPr/>
        <w:t xml:space="preserve"> shall mean the electronic trading agreement (as amended or modified) entered into by the parties in respect of Transactions.    </w:t>
      </w:r>
    </w:p>
    <w:p>
      <w:pPr>
        <w:pStyle w:val="Normal"/>
        <w:widowControl/>
        <w:bidi w:val="0"/>
        <w:spacing w:lineRule="atLeast" w:line="280"/>
        <w:ind w:hanging="0" w:start="709"/>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widowControl/>
        <w:bidi w:val="0"/>
        <w:spacing w:lineRule="atLeast" w:line="280"/>
        <w:ind w:hanging="0" w:start="709"/>
        <w:jc w:val="both"/>
        <w:rPr/>
      </w:pPr>
      <w:r>
        <w:rPr>
          <w:i/>
        </w:rPr>
        <w:t>“</w:t>
      </w:r>
      <w:r>
        <w:rPr>
          <w:i/>
        </w:rPr>
        <w:t>Interest Rate”</w:t>
      </w:r>
      <w:r>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widowControl/>
        <w:bidi w:val="0"/>
        <w:spacing w:lineRule="atLeast" w:line="280"/>
        <w:ind w:hanging="0" w:start="709"/>
        <w:jc w:val="both"/>
        <w:rPr/>
      </w:pPr>
      <w:r>
        <w:rPr>
          <w:i/>
        </w:rPr>
        <w:t>“</w:t>
      </w:r>
      <w:r>
        <w:rPr>
          <w:i/>
        </w:rPr>
        <w:t>Month”</w:t>
      </w:r>
      <w:r>
        <w:rPr/>
        <w:t xml:space="preserve"> shall mean calendar month.</w:t>
      </w:r>
    </w:p>
    <w:p>
      <w:pPr>
        <w:pStyle w:val="Normal"/>
        <w:widowControl/>
        <w:bidi w:val="0"/>
        <w:spacing w:lineRule="atLeast" w:line="280"/>
        <w:ind w:hanging="0" w:start="709"/>
        <w:jc w:val="both"/>
        <w:rPr>
          <w:i/>
          <w:i/>
        </w:rPr>
      </w:pPr>
      <w:r>
        <w:rPr>
          <w:i/>
        </w:rPr>
        <w:t>“</w:t>
      </w:r>
      <w:r>
        <w:rPr>
          <w:i/>
        </w:rPr>
        <w:t>Notice of Publicly Available Information”</w:t>
      </w:r>
      <w:r>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widowControl/>
        <w:bidi w:val="0"/>
        <w:spacing w:lineRule="atLeast" w:line="280"/>
        <w:ind w:hanging="0" w:start="709"/>
        <w:jc w:val="both"/>
        <w:rPr/>
      </w:pPr>
      <w:r>
        <w:rPr>
          <w:i/>
        </w:rPr>
        <w:t>“</w:t>
      </w:r>
      <w:r>
        <w:rPr>
          <w:i/>
        </w:rPr>
        <w:t>Payment Date”</w:t>
      </w:r>
      <w:r>
        <w:rPr/>
        <w:t xml:space="preserve"> shall mean each of the Buyer Payment Date or the Seller Payment Date or both such dates as the context may require.    </w:t>
      </w:r>
    </w:p>
    <w:p>
      <w:pPr>
        <w:pStyle w:val="Normal"/>
        <w:widowControl/>
        <w:bidi w:val="0"/>
        <w:spacing w:lineRule="atLeast" w:line="280"/>
        <w:ind w:hanging="0" w:start="709"/>
        <w:jc w:val="both"/>
        <w:rPr/>
      </w:pPr>
      <w:r>
        <w:rPr>
          <w:i/>
        </w:rPr>
        <w:t>“</w:t>
      </w:r>
      <w:r>
        <w:rPr>
          <w:i/>
        </w:rPr>
        <w:t>Publicly Available Information”</w:t>
      </w:r>
      <w:r>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The Times or the Daily Telegraph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widowControl/>
        <w:bidi w:val="0"/>
        <w:spacing w:lineRule="atLeast" w:line="280"/>
        <w:ind w:hanging="0" w:start="709"/>
        <w:jc w:val="both"/>
        <w:rPr/>
      </w:pPr>
      <w:r>
        <w:rPr>
          <w:i/>
        </w:rPr>
        <w:t>“</w:t>
      </w:r>
      <w:r>
        <w:rPr>
          <w:i/>
        </w:rPr>
        <w:t>Quarter Day”</w:t>
      </w:r>
      <w:r>
        <w:rPr/>
        <w:t xml:space="preserve"> shall mean the last Business Day in March, June, September and December.</w:t>
      </w:r>
    </w:p>
    <w:p>
      <w:pPr>
        <w:pStyle w:val="Normal"/>
        <w:widowControl/>
        <w:bidi w:val="0"/>
        <w:spacing w:lineRule="atLeast" w:line="280"/>
        <w:ind w:hanging="0" w:start="709"/>
        <w:jc w:val="both"/>
        <w:rPr/>
      </w:pPr>
      <w:r>
        <w:rPr>
          <w:i/>
        </w:rPr>
        <w:t>“</w:t>
      </w:r>
      <w:r>
        <w:rPr>
          <w:i/>
        </w:rPr>
        <w:t>Reference Entity”</w:t>
      </w:r>
      <w:r>
        <w:rPr/>
        <w:t xml:space="preserve"> shall mean the entity in respect of which the Credit Product is being bought and sold as set out on this website and recorded in Enron’s electronic records in respect of a Transaction and any Successor.    </w:t>
      </w:r>
    </w:p>
    <w:p>
      <w:pPr>
        <w:pStyle w:val="Normal"/>
        <w:widowControl/>
        <w:bidi w:val="0"/>
        <w:spacing w:lineRule="atLeast" w:line="280"/>
        <w:ind w:hanging="0" w:start="709"/>
        <w:jc w:val="both"/>
        <w:rPr/>
      </w:pPr>
      <w:r>
        <w:rPr>
          <w:i/>
        </w:rPr>
        <w:t>“</w:t>
      </w:r>
      <w:r>
        <w:rPr>
          <w:i/>
        </w:rPr>
        <w:t>Scheduled Termination Date”</w:t>
      </w:r>
      <w:r>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widowControl/>
        <w:bidi w:val="0"/>
        <w:spacing w:lineRule="atLeast" w:line="280"/>
        <w:ind w:hanging="0" w:start="709"/>
        <w:jc w:val="both"/>
        <w:rPr/>
      </w:pPr>
      <w:r>
        <w:rPr>
          <w:i/>
        </w:rPr>
        <w:t>“</w:t>
      </w:r>
      <w:r>
        <w:rPr>
          <w:i/>
        </w:rPr>
        <w:t>Seller”</w:t>
      </w:r>
      <w:r>
        <w:rPr/>
        <w:t xml:space="preserve"> shall mean the Seller of the Credit Product as set out on this website and recorded in Enron’s electronic records in respect of a Transaction.    </w:t>
      </w:r>
    </w:p>
    <w:p>
      <w:pPr>
        <w:pStyle w:val="Normal"/>
        <w:widowControl/>
        <w:bidi w:val="0"/>
        <w:spacing w:lineRule="atLeast" w:line="280"/>
        <w:ind w:hanging="0" w:start="709"/>
        <w:jc w:val="both"/>
        <w:rPr/>
      </w:pPr>
      <w:r>
        <w:rPr>
          <w:i/>
        </w:rPr>
        <w:t>“</w:t>
      </w:r>
      <w:r>
        <w:rPr>
          <w:i/>
        </w:rPr>
        <w:t>Seller Payment”</w:t>
      </w:r>
      <w:r>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widowControl/>
        <w:bidi w:val="0"/>
        <w:spacing w:lineRule="atLeast" w:line="280"/>
        <w:ind w:hanging="0" w:start="709"/>
        <w:jc w:val="both"/>
        <w:rPr/>
      </w:pPr>
      <w:r>
        <w:rPr>
          <w:i/>
        </w:rPr>
        <w:t>“</w:t>
      </w:r>
      <w:r>
        <w:rPr>
          <w:i/>
        </w:rPr>
        <w:t>Seller Payment Date”</w:t>
      </w:r>
      <w:r>
        <w:rPr/>
        <w:t xml:space="preserve"> shall mean the date falling five Business Days after the date on which a valid Bankruptcy Event Notice and a Notice of Publicly Available Information is delivered by one party to the other.    </w:t>
      </w:r>
    </w:p>
    <w:p>
      <w:pPr>
        <w:pStyle w:val="Normal"/>
        <w:widowControl/>
        <w:bidi w:val="0"/>
        <w:spacing w:lineRule="atLeast" w:line="280"/>
        <w:ind w:hanging="0" w:start="709"/>
        <w:jc w:val="both"/>
        <w:rPr/>
      </w:pPr>
      <w:r>
        <w:rPr>
          <w:i/>
        </w:rPr>
        <w:t>“</w:t>
      </w:r>
      <w:r>
        <w:rPr>
          <w:i/>
        </w:rPr>
        <w:t>Successor”</w:t>
      </w:r>
      <w:r>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widowControl/>
        <w:bidi w:val="0"/>
        <w:spacing w:lineRule="atLeast" w:line="280"/>
        <w:ind w:hanging="0" w:start="709"/>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widowControl/>
        <w:bidi w:val="0"/>
        <w:spacing w:lineRule="atLeast" w:line="280"/>
        <w:ind w:hanging="0" w:start="709"/>
        <w:jc w:val="both"/>
        <w:rPr/>
      </w:pPr>
      <w:r>
        <w:rPr>
          <w:i/>
        </w:rPr>
        <w:t>“</w:t>
      </w:r>
      <w:r>
        <w:rPr>
          <w:i/>
        </w:rPr>
        <w:t xml:space="preserve">Trade Date” </w:t>
      </w:r>
      <w:r>
        <w:rPr/>
        <w:t>shall mean the date the parties enter into a Transaction as set out on this website and recorded in Enron’s electronic records in respect of that Transaction.</w:t>
      </w:r>
    </w:p>
    <w:p>
      <w:pPr>
        <w:pStyle w:val="Normal"/>
        <w:widowControl/>
        <w:bidi w:val="0"/>
        <w:spacing w:lineRule="atLeast" w:line="280"/>
        <w:ind w:hanging="0" w:start="709"/>
        <w:jc w:val="both"/>
        <w:rPr/>
      </w:pPr>
      <w:r>
        <w:rPr/>
        <w:t>References in this GTC to times are to the times set out in Paragraph 3 of the Schedule to this GTC.</w:t>
      </w:r>
    </w:p>
    <w:p>
      <w:pPr>
        <w:pStyle w:val="Normal"/>
        <w:widowControl/>
        <w:bidi w:val="0"/>
        <w:spacing w:lineRule="atLeast" w:line="280"/>
        <w:ind w:hanging="0" w:start="709"/>
        <w:jc w:val="both"/>
        <w:rPr/>
      </w:pPr>
      <w:r>
        <w:rPr/>
        <w:t>References in this GTC to any statutes or other legislation are to such statutes or legislation as amended, modified, replaced or re-enacted from time to time.</w:t>
      </w:r>
      <w:r>
        <w:br w:type="page"/>
      </w:r>
    </w:p>
    <w:p>
      <w:pPr>
        <w:pStyle w:val="Normal"/>
        <w:widowControl/>
        <w:bidi w:val="0"/>
        <w:spacing w:lineRule="atLeast" w:line="280"/>
        <w:jc w:val="both"/>
        <w:rPr/>
      </w:pPr>
      <w:r>
        <w:rPr/>
      </w:r>
    </w:p>
    <w:p>
      <w:pPr>
        <w:pStyle w:val="Normal"/>
        <w:widowControl/>
        <w:bidi w:val="0"/>
        <w:spacing w:lineRule="atLeast" w:line="280"/>
        <w:jc w:val="center"/>
        <w:rPr>
          <w:b/>
        </w:rPr>
      </w:pPr>
      <w:r>
        <w:rPr>
          <w:b/>
        </w:rPr>
        <w:t>SCHEDULE</w:t>
      </w:r>
    </w:p>
    <w:p>
      <w:pPr>
        <w:pStyle w:val="Normal"/>
        <w:widowControl/>
        <w:bidi w:val="0"/>
        <w:spacing w:lineRule="atLeast" w:line="280"/>
        <w:jc w:val="center"/>
        <w:rPr>
          <w:b/>
        </w:rPr>
      </w:pPr>
      <w:r>
        <w:rPr>
          <w:b/>
        </w:rPr>
        <w:t>Amendments to the GTC</w:t>
      </w:r>
    </w:p>
    <w:p>
      <w:pPr>
        <w:pStyle w:val="Normal"/>
        <w:widowControl/>
        <w:bidi w:val="0"/>
        <w:spacing w:lineRule="atLeast" w:line="280"/>
        <w:jc w:val="center"/>
        <w:rPr/>
      </w:pPr>
      <w:r>
        <w:rPr/>
      </w:r>
    </w:p>
    <w:p>
      <w:pPr>
        <w:pStyle w:val="Heading1"/>
        <w:widowControl/>
        <w:numPr>
          <w:ilvl w:val="0"/>
          <w:numId w:val="0"/>
        </w:numPr>
        <w:bidi w:val="0"/>
        <w:spacing w:lineRule="atLeast" w:line="280"/>
        <w:ind w:hanging="708" w:start="709"/>
        <w:jc w:val="start"/>
        <w:outlineLvl w:val="0"/>
        <w:rPr>
          <w:b w:val="false"/>
        </w:rPr>
      </w:pPr>
      <w:r>
        <w:rPr>
          <w:b w:val="false"/>
        </w:rPr>
        <w:t>1.</w:t>
        <w:tab/>
      </w:r>
      <w:r>
        <w:rPr/>
        <w:t>Governing law and jurisdiction</w:t>
      </w:r>
    </w:p>
    <w:p>
      <w:pPr>
        <w:pStyle w:val="Normal"/>
        <w:widowControl/>
        <w:bidi w:val="0"/>
        <w:spacing w:lineRule="atLeast" w:line="280"/>
        <w:ind w:hanging="0" w:start="709"/>
        <w:jc w:val="both"/>
        <w:rPr/>
      </w:pPr>
      <w:r>
        <w:rPr>
          <w:b/>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widowControl/>
        <w:bidi w:val="0"/>
        <w:spacing w:lineRule="atLeast" w:line="280"/>
        <w:ind w:hanging="0" w:start="709"/>
        <w:jc w:val="both"/>
        <w:rPr>
          <w:b/>
        </w:rPr>
      </w:pPr>
      <w:r>
        <w:rPr>
          <w:b/>
        </w:rPr>
        <w:t xml:space="preserve">Where the Counterparty to a Transaction is incorporated or organised in the United States or Canada, the Transaction and this GTC shall be governed by, interpreted and construed in accordance with the laws of the State of New York and each party agrees to submit to the non-exclusive jurisdiction of the Courts of New York and waives any claim that any proceedings brought in such courts have been brought in an inconvenient forum.    </w:t>
      </w:r>
    </w:p>
    <w:p>
      <w:pPr>
        <w:pStyle w:val="Heading1"/>
        <w:widowControl/>
        <w:numPr>
          <w:ilvl w:val="0"/>
          <w:numId w:val="0"/>
        </w:numPr>
        <w:bidi w:val="0"/>
        <w:spacing w:lineRule="atLeast" w:line="280"/>
        <w:ind w:hanging="708" w:start="709"/>
        <w:jc w:val="start"/>
        <w:outlineLvl w:val="0"/>
        <w:rPr/>
      </w:pPr>
      <w:r>
        <w:rPr/>
        <w:t>2.</w:t>
        <w:tab/>
        <w:t xml:space="preserve">Business Day </w:t>
      </w:r>
    </w:p>
    <w:p>
      <w:pPr>
        <w:pStyle w:val="Normal"/>
        <w:widowControl/>
        <w:bidi w:val="0"/>
        <w:spacing w:lineRule="atLeast" w:line="280"/>
        <w:ind w:hanging="0" w:start="709"/>
        <w:jc w:val="start"/>
        <w:rPr/>
      </w:pPr>
      <w:r>
        <w:rPr/>
        <w:t>Where Counterparty to a Transaction is incorporated or organised outside of the United States or Canada, “</w:t>
      </w:r>
      <w:r>
        <w:rPr>
          <w:i/>
        </w:rPr>
        <w:t>Business Day</w:t>
      </w:r>
      <w:r>
        <w:rPr/>
        <w:t>” shall mean a day (other than a Saturday or Sunday) on which commercial banks are open for domestic business in London.    Where Counterparty to a Transaction is incorporated or organised in the United States or Canada, “</w:t>
      </w:r>
      <w:r>
        <w:rPr>
          <w:i/>
        </w:rPr>
        <w:t>Business Day</w:t>
      </w:r>
      <w:r>
        <w:rPr/>
        <w:t>” shall mean a day (other than a Saturday or Sunday) on which commercial banks are open for domestic business in New York.</w:t>
      </w:r>
    </w:p>
    <w:p>
      <w:pPr>
        <w:pStyle w:val="Heading1"/>
        <w:widowControl/>
        <w:numPr>
          <w:ilvl w:val="0"/>
          <w:numId w:val="0"/>
        </w:numPr>
        <w:bidi w:val="0"/>
        <w:spacing w:lineRule="atLeast" w:line="280"/>
        <w:ind w:hanging="708" w:start="709"/>
        <w:jc w:val="start"/>
        <w:outlineLvl w:val="0"/>
        <w:rPr>
          <w:b w:val="false"/>
        </w:rPr>
      </w:pPr>
      <w:r>
        <w:rPr>
          <w:b w:val="false"/>
        </w:rPr>
        <w:t>3.</w:t>
        <w:tab/>
      </w:r>
      <w:r>
        <w:rPr/>
        <w:t>Times</w:t>
      </w:r>
    </w:p>
    <w:p>
      <w:pPr>
        <w:pStyle w:val="Normal"/>
        <w:widowControl/>
        <w:bidi w:val="0"/>
        <w:spacing w:lineRule="atLeast" w:line="280"/>
        <w:ind w:hanging="0" w:start="709"/>
        <w:jc w:val="start"/>
        <w:rPr/>
      </w:pPr>
      <w:r>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Heading1"/>
        <w:widowControl/>
        <w:numPr>
          <w:ilvl w:val="0"/>
          <w:numId w:val="0"/>
        </w:numPr>
        <w:bidi w:val="0"/>
        <w:spacing w:lineRule="atLeast" w:line="280"/>
        <w:ind w:hanging="708" w:start="709"/>
        <w:jc w:val="start"/>
        <w:outlineLvl w:val="0"/>
        <w:rPr/>
      </w:pPr>
      <w:r>
        <w:rPr/>
        <w:t>4.</w:t>
        <w:tab/>
        <w:t>Exclusion of third party rights</w:t>
      </w:r>
    </w:p>
    <w:p>
      <w:pPr>
        <w:pStyle w:val="Normal"/>
        <w:widowControl/>
        <w:bidi w:val="0"/>
        <w:spacing w:lineRule="atLeast" w:line="280"/>
        <w:ind w:hanging="709" w:start="709"/>
        <w:jc w:val="start"/>
        <w:rPr/>
      </w:pPr>
      <w:r>
        <w:rPr/>
        <w:tab/>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Heading1"/>
        <w:widowControl/>
        <w:numPr>
          <w:ilvl w:val="0"/>
          <w:numId w:val="0"/>
        </w:numPr>
        <w:bidi w:val="0"/>
        <w:spacing w:lineRule="atLeast" w:line="280"/>
        <w:ind w:hanging="708" w:start="709"/>
        <w:jc w:val="start"/>
        <w:outlineLvl w:val="0"/>
        <w:rPr/>
      </w:pPr>
      <w:r>
        <w:rPr/>
        <w:t>5.</w:t>
        <w:tab/>
        <w:t>Event of default</w:t>
      </w:r>
    </w:p>
    <w:p>
      <w:pPr>
        <w:pStyle w:val="Normal"/>
        <w:widowControl/>
        <w:bidi w:val="0"/>
        <w:spacing w:lineRule="atLeast" w:line="280"/>
        <w:ind w:hanging="0" w:start="709"/>
        <w:jc w:val="start"/>
        <w:rPr/>
      </w:pPr>
      <w:r>
        <w:rPr/>
        <w:t>Where Counterparty to a Transaction is incorporated or organised in Germany:</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(a)</w:t>
        <w:tab/>
        <w:t xml:space="preserve">the words “save that, upon the occurrence of an Event of Default specified in Section </w:t>
      </w:r>
      <w:r>
        <w:rPr>
          <w:strike/>
        </w:rPr>
        <w:t>45(d), an Early Termination Date shall automatically be designated as</w:t>
      </w:r>
      <w:r>
        <w:rPr/>
        <w:t xml:space="preserve"> </w:t>
      </w:r>
      <w:r>
        <w:rPr>
          <w:u w:val="double"/>
        </w:rPr>
        <w:t>5(d),</w:t>
      </w:r>
      <w:r>
        <w:rPr/>
        <w:t xml:space="preserve"> the date of occurrence of the Event of </w:t>
      </w:r>
      <w:r>
        <w:rPr>
          <w:strike/>
        </w:rPr>
        <w:t>Default”</w:t>
      </w:r>
      <w:r>
        <w:rPr>
          <w:u w:val="double"/>
        </w:rPr>
        <w:t>Default shall automatically be designated as an Early Termination Date”</w:t>
      </w:r>
      <w:r>
        <w:rPr/>
        <w:t xml:space="preserve"> shall be inserted at the end of the first sentence of the first paragraph of Section </w:t>
      </w:r>
      <w:r>
        <w:rPr>
          <w:strike/>
        </w:rPr>
        <w:t>56</w:t>
      </w:r>
      <w:r>
        <w:rPr/>
        <w:t xml:space="preserve"> </w:t>
      </w:r>
      <w:r>
        <w:rPr>
          <w:u w:val="double"/>
        </w:rPr>
        <w:t>6</w:t>
      </w:r>
      <w:r>
        <w:rPr/>
        <w:t>; and</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(b)</w:t>
        <w:tab/>
        <w:t xml:space="preserve">the third sentence of Section </w:t>
      </w:r>
      <w:r>
        <w:rPr>
          <w:strike/>
        </w:rPr>
        <w:t>67</w:t>
      </w:r>
      <w:r>
        <w:rPr/>
        <w:t xml:space="preserve"> </w:t>
      </w:r>
      <w:r>
        <w:rPr>
          <w:u w:val="double"/>
        </w:rPr>
        <w:t>7</w:t>
      </w:r>
      <w:r>
        <w:rPr/>
        <w:t xml:space="preserve"> shall be deleted.</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COMPARISON OF HEADERS ------------------</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-HEADER 1-</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20</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-HEADER 2-</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Header Discontinued</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COMPARISON OF FOOTERS ------------------</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-FOOTER 1-</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xml:space="preserve">214686/11161 CA003672492 GPXB </w:t>
      </w:r>
      <w:r>
        <w:rPr>
          <w:strike/>
        </w:rPr>
        <w:t>140200:2041140200:1919</w:t>
      </w:r>
      <w:r>
        <w:rPr/>
        <w:t xml:space="preserve"> </w:t>
      </w:r>
      <w:r>
        <w:rPr>
          <w:u w:val="double"/>
        </w:rPr>
        <w:t>160200:0003</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-FOOTER 2-</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xml:space="preserve">214686/11161 CA003672492 GPXB </w:t>
      </w:r>
      <w:r>
        <w:rPr>
          <w:strike/>
        </w:rPr>
        <w:t>140200:2041140200:1919</w:t>
      </w:r>
      <w:r>
        <w:rPr/>
        <w:t xml:space="preserve"> </w:t>
      </w:r>
      <w:r>
        <w:rPr>
          <w:u w:val="double"/>
        </w:rPr>
        <w:t>160200:0003</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S</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xml:space="preserve">This redlined draft, generated by CompareRite (TM) - The Instant Redliner, shows the differences between - </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original document      : C:\COMPARE\CA003672492_41.DOC</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and revised document: C:\COMPARE\CA003672492_43.DOC</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CompareRite found      32 change(s) in the text</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CompareRite found        2 change(s) in the notes</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ind w:hanging="709" w:start="1429"/>
        <w:jc w:val="start"/>
        <w:outlineLvl w:val="4"/>
        <w:rPr/>
      </w:pPr>
      <w:r>
        <w:rPr/>
        <w:t xml:space="preserve">Deletions appear as Overstrike text </w:t>
      </w:r>
    </w:p>
    <w:p>
      <w:pPr>
        <w:pStyle w:val="Heading5"/>
        <w:widowControl/>
        <w:numPr>
          <w:ilvl w:val="0"/>
          <w:numId w:val="0"/>
        </w:numPr>
        <w:tabs>
          <w:tab w:val="clear" w:pos="1418"/>
          <w:tab w:val="clear" w:pos="2126"/>
          <w:tab w:val="clear" w:pos="2835"/>
          <w:tab w:val="left" w:pos="1429" w:leader="none"/>
          <w:tab w:val="left" w:pos="3544" w:leader="none"/>
          <w:tab w:val="left" w:pos="4253" w:leader="none"/>
          <w:tab w:val="left" w:pos="4961" w:leader="none"/>
          <w:tab w:val="left" w:pos="5670" w:leader="none"/>
          <w:tab w:val="right" w:pos="8363" w:leader="none"/>
        </w:tabs>
        <w:bidi w:val="0"/>
        <w:spacing w:lineRule="atLeast" w:line="280" w:before="0" w:after="280"/>
        <w:ind w:hanging="709" w:start="1429"/>
        <w:jc w:val="start"/>
        <w:outlineLvl w:val="4"/>
        <w:rPr/>
      </w:pPr>
      <w:r>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418" w:footer="709" w:bottom="141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80"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80"/>
      <w:rPr/>
    </w:pPr>
    <w:r>
      <w:rPr/>
      <w:fldChar w:fldCharType="begin"/>
    </w:r>
    <w:r>
      <w:rPr/>
      <w:instrText xml:space="preserve"> DOCPROPERTY "udp_CMNumber"</w:instrText>
    </w:r>
    <w:r>
      <w:rPr/>
      <w:fldChar w:fldCharType="separate"/>
    </w:r>
    <w:r>
      <w:rPr/>
      <w:t>214686/11161</w:t>
    </w:r>
    <w:r>
      <w:rPr/>
      <w:fldChar w:fldCharType="end"/>
    </w:r>
    <w:r>
      <w:rPr/>
      <w:t xml:space="preserve">    </w:t>
    </w:r>
    <w:r>
      <w:rPr/>
      <w:fldChar w:fldCharType="begin"/>
    </w:r>
    <w:r>
      <w:rPr/>
      <w:instrText xml:space="preserve"> DOCPROPERTY "udp_DocID"</w:instrText>
    </w:r>
    <w:r>
      <w:rPr/>
      <w:fldChar w:fldCharType="separate"/>
    </w:r>
    <w:r>
      <w:rPr/>
      <w:t>CA003672492</w:t>
    </w:r>
    <w:r>
      <w:rPr/>
      <w:fldChar w:fldCharType="end"/>
    </w:r>
    <w:r>
      <w:rPr/>
      <w:t xml:space="preserve"> </w:t>
    </w:r>
    <w:r>
      <w:rPr/>
      <w:fldChar w:fldCharType="begin"/>
    </w:r>
    <w:r>
      <w:rPr/>
      <w:instrText xml:space="preserve"> DOCPROPERTY "udp_Author"</w:instrText>
    </w:r>
    <w:r>
      <w:rPr/>
      <w:fldChar w:fldCharType="separate"/>
    </w:r>
    <w:r>
      <w:rPr/>
      <w:t>GPXB</w:t>
    </w:r>
    <w:r>
      <w:rPr/>
      <w:fldChar w:fldCharType="end"/>
    </w:r>
    <w:r>
      <w:rPr/>
      <w:t xml:space="preserve"> </w:t>
    </w:r>
    <w:r>
      <w:rPr/>
      <w:fldChar w:fldCharType="begin" w:fldLock="true"/>
    </w:r>
    <w:r>
      <w:rPr/>
      <w:instrText xml:space="preserve"> DATE \@"ddMMyy\:HHmm" </w:instrText>
    </w:r>
    <w:r>
      <w:rPr/>
      <w:fldChar w:fldCharType="separate"/>
    </w:r>
    <w:r>
      <w:rPr/>
      <w:t>100418:0003</w:t>
    </w:r>
    <w:r>
      <w:rPr/>
      <w:fldChar w:fldCharType="end"/>
    </w:r>
  </w:p>
  <w:p>
    <w:pPr>
      <w:pStyle w:val="Footer"/>
      <w:widowControl/>
      <w:bidi w:val="0"/>
      <w:spacing w:lineRule="atLeast" w:line="280" w:before="0" w:after="2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80"/>
      <w:rPr/>
    </w:pPr>
    <w:r>
      <w:rPr/>
      <w:fldChar w:fldCharType="begin"/>
    </w:r>
    <w:r>
      <w:rPr/>
      <w:instrText xml:space="preserve"> DOCPROPERTY "udp_CMNumber"</w:instrText>
    </w:r>
    <w:r>
      <w:rPr/>
      <w:fldChar w:fldCharType="separate"/>
    </w:r>
    <w:r>
      <w:rPr/>
      <w:t>214686/11161</w:t>
    </w:r>
    <w:r>
      <w:rPr/>
      <w:fldChar w:fldCharType="end"/>
    </w:r>
    <w:r>
      <w:rPr/>
      <w:t xml:space="preserve">    </w:t>
    </w:r>
    <w:r>
      <w:rPr/>
      <w:fldChar w:fldCharType="begin"/>
    </w:r>
    <w:r>
      <w:rPr/>
      <w:instrText xml:space="preserve"> DOCPROPERTY "udp_DocID"</w:instrText>
    </w:r>
    <w:r>
      <w:rPr/>
      <w:fldChar w:fldCharType="separate"/>
    </w:r>
    <w:r>
      <w:rPr/>
      <w:t>CA003672492</w:t>
    </w:r>
    <w:r>
      <w:rPr/>
      <w:fldChar w:fldCharType="end"/>
    </w:r>
    <w:r>
      <w:rPr/>
      <w:t xml:space="preserve">    </w:t>
    </w:r>
    <w:r>
      <w:rPr/>
      <w:fldChar w:fldCharType="begin"/>
    </w:r>
    <w:r>
      <w:rPr/>
      <w:instrText xml:space="preserve"> DOCPROPERTY "udp_Author"</w:instrText>
    </w:r>
    <w:r>
      <w:rPr/>
      <w:fldChar w:fldCharType="separate"/>
    </w:r>
    <w:r>
      <w:rPr/>
      <w:t>GPXB</w:t>
    </w:r>
    <w:r>
      <w:rPr/>
      <w:fldChar w:fldCharType="end"/>
    </w:r>
    <w:r>
      <w:rPr/>
      <w:t xml:space="preserve">    </w:t>
    </w:r>
    <w:r>
      <w:rPr/>
      <w:fldChar w:fldCharType="begin" w:fldLock="true"/>
    </w:r>
    <w:r>
      <w:rPr/>
      <w:instrText xml:space="preserve"> DATE \@"ddMMyy\:HHmm" </w:instrText>
    </w:r>
    <w:r>
      <w:rPr/>
      <w:fldChar w:fldCharType="separate"/>
    </w:r>
    <w:r>
      <w:rPr/>
      <w:t>100418:0003</w:t>
    </w:r>
    <w:r>
      <w:rPr/>
      <w:fldChar w:fldCharType="end"/>
    </w:r>
  </w:p>
  <w:p>
    <w:pPr>
      <w:pStyle w:val="Footer"/>
      <w:widowControl/>
      <w:bidi w:val="0"/>
      <w:spacing w:lineRule="atLeast" w:line="280" w:before="0" w:after="2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80" w:before="0" w:after="28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80"/>
      <w:jc w:val="center"/>
      <w:rPr>
        <w:rStyle w:val="PageNumber"/>
      </w:rPr>
    </w:pPr>
    <w:r>
      <w:rPr>
        <w:rStyle w:val="PageNumber"/>
        <w:lang w:val="en-GB"/>
      </w:rPr>
      <w:fldChar w:fldCharType="begin"/>
    </w:r>
    <w:r>
      <w:rPr>
        <w:rStyle w:val="PageNumber"/>
        <w:lang w:val="en-GB"/>
      </w:rPr>
      <w:instrText xml:space="preserve"> PAGE </w:instrText>
    </w:r>
    <w:r>
      <w:rPr>
        <w:rStyle w:val="PageNumber"/>
        <w:lang w:val="en-GB"/>
      </w:rPr>
      <w:fldChar w:fldCharType="separate"/>
    </w:r>
    <w:r>
      <w:rPr>
        <w:rStyle w:val="PageNumber"/>
        <w:lang w:val="en-GB"/>
      </w:rPr>
      <w:t>19</w:t>
    </w:r>
    <w:r>
      <w:rPr>
        <w:rStyle w:val="PageNumber"/>
        <w:lang w:val="en-GB"/>
      </w:rPr>
      <w:fldChar w:fldCharType="end"/>
    </w:r>
  </w:p>
  <w:p>
    <w:pPr>
      <w:pStyle w:val="Header"/>
      <w:widowControl/>
      <w:bidi w:val="0"/>
      <w:spacing w:lineRule="atLeast" w:line="280" w:before="0" w:after="28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80" w:before="0" w:after="280"/>
      <w:jc w:val="start"/>
      <w:rPr/>
    </w:pPr>
    <w:r>
      <w:rPr/>
      <w:b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uppressAutoHyphens w:val="true"/>
      <w:bidi w:val="0"/>
      <w:spacing w:lineRule="atLeast" w:line="280" w:before="0" w:after="280"/>
    </w:pPr>
    <w:rPr>
      <w:rFonts w:ascii="Charter BT" w:hAnsi="Charter BT" w:eastAsia="Courier New" w:cs="Symbol"/>
      <w:color w:val="auto"/>
      <w:kern w:val="2"/>
      <w:sz w:val="20"/>
      <w:szCs w:val="24"/>
      <w:lang w:val="en-GB" w:eastAsia="zh-CN" w:bidi="hi-IN"/>
    </w:rPr>
  </w:style>
  <w:style w:type="paragraph" w:styleId="Heading1">
    <w:name w:val="heading 1"/>
    <w:basedOn w:val="Normal"/>
    <w:next w:val="Normal"/>
    <w:qFormat/>
    <w:pPr>
      <w:keepNext w:val="true"/>
      <w:widowControl w:val="false"/>
      <w:spacing w:lineRule="atLeast" w:line="280" w:before="0" w:after="280"/>
      <w:ind w:hanging="708" w:start="709"/>
    </w:pPr>
    <w:rPr>
      <w:rFonts w:ascii="Charter BT" w:hAnsi="Charter BT"/>
      <w:b/>
      <w:kern w:val="2"/>
      <w:sz w:val="20"/>
      <w:lang w:val="en-GB"/>
    </w:rPr>
  </w:style>
  <w:style w:type="paragraph" w:styleId="Heading2">
    <w:name w:val="heading 2"/>
    <w:basedOn w:val="Normal"/>
    <w:next w:val="Normal"/>
    <w:qFormat/>
    <w:pPr>
      <w:widowControl w:val="false"/>
      <w:spacing w:lineRule="atLeast" w:line="280" w:before="0" w:after="280"/>
      <w:ind w:hanging="709" w:start="709"/>
    </w:pPr>
    <w:rPr>
      <w:rFonts w:ascii="Charter BT" w:hAnsi="Charter BT"/>
      <w:b/>
      <w:kern w:val="2"/>
      <w:sz w:val="20"/>
      <w:lang w:val="en-GB"/>
    </w:rPr>
  </w:style>
  <w:style w:type="paragraph" w:styleId="Heading3">
    <w:name w:val="heading 3"/>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1418"/>
    </w:pPr>
    <w:rPr>
      <w:rFonts w:ascii="Charter BT" w:hAnsi="Charter BT"/>
      <w:kern w:val="2"/>
      <w:sz w:val="20"/>
      <w:lang w:val="en-GB"/>
    </w:rPr>
  </w:style>
  <w:style w:type="paragraph" w:styleId="Heading4">
    <w:name w:val="heading 4"/>
    <w:basedOn w:val="Normal"/>
    <w:next w:val="Normal"/>
    <w:qFormat/>
    <w:pPr>
      <w:widowControl w:val="false"/>
      <w:tabs>
        <w:tab w:val="clear" w:pos="709"/>
        <w:tab w:val="clear" w:pos="2126"/>
        <w:tab w:val="left" w:pos="1418" w:leader="none"/>
        <w:tab w:val="left" w:pos="2138"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8" w:start="2126"/>
    </w:pPr>
    <w:rPr>
      <w:rFonts w:ascii="Charter BT" w:hAnsi="Charter BT"/>
      <w:kern w:val="2"/>
      <w:sz w:val="20"/>
      <w:lang w:val="en-GB"/>
    </w:rPr>
  </w:style>
  <w:style w:type="paragraph" w:styleId="Heading5">
    <w:name w:val="heading 5"/>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2835"/>
    </w:pPr>
    <w:rPr>
      <w:rFonts w:ascii="Charter BT" w:hAnsi="Charter BT"/>
      <w:kern w:val="2"/>
      <w:sz w:val="20"/>
      <w:lang w:val="en-GB"/>
    </w:rPr>
  </w:style>
  <w:style w:type="paragraph" w:styleId="Heading6">
    <w:name w:val="heading 6"/>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3544"/>
    </w:pPr>
    <w:rPr>
      <w:rFonts w:ascii="Charter BT" w:hAnsi="Charter BT"/>
      <w:kern w:val="2"/>
      <w:sz w:val="20"/>
      <w:lang w:val="en-GB"/>
    </w:rPr>
  </w:style>
  <w:style w:type="paragraph" w:styleId="Heading7">
    <w:name w:val="heading 7"/>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4253"/>
    </w:pPr>
    <w:rPr>
      <w:rFonts w:ascii="Charter BT" w:hAnsi="Charter BT"/>
      <w:kern w:val="2"/>
      <w:sz w:val="20"/>
      <w:lang w:val="en-GB"/>
    </w:rPr>
  </w:style>
  <w:style w:type="paragraph" w:styleId="Heading8">
    <w:name w:val="heading 8"/>
    <w:basedOn w:val="Normal"/>
    <w:next w:val="Normal"/>
    <w:qFormat/>
    <w:pPr>
      <w:widowControl w:val="false"/>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8" w:start="4961"/>
    </w:pPr>
    <w:rPr>
      <w:rFonts w:ascii="Charter BT" w:hAnsi="Charter BT"/>
      <w:kern w:val="2"/>
      <w:sz w:val="20"/>
      <w:lang w:val="en-GB"/>
    </w:rPr>
  </w:style>
  <w:style w:type="paragraph" w:styleId="Heading9">
    <w:name w:val="heading 9"/>
    <w:basedOn w:val="Normal"/>
    <w:next w:val="Normal"/>
    <w:qFormat/>
    <w:pPr>
      <w:widowControl w:val="false"/>
      <w:tabs>
        <w:tab w:val="clear" w:pos="709"/>
        <w:tab w:val="clear" w:pos="5670"/>
        <w:tab w:val="left" w:pos="1418" w:leader="none"/>
        <w:tab w:val="left" w:pos="2126" w:leader="none"/>
        <w:tab w:val="left" w:pos="2835" w:leader="none"/>
        <w:tab w:val="left" w:pos="3544" w:leader="none"/>
        <w:tab w:val="left" w:pos="4253" w:leader="none"/>
        <w:tab w:val="left" w:pos="4961" w:leader="none"/>
        <w:tab w:val="left" w:pos="5681" w:leader="none"/>
        <w:tab w:val="right" w:pos="8363" w:leader="none"/>
      </w:tabs>
      <w:spacing w:lineRule="atLeast" w:line="280" w:before="0" w:after="280"/>
      <w:ind w:hanging="709" w:start="5670"/>
    </w:pPr>
    <w:rPr>
      <w:rFonts w:ascii="Charter BT" w:hAnsi="Charter BT"/>
      <w:kern w:val="2"/>
      <w:sz w:val="20"/>
      <w:lang w:val="en-GB"/>
    </w:rPr>
  </w:style>
  <w:style w:type="character" w:styleId="DefaultParagraphFont">
    <w:name w:val="Default Paragraph Font"/>
    <w:qFormat/>
    <w:rPr/>
  </w:style>
  <w:style w:type="character" w:styleId="PageNumber">
    <w:name w:val="page number"/>
    <w:basedOn w:val="DefaultParagraphFont"/>
    <w:rPr>
      <w:kern w:val="2"/>
      <w:sz w:val="20"/>
    </w:rPr>
  </w:style>
  <w:style w:type="character" w:styleId="AnnotationReference">
    <w:name w:val="Annotation Reference"/>
    <w:basedOn w:val="DefaultParagraphFont"/>
    <w:qFormat/>
    <w:rPr>
      <w:i/>
      <w:kern w:val="2"/>
      <w:sz w:val="16"/>
      <w:vertAlign w:val="superscript"/>
    </w:rPr>
  </w:style>
  <w:style w:type="character" w:styleId="EndnoteCharacters">
    <w:name w:val="Endnote Characters"/>
    <w:basedOn w:val="DefaultParagraphFont"/>
    <w:qFormat/>
    <w:rPr>
      <w:b/>
      <w:kern w:val="2"/>
      <w:sz w:val="14"/>
      <w:vertAlign w:val="superscript"/>
    </w:rPr>
  </w:style>
  <w:style w:type="character" w:styleId="EndnoteReference">
    <w:name w:val="endnote reference"/>
    <w:rPr>
      <w:b/>
      <w:kern w:val="2"/>
      <w:sz w:val="14"/>
      <w:vertAlign w:val="superscript"/>
    </w:rPr>
  </w:style>
  <w:style w:type="character" w:styleId="LineNumber">
    <w:name w:val="line number"/>
    <w:basedOn w:val="DefaultParagraphFont"/>
    <w:rPr>
      <w:kern w:val="2"/>
      <w:sz w:val="20"/>
    </w:rPr>
  </w:style>
  <w:style w:type="character" w:styleId="FootnoteCharacters">
    <w:name w:val="Footnote Characters"/>
    <w:basedOn w:val="DefaultParagraphFont"/>
    <w:qFormat/>
    <w:rPr>
      <w:b/>
      <w:kern w:val="2"/>
      <w:sz w:val="14"/>
      <w:vertAlign w:val="superscript"/>
    </w:rPr>
  </w:style>
  <w:style w:type="character" w:styleId="FootnoteReference">
    <w:name w:val="footnote reference"/>
    <w:rPr>
      <w:b/>
      <w:kern w:val="2"/>
      <w:sz w:val="14"/>
      <w:vertAlign w:val="superscript"/>
    </w:rPr>
  </w:style>
  <w:style w:type="paragraph" w:styleId="Heading">
    <w:name w:val="Heading"/>
    <w:basedOn w:val="Normal"/>
    <w:next w:val="Normal"/>
    <w:qFormat/>
    <w:pPr>
      <w:keepNext w:val="true"/>
      <w:keepLines/>
      <w:widowControl w:val="false"/>
      <w:spacing w:lineRule="atLeast" w:line="280" w:before="0" w:after="280"/>
    </w:pPr>
    <w:rPr>
      <w:rFonts w:ascii="Charter BT" w:hAnsi="Charter BT"/>
      <w:kern w:val="2"/>
      <w:sz w:val="20"/>
      <w:lang w:val="en-GB"/>
    </w:rPr>
  </w:style>
  <w:style w:type="paragraph" w:styleId="BodyText">
    <w:name w:val="Body Text"/>
    <w:basedOn w:val="Normal"/>
    <w:pPr>
      <w:widowControl w:val="false"/>
      <w:spacing w:lineRule="atLeast" w:line="280" w:before="0" w:after="120"/>
    </w:pPr>
    <w:rPr>
      <w:rFonts w:ascii="Charter BT" w:hAnsi="Charter BT"/>
      <w:kern w:val="2"/>
      <w:sz w:val="20"/>
      <w:lang w:val="en-GB"/>
    </w:rPr>
  </w:style>
  <w:style w:type="paragraph" w:styleId="List">
    <w:name w:val="List"/>
    <w:basedOn w:val="Normal"/>
    <w:pPr>
      <w:widowControl w:val="false"/>
      <w:spacing w:lineRule="atLeast" w:line="280" w:before="0" w:after="280"/>
      <w:ind w:hanging="283" w:start="283"/>
    </w:pPr>
    <w:rPr>
      <w:rFonts w:ascii="Charter BT" w:hAnsi="Charter BT"/>
      <w:kern w:val="2"/>
      <w:sz w:val="20"/>
      <w:lang w:val="en-GB"/>
    </w:rPr>
  </w:style>
  <w:style w:type="paragraph" w:styleId="Caption">
    <w:name w:val="caption"/>
    <w:basedOn w:val="Normal"/>
    <w:next w:val="Normal"/>
    <w:qFormat/>
    <w:pPr>
      <w:keepNext w:val="true"/>
      <w:widowControl w:val="false"/>
      <w:spacing w:lineRule="atLeast" w:line="280" w:before="0" w:after="280"/>
    </w:pPr>
    <w:rPr>
      <w:rFonts w:ascii="Charter BT" w:hAnsi="Charter BT"/>
      <w:b/>
      <w:kern w:val="2"/>
      <w:sz w:val="20"/>
      <w:lang w:val="en-GB"/>
    </w:rPr>
  </w:style>
  <w:style w:type="paragraph" w:styleId="Index">
    <w:name w:val="Index"/>
    <w:basedOn w:val="Normal"/>
    <w:qFormat/>
    <w:pPr>
      <w:suppressLineNumbers/>
    </w:pPr>
    <w:rPr>
      <w:rFonts w:cs="NotoSans NF"/>
    </w:rPr>
  </w:style>
  <w:style w:type="paragraph" w:styleId="FrontSheet">
    <w:name w:val="FrontSheet"/>
    <w:basedOn w:val="Normal"/>
    <w:qFormat/>
    <w:pPr>
      <w:widowControl w:val="false"/>
      <w:spacing w:lineRule="atLeast" w:line="280" w:before="0" w:after="280"/>
    </w:pPr>
    <w:rPr>
      <w:rFonts w:ascii="Charter BT" w:hAnsi="Charter BT"/>
      <w:kern w:val="2"/>
      <w:sz w:val="20"/>
      <w:lang w:val="en-GB"/>
    </w:rPr>
  </w:style>
  <w:style w:type="paragraph" w:styleId="HeaderandFooter">
    <w:name w:val="Header and Footer"/>
    <w:basedOn w:val="Normal"/>
    <w:qFormat/>
    <w:pPr/>
    <w:rPr/>
  </w:style>
  <w:style w:type="paragraph" w:styleId="Header">
    <w:name w:val="header"/>
    <w:basedOn w:val="Normal"/>
    <w:pPr>
      <w:widowControl w:val="false"/>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spacing w:lineRule="atLeast" w:line="280" w:before="0" w:after="280"/>
    </w:pPr>
    <w:rPr>
      <w:rFonts w:ascii="Charter BT" w:hAnsi="Charter BT"/>
      <w:kern w:val="2"/>
      <w:sz w:val="20"/>
      <w:lang w:val="en-GB"/>
    </w:rPr>
  </w:style>
  <w:style w:type="paragraph" w:styleId="Footer">
    <w:name w:val="footer"/>
    <w:basedOn w:val="Normal"/>
    <w:pPr>
      <w:widowControl w:val="false"/>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spacing w:lineRule="atLeast" w:line="280" w:before="0" w:after="280"/>
      <w:jc w:val="center"/>
    </w:pPr>
    <w:rPr>
      <w:rFonts w:ascii="Charter BT" w:hAnsi="Charter BT"/>
      <w:kern w:val="2"/>
      <w:sz w:val="12"/>
      <w:lang w:val="en-GB"/>
    </w:rPr>
  </w:style>
  <w:style w:type="paragraph" w:styleId="BodyText2">
    <w:name w:val="Body Text 2"/>
    <w:basedOn w:val="Normal"/>
    <w:qFormat/>
    <w:pPr>
      <w:widowControl w:val="false"/>
      <w:spacing w:lineRule="atLeast" w:line="280" w:before="0" w:after="120"/>
      <w:ind w:hanging="0" w:start="283"/>
    </w:pPr>
    <w:rPr>
      <w:rFonts w:ascii="Charter BT" w:hAnsi="Charter BT"/>
      <w:kern w:val="2"/>
      <w:sz w:val="20"/>
      <w:lang w:val="en-GB"/>
    </w:rPr>
  </w:style>
  <w:style w:type="paragraph" w:styleId="EnvelopeAddress">
    <w:name w:val="envelope address"/>
    <w:basedOn w:val="Normal"/>
    <w:pPr>
      <w:widowControl w:val="false"/>
      <w:spacing w:lineRule="atLeast" w:line="280" w:before="0" w:after="280"/>
      <w:ind w:hanging="0" w:start="2880"/>
    </w:pPr>
    <w:rPr>
      <w:rFonts w:ascii="Charter BT" w:hAnsi="Charter BT"/>
      <w:kern w:val="2"/>
      <w:lang w:val="en-GB"/>
    </w:rPr>
  </w:style>
  <w:style w:type="paragraph" w:styleId="Closing">
    <w:name w:val="Closing"/>
    <w:basedOn w:val="Normal"/>
    <w:pPr>
      <w:widowControl w:val="false"/>
      <w:spacing w:lineRule="atLeast" w:line="280" w:before="0" w:after="280"/>
      <w:ind w:hanging="0" w:start="4252"/>
    </w:pPr>
    <w:rPr>
      <w:rFonts w:ascii="Charter BT" w:hAnsi="Charter BT"/>
      <w:kern w:val="2"/>
      <w:sz w:val="20"/>
      <w:lang w:val="en-GB"/>
    </w:rPr>
  </w:style>
  <w:style w:type="paragraph" w:styleId="EnvelopeReturn">
    <w:name w:val="envelope return"/>
    <w:basedOn w:val="Normal"/>
    <w:pPr>
      <w:widowControl w:val="false"/>
      <w:spacing w:lineRule="atLeast" w:line="280" w:before="0" w:after="280"/>
    </w:pPr>
    <w:rPr>
      <w:rFonts w:ascii="Charter BT" w:hAnsi="Charter BT"/>
      <w:kern w:val="2"/>
      <w:sz w:val="20"/>
      <w:lang w:val="en-GB"/>
    </w:rPr>
  </w:style>
  <w:style w:type="paragraph" w:styleId="EndnoteText">
    <w:name w:val="endnote text"/>
    <w:basedOn w:val="Normal"/>
    <w:pPr>
      <w:widowControl w:val="false"/>
      <w:spacing w:lineRule="atLeast" w:line="220" w:before="0" w:after="200"/>
      <w:ind w:hanging="170" w:start="170"/>
    </w:pPr>
    <w:rPr>
      <w:rFonts w:ascii="Charter BT" w:hAnsi="Charter BT"/>
      <w:kern w:val="2"/>
      <w:sz w:val="16"/>
      <w:lang w:val="en-GB"/>
    </w:rPr>
  </w:style>
  <w:style w:type="paragraph" w:styleId="Index1">
    <w:name w:val="index 1"/>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right" w:pos="8363" w:leader="dot"/>
      </w:tabs>
      <w:spacing w:lineRule="atLeast" w:line="280" w:before="0" w:after="120"/>
      <w:ind w:hanging="284" w:start="284"/>
    </w:pPr>
    <w:rPr>
      <w:rFonts w:ascii="Charter BT" w:hAnsi="Charter BT"/>
      <w:kern w:val="2"/>
      <w:sz w:val="20"/>
      <w:lang w:val="en-GB"/>
    </w:rPr>
  </w:style>
  <w:style w:type="paragraph" w:styleId="Index2">
    <w:name w:val="index 2"/>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right" w:pos="8363" w:leader="dot"/>
      </w:tabs>
      <w:spacing w:lineRule="atLeast" w:line="280" w:before="0" w:after="120"/>
      <w:ind w:hanging="284" w:start="993"/>
    </w:pPr>
    <w:rPr>
      <w:rFonts w:ascii="Charter BT" w:hAnsi="Charter BT"/>
      <w:kern w:val="2"/>
      <w:sz w:val="20"/>
      <w:lang w:val="en-GB"/>
    </w:rPr>
  </w:style>
  <w:style w:type="paragraph" w:styleId="Index3">
    <w:name w:val="index 3"/>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600"/>
    </w:pPr>
    <w:rPr>
      <w:rFonts w:ascii="Charter BT" w:hAnsi="Charter BT"/>
      <w:kern w:val="2"/>
      <w:sz w:val="20"/>
      <w:lang w:val="en-GB"/>
    </w:rPr>
  </w:style>
  <w:style w:type="paragraph" w:styleId="Index4">
    <w:name w:val="index 4"/>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800"/>
    </w:pPr>
    <w:rPr>
      <w:rFonts w:ascii="Charter BT" w:hAnsi="Charter BT"/>
      <w:kern w:val="2"/>
      <w:sz w:val="20"/>
      <w:lang w:val="en-GB"/>
    </w:rPr>
  </w:style>
  <w:style w:type="paragraph" w:styleId="Index5">
    <w:name w:val="index 5"/>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000"/>
    </w:pPr>
    <w:rPr>
      <w:rFonts w:ascii="Charter BT" w:hAnsi="Charter BT"/>
      <w:kern w:val="2"/>
      <w:sz w:val="20"/>
      <w:lang w:val="en-GB"/>
    </w:rPr>
  </w:style>
  <w:style w:type="paragraph" w:styleId="Index6">
    <w:name w:val="index 6"/>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200"/>
    </w:pPr>
    <w:rPr>
      <w:rFonts w:ascii="Charter BT" w:hAnsi="Charter BT"/>
      <w:kern w:val="2"/>
      <w:sz w:val="20"/>
      <w:lang w:val="en-GB"/>
    </w:rPr>
  </w:style>
  <w:style w:type="paragraph" w:styleId="Index7">
    <w:name w:val="index 7"/>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709" w:start="4253"/>
    </w:pPr>
    <w:rPr>
      <w:rFonts w:ascii="Charter BT" w:hAnsi="Charter BT"/>
      <w:kern w:val="2"/>
      <w:sz w:val="20"/>
      <w:lang w:val="en-GB"/>
    </w:rPr>
  </w:style>
  <w:style w:type="paragraph" w:styleId="Index8">
    <w:name w:val="index 8"/>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600"/>
    </w:pPr>
    <w:rPr>
      <w:rFonts w:ascii="Charter BT" w:hAnsi="Charter BT"/>
      <w:kern w:val="2"/>
      <w:sz w:val="20"/>
      <w:lang w:val="en-GB"/>
    </w:rPr>
  </w:style>
  <w:style w:type="paragraph" w:styleId="Index9">
    <w:name w:val="index 9"/>
    <w:basedOn w:val="Normal"/>
    <w:next w:val="Normal"/>
    <w:autoRedefine/>
    <w:qFormat/>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200" w:start="1800"/>
    </w:pPr>
    <w:rPr>
      <w:rFonts w:ascii="Charter BT" w:hAnsi="Charter BT"/>
      <w:kern w:val="2"/>
      <w:sz w:val="20"/>
      <w:lang w:val="en-GB"/>
    </w:rPr>
  </w:style>
  <w:style w:type="paragraph" w:styleId="IndexHeading">
    <w:name w:val="index heading"/>
    <w:basedOn w:val="Normal"/>
    <w:next w:val="Index1"/>
    <w:pPr>
      <w:widowControl w:val="false"/>
      <w:spacing w:lineRule="atLeast" w:line="280" w:before="0" w:after="280"/>
    </w:pPr>
    <w:rPr>
      <w:rFonts w:ascii="Charter BT" w:hAnsi="Charter BT"/>
      <w:kern w:val="2"/>
      <w:sz w:val="20"/>
      <w:lang w:val="en-GB"/>
    </w:rPr>
  </w:style>
  <w:style w:type="paragraph" w:styleId="List2">
    <w:name w:val="List 2"/>
    <w:basedOn w:val="Normal"/>
    <w:qFormat/>
    <w:pPr>
      <w:widowControl w:val="false"/>
      <w:spacing w:lineRule="atLeast" w:line="280" w:before="0" w:after="280"/>
      <w:ind w:hanging="283" w:start="566"/>
    </w:pPr>
    <w:rPr>
      <w:rFonts w:ascii="Charter BT" w:hAnsi="Charter BT"/>
      <w:kern w:val="2"/>
      <w:sz w:val="20"/>
      <w:lang w:val="en-GB"/>
    </w:rPr>
  </w:style>
  <w:style w:type="paragraph" w:styleId="List3">
    <w:name w:val="List 3"/>
    <w:basedOn w:val="Normal"/>
    <w:qFormat/>
    <w:pPr>
      <w:widowControl w:val="false"/>
      <w:spacing w:lineRule="atLeast" w:line="280" w:before="0" w:after="280"/>
      <w:ind w:hanging="283" w:start="849"/>
    </w:pPr>
    <w:rPr>
      <w:rFonts w:ascii="Charter BT" w:hAnsi="Charter BT"/>
      <w:kern w:val="2"/>
      <w:sz w:val="20"/>
      <w:lang w:val="en-GB"/>
    </w:rPr>
  </w:style>
  <w:style w:type="paragraph" w:styleId="List4">
    <w:name w:val="List 4"/>
    <w:basedOn w:val="Normal"/>
    <w:qFormat/>
    <w:pPr>
      <w:widowControl w:val="false"/>
      <w:spacing w:lineRule="atLeast" w:line="280" w:before="0" w:after="280"/>
      <w:ind w:hanging="283" w:start="1132"/>
    </w:pPr>
    <w:rPr>
      <w:rFonts w:ascii="Charter BT" w:hAnsi="Charter BT"/>
      <w:kern w:val="2"/>
      <w:sz w:val="20"/>
      <w:lang w:val="en-GB"/>
    </w:rPr>
  </w:style>
  <w:style w:type="paragraph" w:styleId="List5">
    <w:name w:val="List 5"/>
    <w:basedOn w:val="Normal"/>
    <w:qFormat/>
    <w:pPr>
      <w:widowControl w:val="false"/>
      <w:spacing w:lineRule="atLeast" w:line="280" w:before="0" w:after="280"/>
      <w:ind w:hanging="283" w:start="1415"/>
    </w:pPr>
    <w:rPr>
      <w:rFonts w:ascii="Charter BT" w:hAnsi="Charter BT"/>
      <w:kern w:val="2"/>
      <w:sz w:val="20"/>
      <w:lang w:val="en-GB"/>
    </w:rPr>
  </w:style>
  <w:style w:type="paragraph" w:styleId="ListContinue">
    <w:name w:val="List Continue"/>
    <w:basedOn w:val="Normal"/>
    <w:pPr>
      <w:widowControl w:val="false"/>
      <w:spacing w:lineRule="atLeast" w:line="280" w:before="0" w:after="120"/>
      <w:ind w:hanging="0" w:start="283"/>
    </w:pPr>
    <w:rPr>
      <w:rFonts w:ascii="Charter BT" w:hAnsi="Charter BT"/>
      <w:kern w:val="2"/>
      <w:sz w:val="20"/>
      <w:lang w:val="en-GB"/>
    </w:rPr>
  </w:style>
  <w:style w:type="paragraph" w:styleId="ListContinue2">
    <w:name w:val="List Continue 2"/>
    <w:basedOn w:val="Normal"/>
    <w:pPr>
      <w:widowControl w:val="false"/>
      <w:spacing w:lineRule="atLeast" w:line="280" w:before="0" w:after="120"/>
      <w:ind w:hanging="0" w:start="566"/>
    </w:pPr>
    <w:rPr>
      <w:rFonts w:ascii="Charter BT" w:hAnsi="Charter BT"/>
      <w:kern w:val="2"/>
      <w:sz w:val="20"/>
      <w:lang w:val="en-GB"/>
    </w:rPr>
  </w:style>
  <w:style w:type="paragraph" w:styleId="ListContinue3">
    <w:name w:val="List Continue 3"/>
    <w:basedOn w:val="Normal"/>
    <w:pPr>
      <w:widowControl w:val="false"/>
      <w:spacing w:lineRule="atLeast" w:line="280" w:before="0" w:after="120"/>
      <w:ind w:hanging="0" w:start="849"/>
    </w:pPr>
    <w:rPr>
      <w:rFonts w:ascii="Charter BT" w:hAnsi="Charter BT"/>
      <w:kern w:val="2"/>
      <w:sz w:val="20"/>
      <w:lang w:val="en-GB"/>
    </w:rPr>
  </w:style>
  <w:style w:type="paragraph" w:styleId="ListContinue4">
    <w:name w:val="List Continue 4"/>
    <w:basedOn w:val="Normal"/>
    <w:pPr>
      <w:widowControl w:val="false"/>
      <w:spacing w:lineRule="atLeast" w:line="280" w:before="0" w:after="120"/>
      <w:ind w:hanging="0" w:start="1132"/>
    </w:pPr>
    <w:rPr>
      <w:rFonts w:ascii="Charter BT" w:hAnsi="Charter BT"/>
      <w:kern w:val="2"/>
      <w:sz w:val="20"/>
      <w:lang w:val="en-GB"/>
    </w:rPr>
  </w:style>
  <w:style w:type="paragraph" w:styleId="ListContinue5">
    <w:name w:val="List Continue 5"/>
    <w:basedOn w:val="Normal"/>
    <w:pPr>
      <w:widowControl w:val="false"/>
      <w:spacing w:lineRule="atLeast" w:line="280" w:before="0" w:after="120"/>
      <w:ind w:hanging="0" w:start="1415"/>
    </w:pPr>
    <w:rPr>
      <w:rFonts w:ascii="Charter BT" w:hAnsi="Charter BT"/>
      <w:kern w:val="2"/>
      <w:sz w:val="20"/>
      <w:lang w:val="en-GB"/>
    </w:rPr>
  </w:style>
  <w:style w:type="paragraph" w:styleId="ListNumber">
    <w:name w:val="List Number"/>
    <w:basedOn w:val="Normal"/>
    <w:pPr>
      <w:widowControl w:val="false"/>
      <w:spacing w:lineRule="atLeast" w:line="280" w:before="0" w:after="280"/>
      <w:ind w:hanging="283" w:start="283"/>
    </w:pPr>
    <w:rPr>
      <w:rFonts w:ascii="Charter BT" w:hAnsi="Charter BT"/>
      <w:kern w:val="2"/>
      <w:sz w:val="20"/>
      <w:lang w:val="en-GB"/>
    </w:rPr>
  </w:style>
  <w:style w:type="paragraph" w:styleId="ListNumber2">
    <w:name w:val="List Number 2"/>
    <w:basedOn w:val="Normal"/>
    <w:pPr>
      <w:widowControl w:val="false"/>
      <w:spacing w:lineRule="atLeast" w:line="280" w:before="0" w:after="280"/>
      <w:ind w:hanging="283" w:start="566"/>
    </w:pPr>
    <w:rPr>
      <w:rFonts w:ascii="Charter BT" w:hAnsi="Charter BT"/>
      <w:kern w:val="2"/>
      <w:sz w:val="20"/>
      <w:lang w:val="en-GB"/>
    </w:rPr>
  </w:style>
  <w:style w:type="paragraph" w:styleId="ListNumber3">
    <w:name w:val="List Number 3"/>
    <w:basedOn w:val="Normal"/>
    <w:pPr>
      <w:widowControl w:val="false"/>
      <w:spacing w:lineRule="atLeast" w:line="280" w:before="0" w:after="280"/>
      <w:ind w:hanging="283" w:start="849"/>
    </w:pPr>
    <w:rPr>
      <w:rFonts w:ascii="Charter BT" w:hAnsi="Charter BT"/>
      <w:kern w:val="2"/>
      <w:sz w:val="20"/>
      <w:lang w:val="en-GB"/>
    </w:rPr>
  </w:style>
  <w:style w:type="paragraph" w:styleId="ListNumber4">
    <w:name w:val="List Number 4"/>
    <w:basedOn w:val="Normal"/>
    <w:pPr>
      <w:widowControl w:val="false"/>
      <w:spacing w:lineRule="atLeast" w:line="280" w:before="0" w:after="280"/>
      <w:ind w:hanging="283" w:start="1132"/>
    </w:pPr>
    <w:rPr>
      <w:rFonts w:ascii="Charter BT" w:hAnsi="Charter BT"/>
      <w:kern w:val="2"/>
      <w:sz w:val="20"/>
      <w:lang w:val="en-GB"/>
    </w:rPr>
  </w:style>
  <w:style w:type="paragraph" w:styleId="ListNumber5">
    <w:name w:val="List Number 5"/>
    <w:basedOn w:val="Normal"/>
    <w:pPr>
      <w:widowControl w:val="false"/>
      <w:spacing w:lineRule="atLeast" w:line="280" w:before="0" w:after="280"/>
      <w:ind w:hanging="283" w:start="1415"/>
    </w:pPr>
    <w:rPr>
      <w:rFonts w:ascii="Charter BT" w:hAnsi="Charter BT"/>
      <w:kern w:val="2"/>
      <w:sz w:val="20"/>
      <w:lang w:val="en-GB"/>
    </w:rPr>
  </w:style>
  <w:style w:type="paragraph" w:styleId="MessageHeader">
    <w:name w:val="Message Header"/>
    <w:basedOn w:val="Normal"/>
    <w:qFormat/>
    <w:pPr>
      <w:widowControl w:val="false"/>
      <w:spacing w:lineRule="atLeast" w:line="280" w:before="0" w:after="280"/>
      <w:ind w:hanging="1134" w:start="1134"/>
    </w:pPr>
    <w:rPr>
      <w:rFonts w:ascii="Arial" w:hAnsi="Arial"/>
      <w:kern w:val="2"/>
      <w:lang w:val="en-GB"/>
    </w:rPr>
  </w:style>
  <w:style w:type="paragraph" w:styleId="Signature">
    <w:name w:val="Signature"/>
    <w:basedOn w:val="Normal"/>
    <w:pPr>
      <w:widowControl w:val="false"/>
      <w:spacing w:lineRule="atLeast" w:line="280" w:before="0" w:after="280"/>
      <w:ind w:hanging="0" w:start="4252"/>
    </w:pPr>
    <w:rPr>
      <w:rFonts w:ascii="Charter BT" w:hAnsi="Charter BT"/>
      <w:kern w:val="2"/>
      <w:sz w:val="20"/>
      <w:lang w:val="en-GB"/>
    </w:rPr>
  </w:style>
  <w:style w:type="paragraph" w:styleId="Subtitle">
    <w:name w:val="Subtitle"/>
    <w:basedOn w:val="Normal"/>
    <w:qFormat/>
    <w:pPr>
      <w:widowControl w:val="false"/>
      <w:spacing w:lineRule="atLeast" w:line="280" w:before="0" w:after="60"/>
      <w:jc w:val="center"/>
    </w:pPr>
    <w:rPr>
      <w:rFonts w:ascii="Arial" w:hAnsi="Arial"/>
      <w:i/>
      <w:kern w:val="2"/>
      <w:lang w:val="en-GB"/>
    </w:rPr>
  </w:style>
  <w:style w:type="paragraph" w:styleId="Title">
    <w:name w:val="Title"/>
    <w:basedOn w:val="Normal"/>
    <w:qFormat/>
    <w:pPr>
      <w:widowControl w:val="false"/>
      <w:spacing w:lineRule="atLeast" w:line="280" w:before="240" w:after="60"/>
      <w:jc w:val="center"/>
    </w:pPr>
    <w:rPr>
      <w:rFonts w:ascii="Arial" w:hAnsi="Arial"/>
      <w:b/>
      <w:kern w:val="2"/>
      <w:sz w:val="32"/>
      <w:lang w:val="en-GB"/>
    </w:rPr>
  </w:style>
  <w:style w:type="paragraph" w:styleId="toaheading">
    <w:name w:val="toa heading"/>
    <w:basedOn w:val="Normal"/>
    <w:next w:val="Normal"/>
    <w:qFormat/>
    <w:pPr>
      <w:widowControl w:val="false"/>
      <w:spacing w:lineRule="atLeast" w:line="280" w:before="120" w:after="280"/>
    </w:pPr>
    <w:rPr>
      <w:rFonts w:ascii="Arial" w:hAnsi="Arial"/>
      <w:b/>
      <w:kern w:val="2"/>
      <w:lang w:val="en-GB"/>
    </w:rPr>
  </w:style>
  <w:style w:type="paragraph" w:styleId="TOC1">
    <w:name w:val="toc 1"/>
    <w:basedOn w:val="Normal"/>
    <w:next w:val="Normal"/>
    <w:autoRedefine/>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OC2">
    <w:name w:val="toc 2"/>
    <w:basedOn w:val="Normal"/>
    <w:next w:val="Normal"/>
    <w:autoRedefine/>
    <w:pPr>
      <w:widowControl w:val="false"/>
      <w:tabs>
        <w:tab w:val="clear" w:pos="709"/>
        <w:tab w:val="clear" w:pos="2126"/>
        <w:tab w:val="clear" w:pos="2835"/>
        <w:tab w:val="clear" w:pos="3544"/>
        <w:tab w:val="clear" w:pos="4253"/>
        <w:tab w:val="clear" w:pos="4961"/>
        <w:tab w:val="clear" w:pos="5670"/>
        <w:tab w:val="left" w:pos="1418" w:leader="none"/>
        <w:tab w:val="right" w:pos="8363" w:leader="none"/>
      </w:tabs>
      <w:spacing w:lineRule="atLeast" w:line="280" w:before="0" w:after="280"/>
      <w:ind w:hanging="0" w:start="709"/>
    </w:pPr>
    <w:rPr>
      <w:rFonts w:ascii="Charter BT" w:hAnsi="Charter BT"/>
      <w:kern w:val="2"/>
      <w:sz w:val="20"/>
      <w:lang w:val="en-GB"/>
    </w:rPr>
  </w:style>
  <w:style w:type="paragraph" w:styleId="TOC3">
    <w:name w:val="toc 3"/>
    <w:basedOn w:val="Normal"/>
    <w:next w:val="Normal"/>
    <w:autoRedefine/>
    <w:pPr>
      <w:widowControl w:val="false"/>
      <w:tabs>
        <w:tab w:val="clear" w:pos="709"/>
        <w:tab w:val="clear" w:pos="2126"/>
        <w:tab w:val="clear" w:pos="2835"/>
        <w:tab w:val="clear" w:pos="3544"/>
        <w:tab w:val="clear" w:pos="4253"/>
        <w:tab w:val="clear" w:pos="4961"/>
        <w:tab w:val="clear" w:pos="5670"/>
        <w:tab w:val="left" w:pos="1418" w:leader="none"/>
        <w:tab w:val="right" w:pos="8363" w:leader="none"/>
      </w:tabs>
      <w:spacing w:lineRule="atLeast" w:line="280" w:before="0" w:after="280"/>
      <w:ind w:hanging="0" w:start="709"/>
    </w:pPr>
    <w:rPr>
      <w:rFonts w:ascii="Charter BT" w:hAnsi="Charter BT"/>
      <w:kern w:val="2"/>
      <w:sz w:val="20"/>
      <w:lang w:val="en-GB"/>
    </w:rPr>
  </w:style>
  <w:style w:type="paragraph" w:styleId="TOC4">
    <w:name w:val="toc 4"/>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600"/>
    </w:pPr>
    <w:rPr>
      <w:rFonts w:ascii="Charter BT" w:hAnsi="Charter BT"/>
      <w:kern w:val="2"/>
      <w:sz w:val="20"/>
      <w:lang w:val="en-GB"/>
    </w:rPr>
  </w:style>
  <w:style w:type="paragraph" w:styleId="TOC5">
    <w:name w:val="toc 5"/>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800"/>
    </w:pPr>
    <w:rPr>
      <w:rFonts w:ascii="Charter BT" w:hAnsi="Charter BT"/>
      <w:kern w:val="2"/>
      <w:sz w:val="20"/>
      <w:lang w:val="en-GB"/>
    </w:rPr>
  </w:style>
  <w:style w:type="paragraph" w:styleId="TOC6">
    <w:name w:val="toc 6"/>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000"/>
    </w:pPr>
    <w:rPr>
      <w:rFonts w:ascii="Charter BT" w:hAnsi="Charter BT"/>
      <w:kern w:val="2"/>
      <w:sz w:val="20"/>
      <w:lang w:val="en-GB"/>
    </w:rPr>
  </w:style>
  <w:style w:type="paragraph" w:styleId="TOC7">
    <w:name w:val="toc 7"/>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200"/>
    </w:pPr>
    <w:rPr>
      <w:rFonts w:ascii="Charter BT" w:hAnsi="Charter BT"/>
      <w:kern w:val="2"/>
      <w:sz w:val="20"/>
      <w:lang w:val="en-GB"/>
    </w:rPr>
  </w:style>
  <w:style w:type="paragraph" w:styleId="TOC8">
    <w:name w:val="toc 8"/>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400"/>
    </w:pPr>
    <w:rPr>
      <w:rFonts w:ascii="Charter BT" w:hAnsi="Charter BT"/>
      <w:kern w:val="2"/>
      <w:sz w:val="20"/>
      <w:lang w:val="en-GB"/>
    </w:rPr>
  </w:style>
  <w:style w:type="paragraph" w:styleId="TOC9">
    <w:name w:val="toc 9"/>
    <w:basedOn w:val="Normal"/>
    <w:next w:val="Normal"/>
    <w:autoRedefine/>
    <w:pPr>
      <w:widowControl w:val="false"/>
      <w:tabs>
        <w:tab w:val="clear" w:pos="709"/>
        <w:tab w:val="clear" w:pos="1418"/>
        <w:tab w:val="clear" w:pos="2126"/>
        <w:tab w:val="clear" w:pos="2835"/>
        <w:tab w:val="clear" w:pos="3544"/>
        <w:tab w:val="clear" w:pos="4253"/>
        <w:tab w:val="clear" w:pos="4961"/>
        <w:tab w:val="clear" w:pos="5670"/>
        <w:tab w:val="clear" w:pos="8363"/>
        <w:tab w:val="right" w:pos="8505" w:leader="dot"/>
      </w:tabs>
      <w:spacing w:lineRule="atLeast" w:line="280" w:before="0" w:after="280"/>
      <w:ind w:hanging="0" w:start="1600"/>
    </w:pPr>
    <w:rPr>
      <w:rFonts w:ascii="Charter BT" w:hAnsi="Charter BT"/>
      <w:kern w:val="2"/>
      <w:sz w:val="20"/>
      <w:lang w:val="en-GB"/>
    </w:rPr>
  </w:style>
  <w:style w:type="paragraph" w:styleId="BackSheet">
    <w:name w:val="BackSheet"/>
    <w:basedOn w:val="Normal"/>
    <w:qFormat/>
    <w:pPr>
      <w:widowControl w:val="false"/>
      <w:spacing w:lineRule="atLeast" w:line="280" w:before="0" w:after="280"/>
      <w:ind w:hanging="0" w:start="4253"/>
    </w:pPr>
    <w:rPr>
      <w:rFonts w:ascii="Charter BT" w:hAnsi="Charter BT"/>
      <w:sz w:val="20"/>
      <w:lang w:val="en-GB"/>
    </w:rPr>
  </w:style>
  <w:style w:type="paragraph" w:styleId="FootnoteText">
    <w:name w:val="footnote text"/>
    <w:basedOn w:val="Normal"/>
    <w:pPr>
      <w:widowControl w:val="false"/>
      <w:spacing w:lineRule="atLeast" w:line="220" w:before="0" w:after="200"/>
      <w:ind w:hanging="170" w:start="170"/>
    </w:pPr>
    <w:rPr>
      <w:rFonts w:ascii="Charter BT" w:hAnsi="Charter BT"/>
      <w:kern w:val="2"/>
      <w:sz w:val="16"/>
      <w:lang w:val="en-GB"/>
    </w:rPr>
  </w:style>
  <w:style w:type="paragraph" w:styleId="Indent1">
    <w:name w:val="Indent1"/>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567" w:start="1418"/>
    </w:pPr>
    <w:rPr>
      <w:rFonts w:ascii="Charter BT" w:hAnsi="Charter BT"/>
      <w:kern w:val="2"/>
      <w:sz w:val="20"/>
      <w:lang w:val="en-GB"/>
    </w:rPr>
  </w:style>
  <w:style w:type="paragraph" w:styleId="indent2">
    <w:name w:val="indent2"/>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0" w:start="1418"/>
    </w:pPr>
    <w:rPr>
      <w:rFonts w:ascii="Charter BT" w:hAnsi="Charter BT"/>
      <w:kern w:val="2"/>
      <w:sz w:val="20"/>
      <w:lang w:val="en-GB"/>
    </w:rPr>
  </w:style>
  <w:style w:type="paragraph" w:styleId="ListBullet">
    <w:name w:val="List Bullet"/>
    <w:basedOn w:val="Normal"/>
    <w:autoRedefine/>
    <w:pPr>
      <w:widowControl w:val="false"/>
      <w:spacing w:lineRule="atLeast" w:line="280" w:before="0" w:after="280"/>
      <w:ind w:hanging="283" w:start="283"/>
    </w:pPr>
    <w:rPr>
      <w:rFonts w:ascii="Charter BT" w:hAnsi="Charter BT"/>
      <w:kern w:val="2"/>
      <w:sz w:val="20"/>
      <w:lang w:val="en-GB"/>
    </w:rPr>
  </w:style>
  <w:style w:type="paragraph" w:styleId="ListBullet2">
    <w:name w:val="List Bullet 2"/>
    <w:basedOn w:val="Normal"/>
    <w:autoRedefine/>
    <w:pPr>
      <w:widowControl w:val="false"/>
      <w:spacing w:lineRule="atLeast" w:line="280" w:before="0" w:after="280"/>
      <w:ind w:hanging="283" w:start="566"/>
    </w:pPr>
    <w:rPr>
      <w:rFonts w:ascii="Charter BT" w:hAnsi="Charter BT"/>
      <w:kern w:val="2"/>
      <w:sz w:val="20"/>
      <w:lang w:val="en-GB"/>
    </w:rPr>
  </w:style>
  <w:style w:type="paragraph" w:styleId="ListBullet3">
    <w:name w:val="List Bullet 3"/>
    <w:basedOn w:val="Normal"/>
    <w:autoRedefine/>
    <w:pPr>
      <w:widowControl w:val="false"/>
      <w:spacing w:lineRule="atLeast" w:line="280" w:before="0" w:after="280"/>
      <w:ind w:hanging="283" w:start="849"/>
    </w:pPr>
    <w:rPr>
      <w:rFonts w:ascii="Charter BT" w:hAnsi="Charter BT"/>
      <w:kern w:val="2"/>
      <w:sz w:val="20"/>
      <w:lang w:val="en-GB"/>
    </w:rPr>
  </w:style>
  <w:style w:type="paragraph" w:styleId="ListBullet4">
    <w:name w:val="List Bullet 4"/>
    <w:basedOn w:val="Normal"/>
    <w:autoRedefine/>
    <w:pPr>
      <w:widowControl w:val="false"/>
      <w:spacing w:lineRule="atLeast" w:line="280" w:before="0" w:after="280"/>
      <w:ind w:hanging="283" w:start="1132"/>
    </w:pPr>
    <w:rPr>
      <w:rFonts w:ascii="Charter BT" w:hAnsi="Charter BT"/>
      <w:kern w:val="2"/>
      <w:sz w:val="20"/>
      <w:lang w:val="en-GB"/>
    </w:rPr>
  </w:style>
  <w:style w:type="paragraph" w:styleId="ListBullet5">
    <w:name w:val="List Bullet 5"/>
    <w:basedOn w:val="Normal"/>
    <w:autoRedefine/>
    <w:pPr>
      <w:widowControl w:val="false"/>
      <w:spacing w:lineRule="atLeast" w:line="280" w:before="0" w:after="280"/>
      <w:ind w:hanging="283" w:start="1415"/>
    </w:pPr>
    <w:rPr>
      <w:rFonts w:ascii="Charter BT" w:hAnsi="Charter BT"/>
      <w:kern w:val="2"/>
      <w:sz w:val="20"/>
      <w:lang w:val="en-GB"/>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Courier New" w:cs="Symbol"/>
      <w:color w:val="auto"/>
      <w:kern w:val="2"/>
      <w:sz w:val="16"/>
      <w:szCs w:val="24"/>
      <w:lang w:val="en-GB" w:eastAsia="zh-CN" w:bidi="hi-IN"/>
    </w:rPr>
  </w:style>
  <w:style w:type="paragraph" w:styleId="NormalIndent">
    <w:name w:val="Normal Indent"/>
    <w:basedOn w:val="Normal"/>
    <w:qFormat/>
    <w:pPr>
      <w:widowControl w:val="false"/>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0" w:start="851"/>
    </w:pPr>
    <w:rPr>
      <w:rFonts w:ascii="Charter BT" w:hAnsi="Charter BT"/>
      <w:kern w:val="2"/>
      <w:sz w:val="20"/>
      <w:lang w:val="en-GB"/>
    </w:rPr>
  </w:style>
  <w:style w:type="paragraph" w:styleId="Quote">
    <w:name w:val="Quote"/>
    <w:basedOn w:val="Normal"/>
    <w:next w:val="Normal"/>
    <w:qFormat/>
    <w:pPr>
      <w:widowControl w:val="false"/>
      <w:spacing w:lineRule="atLeast" w:line="240" w:before="0" w:after="280"/>
      <w:ind w:hanging="0" w:start="1418"/>
    </w:pPr>
    <w:rPr>
      <w:rFonts w:ascii="Charter BT" w:hAnsi="Charter BT"/>
      <w:kern w:val="2"/>
      <w:sz w:val="20"/>
      <w:lang w:val="en-GB"/>
    </w:rPr>
  </w:style>
  <w:style w:type="paragraph" w:styleId="TableofAuthorities">
    <w:name w:val="table of authorities"/>
    <w:basedOn w:val="Normal"/>
    <w:next w:val="Normal"/>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ableofFigures">
    <w:name w:val="table of figures"/>
    <w:basedOn w:val="Normal"/>
    <w:next w:val="Normal"/>
    <w:pPr>
      <w:widowControl w:val="false"/>
      <w:tabs>
        <w:tab w:val="clear" w:pos="1418"/>
        <w:tab w:val="clear" w:pos="2126"/>
        <w:tab w:val="clear" w:pos="2835"/>
        <w:tab w:val="clear" w:pos="3544"/>
        <w:tab w:val="clear" w:pos="4253"/>
        <w:tab w:val="clear" w:pos="4961"/>
        <w:tab w:val="clear" w:pos="5670"/>
        <w:tab w:val="left" w:pos="709" w:leader="none"/>
        <w:tab w:val="right" w:pos="8363" w:leader="none"/>
      </w:tabs>
      <w:spacing w:lineRule="atLeast" w:line="280" w:before="0" w:after="280"/>
    </w:pPr>
    <w:rPr>
      <w:rFonts w:ascii="Charter BT" w:hAnsi="Charter BT"/>
      <w:kern w:val="2"/>
      <w:sz w:val="20"/>
      <w:lang w:val="en-GB"/>
    </w:rPr>
  </w:style>
  <w:style w:type="paragraph" w:styleId="TitleTOC">
    <w:name w:val="TitleTOC"/>
    <w:basedOn w:val="Normal"/>
    <w:qFormat/>
    <w:pPr>
      <w:widowControl w:val="false"/>
      <w:spacing w:lineRule="atLeast" w:line="280" w:before="0" w:after="280"/>
      <w:jc w:val="center"/>
    </w:pPr>
    <w:rPr>
      <w:rFonts w:ascii="Charter BT" w:hAnsi="Charter BT"/>
      <w:b/>
      <w:kern w:val="2"/>
      <w:sz w:val="20"/>
      <w:lang w:val="en-GB"/>
    </w:rPr>
  </w:style>
  <w:style w:type="paragraph" w:styleId="CommentText">
    <w:name w:val="annotation text"/>
    <w:basedOn w:val="Normal"/>
    <w:pPr>
      <w:widowControl w:val="false"/>
      <w:spacing w:lineRule="atLeast" w:line="220" w:before="0" w:after="200"/>
      <w:ind w:hanging="170" w:start="170"/>
    </w:pPr>
    <w:rPr>
      <w:rFonts w:ascii="Charter BT" w:hAnsi="Charter BT"/>
      <w:kern w:val="2"/>
      <w:sz w:val="16"/>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LibreOffice/25.2.7.0.0$Linux_X86_64 LibreOffice_project/2cc84caafd2707671cae2773f8085721f003b89f</Application>
  <AppVersion>15.0000</AppVersion>
  <Pages>99</Pages>
  <Words>7161</Words>
  <Characters>50132</Characters>
  <CharactersWithSpaces>40822</CharactersWithSpaces>
  <Company>Slaughter and May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1999-12-23T01:45:00Z</dcterms:created>
  <dc:creator>DCR?¸_????p_</dc:creator>
  <dc:description/>
  <dc:language>en-CA</dc:language>
  <cp:lastModifiedBy/>
  <cp:lastPrinted>2000-02-16T00:03:00Z</cp:lastPrinted>
  <dcterms:modified xsi:type="dcterms:W3CDTF">2000-02-16T01:08:00Z</dcterms:modified>
  <cp:revision>186</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GPXB</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CA003672492</vt:lpwstr>
  </property>
  <property fmtid="{D5CDD505-2E9C-101B-9397-08002B2CF9AE}" pid="11" name="udp_IsAtlasDoc">
    <vt:bool>1</vt:bool>
  </property>
  <property fmtid="{D5CDD505-2E9C-101B-9397-08002B2CF9AE}" pid="12" name="udp_Justified">
    <vt:bool>0</vt:bool>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bool>0</vt:bool>
  </property>
  <property fmtid="{D5CDD505-2E9C-101B-9397-08002B2CF9AE}" pid="16" name="udp_TemplateVersion">
    <vt:lpwstr>1.02.0001</vt:lpwstr>
  </property>
  <property fmtid="{D5CDD505-2E9C-101B-9397-08002B2CF9AE}" pid="17" name="udp_Typist">
    <vt:lpwstr>Sheahan, Sarah J.</vt:lpwstr>
  </property>
  <property fmtid="{D5CDD505-2E9C-101B-9397-08002B2CF9AE}" pid="18" name="udp_Version">
    <vt:lpwstr>42</vt:lpwstr>
  </property>
</Properties>
</file>