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88"/>
        <w:jc w:val="center"/>
        <w:rPr/>
      </w:pPr>
      <w:r>
        <w:rPr>
          <w:b/>
        </w:rPr>
        <w:t>ENERGY COMMODITIES - KEY ISSUES QUESTIONNAIRE</w:t>
      </w:r>
    </w:p>
    <w:p>
      <w:pPr>
        <w:pStyle w:val="Normal"/>
        <w:bidi w:val="0"/>
        <w:spacing w:lineRule="auto" w:line="288"/>
        <w:rPr/>
      </w:pPr>
      <w:r>
        <w:rPr/>
      </w:r>
    </w:p>
    <w:p>
      <w:pPr>
        <w:pStyle w:val="Normal"/>
        <w:bidi w:val="0"/>
        <w:spacing w:lineRule="auto" w:line="288"/>
        <w:ind w:hanging="709" w:start="709"/>
        <w:rPr/>
      </w:pPr>
      <w:r>
        <w:rPr/>
        <w:t>A.</w:t>
        <w:tab/>
      </w:r>
      <w:r>
        <w:rPr>
          <w:b/>
        </w:rPr>
        <w:t>Organisational Structure</w:t>
      </w:r>
    </w:p>
    <w:p>
      <w:pPr>
        <w:pStyle w:val="ListAlpha2"/>
        <w:numPr>
          <w:ilvl w:val="1"/>
          <w:numId w:val="2"/>
        </w:numPr>
        <w:bidi w:val="0"/>
        <w:spacing w:lineRule="auto" w:line="288"/>
        <w:rPr/>
      </w:pPr>
      <w:r>
        <w:rPr/>
        <w:t>Is it necessary to establish a local presence in [                          ] in order to trade commodity derivatives there with local counterparties?</w:t>
      </w:r>
    </w:p>
    <w:p>
      <w:pPr>
        <w:pStyle w:val="ListAlpha2"/>
        <w:numPr>
          <w:ilvl w:val="1"/>
          <w:numId w:val="2"/>
        </w:numPr>
        <w:bidi w:val="0"/>
        <w:spacing w:lineRule="auto" w:line="288"/>
        <w:rPr/>
      </w:pPr>
      <w:r>
        <w:rPr/>
        <w:t>If so, what specific minimum presence is required (e.g. a particular type of local corporation or the branch of a foreign corporation)?</w:t>
      </w:r>
    </w:p>
    <w:p>
      <w:pPr>
        <w:pStyle w:val="ListAlpha2"/>
        <w:numPr>
          <w:ilvl w:val="1"/>
          <w:numId w:val="2"/>
        </w:numPr>
        <w:bidi w:val="0"/>
        <w:spacing w:lineRule="auto" w:line="288"/>
        <w:rPr/>
      </w:pPr>
      <w:r>
        <w:rPr/>
        <w:t>Would any such local presence or entity be subject to any minimum capitalisation requirements (other than any regulatory capital requirements dealt with in the following sections)?</w:t>
      </w:r>
    </w:p>
    <w:p>
      <w:pPr>
        <w:pStyle w:val="ListAlpha2"/>
        <w:numPr>
          <w:ilvl w:val="1"/>
          <w:numId w:val="2"/>
        </w:numPr>
        <w:bidi w:val="0"/>
        <w:spacing w:lineRule="auto" w:line="288"/>
        <w:rPr/>
      </w:pPr>
      <w:r>
        <w:rPr/>
        <w:t>Would it be possible to acquire any requisite local entity from a third party, particularly if that entity has the benefit of a required licence, consent or authorisation referred to in question B(a) below?</w:t>
      </w:r>
    </w:p>
    <w:p>
      <w:pPr>
        <w:pStyle w:val="Normal"/>
        <w:bidi w:val="0"/>
        <w:spacing w:lineRule="auto" w:line="288"/>
        <w:ind w:hanging="709" w:start="709"/>
        <w:rPr/>
      </w:pPr>
      <w:r>
        <w:rPr/>
        <w:t>B.</w:t>
        <w:tab/>
      </w:r>
      <w:r>
        <w:rPr>
          <w:b/>
        </w:rPr>
        <w:t>Regulation, Registration, Licences, Consents etc.</w:t>
      </w:r>
    </w:p>
    <w:p>
      <w:pPr>
        <w:pStyle w:val="ListAlpha2"/>
        <w:numPr>
          <w:ilvl w:val="1"/>
          <w:numId w:val="17"/>
        </w:numPr>
        <w:bidi w:val="0"/>
        <w:spacing w:lineRule="auto" w:line="288"/>
        <w:rPr/>
      </w:pPr>
      <w:r>
        <w:rPr/>
        <w:t>Please describe briefly any rules, licence, consent or authorisation that would be relevant if the Enron trading entity wished to advertise, market or otherwise solicit counterparties or customers in [                          ] (corporates, utilities, municipalities and financial institutions) to enter into commodity derivatives with it, on the alternative assumptions the Enron entity is based (i) inside [                          ] or (ii) outside [                          ].</w:t>
      </w:r>
    </w:p>
    <w:p>
      <w:pPr>
        <w:pStyle w:val="ListAlpha2"/>
        <w:numPr>
          <w:ilvl w:val="1"/>
          <w:numId w:val="2"/>
        </w:numPr>
        <w:tabs>
          <w:tab w:val="clear" w:pos="1417"/>
          <w:tab w:val="left" w:pos="50" w:leader="none"/>
          <w:tab w:val="left" w:pos="1418" w:leader="none"/>
        </w:tabs>
        <w:bidi w:val="0"/>
        <w:spacing w:lineRule="auto" w:line="288"/>
        <w:ind w:hanging="1361" w:start="1985"/>
        <w:rPr/>
      </w:pPr>
      <w:r>
        <w:fldChar w:fldCharType="begin"/>
      </w:r>
      <w:r>
        <w:rPr/>
        <w:instrText xml:space="preserve">LISTNUM  \l 5</w:instrText>
      </w:r>
      <w:r>
        <w:rPr/>
      </w:r>
      <w:r>
        <w:rPr/>
        <w:fldChar w:fldCharType="separate"/>
      </w:r>
      <w:r>
        <w:rPr/>
      </w:r>
      <w:r>
        <w:rPr>
          <w:rFonts w:eastAsia="Times New Roman"/>
        </w:rPr>
        <w:t>(i)</w:t>
      </w:r>
      <w:r>
        <w:rPr/>
      </w:r>
      <w:r>
        <w:rPr/>
        <w:fldChar w:fldCharType="end"/>
      </w:r>
      <w:r>
        <w:rPr/>
        <w:tab/>
        <w:t xml:space="preserve">If based inside [                          ], must the Enron trading entity obtain any licence, consent or authorisation or be registered in [                          ] before being able to </w:t>
      </w:r>
      <w:r>
        <w:rPr>
          <w:i/>
        </w:rPr>
        <w:t>trade</w:t>
      </w:r>
      <w:r>
        <w:rPr/>
        <w:t xml:space="preserve"> commodity derivatives?</w:t>
      </w:r>
    </w:p>
    <w:p>
      <w:pPr>
        <w:pStyle w:val="ListRoman3"/>
        <w:numPr>
          <w:ilvl w:val="2"/>
          <w:numId w:val="5"/>
        </w:numPr>
        <w:tabs>
          <w:tab w:val="clear" w:pos="2137"/>
          <w:tab w:val="left" w:pos="68" w:leader="none"/>
          <w:tab w:val="left" w:pos="1985" w:leader="none"/>
        </w:tabs>
        <w:bidi w:val="0"/>
        <w:spacing w:lineRule="auto" w:line="288"/>
        <w:rPr/>
      </w:pPr>
      <w:r>
        <w:rPr/>
        <w:t>If so, please specify briefly the procedure, how long and how costly it is likely to be and any other significant regulatory (including regulatory capital) requirements which would apply to the entity or branch.</w:t>
      </w:r>
    </w:p>
    <w:p>
      <w:pPr>
        <w:pStyle w:val="ListRoman3"/>
        <w:numPr>
          <w:ilvl w:val="2"/>
          <w:numId w:val="5"/>
        </w:numPr>
        <w:tabs>
          <w:tab w:val="clear" w:pos="2137"/>
          <w:tab w:val="left" w:pos="68" w:leader="none"/>
          <w:tab w:val="left" w:pos="1985" w:leader="none"/>
        </w:tabs>
        <w:bidi w:val="0"/>
        <w:spacing w:lineRule="auto" w:line="288"/>
        <w:rPr/>
      </w:pPr>
      <w:r>
        <w:rPr/>
        <w:t>As regards capital requirements, (1) please distinguish between initial capital requirements and on-going capital requirements (e.g. in respect of market risk and counterparty credit risk) and (2) is there any difference between the regulatory capital requirements for a local branch of a foreign corporation?</w:t>
      </w:r>
    </w:p>
    <w:p>
      <w:pPr>
        <w:pStyle w:val="ListAlpha2"/>
        <w:numPr>
          <w:ilvl w:val="1"/>
          <w:numId w:val="2"/>
        </w:numPr>
        <w:bidi w:val="0"/>
        <w:spacing w:lineRule="auto" w:line="288"/>
        <w:rPr/>
      </w:pPr>
      <w:r>
        <w:rPr/>
        <w:t>Would the Enron entity be entitled to take an assignment or transfer of such a licence, consent or authorisation from a third party?</w:t>
      </w:r>
    </w:p>
    <w:p>
      <w:pPr>
        <w:pStyle w:val="ListAlpha2"/>
        <w:numPr>
          <w:ilvl w:val="1"/>
          <w:numId w:val="2"/>
        </w:numPr>
        <w:bidi w:val="0"/>
        <w:spacing w:lineRule="auto" w:line="288"/>
        <w:rPr/>
      </w:pPr>
      <w:r>
        <w:rPr/>
        <w:t>Are there any local regulations which would apply in [                          ] to individual representatives of the Enron trading entity (e.g. individual licence or registration requirements)?    If so, please describe them briefly.</w:t>
      </w:r>
    </w:p>
    <w:p>
      <w:pPr>
        <w:sectPr>
          <w:headerReference w:type="even" r:id="rId2"/>
          <w:headerReference w:type="default" r:id="rId3"/>
          <w:headerReference w:type="first" r:id="rId4"/>
          <w:footerReference w:type="even" r:id="rId5"/>
          <w:footerReference w:type="default" r:id="rId6"/>
          <w:footerReference w:type="first" r:id="rId7"/>
          <w:type w:val="oddPage"/>
          <w:pgSz w:w="11906" w:h="16838"/>
          <w:pgMar w:left="1701" w:right="1701" w:gutter="0" w:header="720" w:top="1003" w:footer="284" w:bottom="652"/>
          <w:paperSrc w:first="0" w:other="0"/>
          <w:pgNumType w:fmt="decimal"/>
          <w:formProt w:val="false"/>
          <w:textDirection w:val="lrTb"/>
          <w:docGrid w:type="default" w:linePitch="100" w:charSpace="0"/>
        </w:sectPr>
        <w:pStyle w:val="ListAlpha2"/>
        <w:numPr>
          <w:ilvl w:val="1"/>
          <w:numId w:val="2"/>
        </w:numPr>
        <w:bidi w:val="0"/>
        <w:spacing w:lineRule="auto" w:line="288"/>
        <w:rPr/>
      </w:pPr>
      <w:r>
        <w:rPr/>
        <w:t>If based inside [                          ], would the Enron entity be subject to "conduct of business rules" in [                          ]?    If so, please describe them briefly.</w:t>
      </w:r>
    </w:p>
    <w:p>
      <w:pPr>
        <w:pStyle w:val="ListAlpha2"/>
        <w:numPr>
          <w:ilvl w:val="1"/>
          <w:numId w:val="2"/>
        </w:numPr>
        <w:bidi w:val="0"/>
        <w:spacing w:lineRule="auto" w:line="288"/>
        <w:rPr/>
      </w:pPr>
      <w:r>
        <w:rPr/>
        <w:t>If based inside [                          ], can the Enron trading entity enter into commodity derivatives trades (with counterparties in [                          ]) as agent for an unregulated principal?</w:t>
      </w:r>
    </w:p>
    <w:p>
      <w:pPr>
        <w:pStyle w:val="ListAlpha2"/>
        <w:numPr>
          <w:ilvl w:val="1"/>
          <w:numId w:val="2"/>
        </w:numPr>
        <w:bidi w:val="0"/>
        <w:spacing w:lineRule="auto" w:line="288"/>
        <w:rPr/>
      </w:pPr>
      <w:r>
        <w:rPr/>
        <w:t>If the Enron trading entity is based outside [                          ], e.g. in London, and such representatives negotiate and conclude commodity derivatives trades from London, would your answers to the questions in (B)(a) to (f) be the same?    If not, please provide a summary of the differences.</w:t>
      </w:r>
    </w:p>
    <w:p>
      <w:pPr>
        <w:pStyle w:val="ListAlpha2"/>
        <w:numPr>
          <w:ilvl w:val="1"/>
          <w:numId w:val="2"/>
        </w:numPr>
        <w:bidi w:val="0"/>
        <w:spacing w:lineRule="auto" w:line="288"/>
        <w:rPr/>
      </w:pPr>
      <w:r>
        <w:rPr/>
        <w:t>Are there any exemptions from regulation under local law which may be available to the Enron entity if based (i) inside [                          ] or (ii) outside [                          ]?</w:t>
      </w:r>
    </w:p>
    <w:p>
      <w:pPr>
        <w:pStyle w:val="ListAlpha2"/>
        <w:numPr>
          <w:ilvl w:val="1"/>
          <w:numId w:val="2"/>
        </w:numPr>
        <w:bidi w:val="0"/>
        <w:spacing w:lineRule="auto" w:line="288"/>
        <w:rPr/>
      </w:pPr>
      <w:r>
        <w:rPr/>
        <w:t>If the Enron trading entity in [                          ] acts as principal, or as agent for an unregulated principal established outside [                          ], can the regulatory authorities in [                          ] impose regulatory capital requirements on the Enron trading entity which take into account the assets and liabilities of other members of the Enron group (i.e. "consolidated supervision")?    Does it depend on whether the Enron trading entity in [                          ] is acting as principal or as agent?    If so, what type of entities (e.g. regulated or unregulated), and which of their assets and liabilities, may be consolidated?    Is consolidated supervision mandatory or within the regulator's discretion in [                          ]?</w:t>
      </w:r>
    </w:p>
    <w:p>
      <w:pPr>
        <w:pStyle w:val="ListALPHACAPS1"/>
        <w:numPr>
          <w:ilvl w:val="0"/>
          <w:numId w:val="12"/>
        </w:numPr>
        <w:bidi w:val="0"/>
        <w:spacing w:lineRule="auto" w:line="288"/>
        <w:rPr>
          <w:b/>
        </w:rPr>
      </w:pPr>
      <w:r>
        <w:rPr>
          <w:b/>
        </w:rPr>
        <w:t>Capacity to Trade Commodity Derivatives</w:t>
      </w:r>
    </w:p>
    <w:p>
      <w:pPr>
        <w:pStyle w:val="ListAlpha2"/>
        <w:numPr>
          <w:ilvl w:val="1"/>
          <w:numId w:val="18"/>
        </w:numPr>
        <w:bidi w:val="0"/>
        <w:spacing w:lineRule="auto" w:line="288"/>
        <w:rPr/>
      </w:pPr>
      <w:r>
        <w:rPr/>
        <w:t xml:space="preserve">Are there certain types of entity (e.g. banks, financial institutions, corporates, utilities, municipalities, insurance companies, partnerships, trusts) which cannot </w:t>
      </w:r>
      <w:r>
        <w:rPr>
          <w:i/>
        </w:rPr>
        <w:t>under any circumstances</w:t>
      </w:r>
      <w:r>
        <w:rPr/>
        <w:t xml:space="preserve"> trade in </w:t>
      </w:r>
      <w:r>
        <w:rPr>
          <w:i/>
        </w:rPr>
        <w:t>any</w:t>
      </w:r>
      <w:r>
        <w:rPr/>
        <w:t xml:space="preserve"> commodity derivatives?</w:t>
      </w:r>
    </w:p>
    <w:p>
      <w:pPr>
        <w:pStyle w:val="ListAlpha2"/>
        <w:numPr>
          <w:ilvl w:val="1"/>
          <w:numId w:val="2"/>
        </w:numPr>
        <w:bidi w:val="0"/>
        <w:spacing w:lineRule="auto" w:line="288"/>
        <w:rPr/>
      </w:pPr>
      <w:r>
        <w:rPr/>
        <w:t xml:space="preserve">Are there certain types of entity which cannot </w:t>
      </w:r>
      <w:r>
        <w:rPr>
          <w:i/>
        </w:rPr>
        <w:t>under any circumstances</w:t>
      </w:r>
      <w:r>
        <w:rPr/>
        <w:t xml:space="preserve"> trade in certain types of commodity derivatives (e.g. options) but are permitted to trade in others (e.g. swaps)?</w:t>
      </w:r>
    </w:p>
    <w:p>
      <w:pPr>
        <w:pStyle w:val="ListALPHACAPS1"/>
        <w:keepNext w:val="true"/>
        <w:numPr>
          <w:ilvl w:val="0"/>
          <w:numId w:val="12"/>
        </w:numPr>
        <w:bidi w:val="0"/>
        <w:spacing w:lineRule="auto" w:line="288"/>
        <w:rPr>
          <w:b/>
        </w:rPr>
      </w:pPr>
      <w:r>
        <w:rPr>
          <w:b/>
        </w:rPr>
        <w:t>Exchange and Monetary Control</w:t>
      </w:r>
    </w:p>
    <w:p>
      <w:pPr>
        <w:pStyle w:val="ListAlpha2"/>
        <w:numPr>
          <w:ilvl w:val="1"/>
          <w:numId w:val="19"/>
        </w:numPr>
        <w:bidi w:val="0"/>
        <w:spacing w:lineRule="auto" w:line="288"/>
        <w:rPr/>
      </w:pPr>
      <w:r>
        <w:rPr/>
        <w:t>If payments in foreign exchange are required to be made to the Enron entity (whether or not located in [                          ]) by its counterparty located in [                          ], would central bank or other exchange controls be applicable to those payments?</w:t>
      </w:r>
    </w:p>
    <w:p>
      <w:pPr>
        <w:pStyle w:val="ListALPHACAPS1"/>
        <w:numPr>
          <w:ilvl w:val="0"/>
          <w:numId w:val="12"/>
        </w:numPr>
        <w:tabs>
          <w:tab w:val="clear" w:pos="624"/>
          <w:tab w:val="left" w:pos="22" w:leader="none"/>
          <w:tab w:val="left" w:pos="709" w:leader="none"/>
        </w:tabs>
        <w:bidi w:val="0"/>
        <w:spacing w:lineRule="auto" w:line="288"/>
        <w:ind w:hanging="709" w:start="709"/>
        <w:rPr/>
      </w:pPr>
      <w:r>
        <w:rPr>
          <w:b/>
        </w:rPr>
        <w:t>Miscellaneous</w:t>
      </w:r>
    </w:p>
    <w:p>
      <w:pPr>
        <w:pStyle w:val="ListAlpha2"/>
        <w:numPr>
          <w:ilvl w:val="1"/>
          <w:numId w:val="20"/>
        </w:numPr>
        <w:bidi w:val="0"/>
        <w:spacing w:lineRule="auto" w:line="288"/>
        <w:rPr/>
      </w:pPr>
      <w:r>
        <w:rPr/>
        <w:t>Are there any other legal, regulatory or other customary requirements or procedures which must be followed by a party before it can begin to trade commodity derivatives in [                          ]?    If so, please provide a brief outline.</w:t>
      </w:r>
      <w:r>
        <w:br w:type="page"/>
      </w:r>
    </w:p>
    <w:p>
      <w:pPr>
        <w:pStyle w:val="ListAlpha2"/>
        <w:numPr>
          <w:ilvl w:val="0"/>
          <w:numId w:val="0"/>
        </w:numPr>
        <w:tabs>
          <w:tab w:val="clear" w:pos="1417"/>
          <w:tab w:val="left" w:pos="50" w:leader="none"/>
        </w:tabs>
        <w:bidi w:val="0"/>
        <w:spacing w:lineRule="auto" w:line="288"/>
        <w:ind w:hanging="0" w:start="0"/>
        <w:rPr/>
      </w:pPr>
      <w:r>
        <w:rPr/>
      </w:r>
    </w:p>
    <w:p>
      <w:pPr>
        <w:pStyle w:val="ListALPHACAPS1"/>
        <w:numPr>
          <w:ilvl w:val="0"/>
          <w:numId w:val="12"/>
        </w:numPr>
        <w:bidi w:val="0"/>
        <w:spacing w:lineRule="auto" w:line="288"/>
        <w:rPr/>
      </w:pPr>
      <w:r>
        <w:rPr>
          <w:b/>
        </w:rPr>
        <w:t>Financial Derivatives</w:t>
      </w:r>
    </w:p>
    <w:p>
      <w:pPr>
        <w:pStyle w:val="ListAlpha2"/>
        <w:numPr>
          <w:ilvl w:val="1"/>
          <w:numId w:val="21"/>
        </w:numPr>
        <w:bidi w:val="0"/>
        <w:spacing w:lineRule="auto" w:line="288" w:before="0" w:after="200"/>
        <w:rPr/>
      </w:pPr>
      <w:r>
        <w:rPr/>
        <w:t>If the Enron trading entity wished also to trade in [                          ] in financial (i.e. non-commodity related) derivatives, such as interest rate or foreign exchange derivatives, would your answers to the questions in (A) to (E) above be the same?    If not, please provide a brief summary of the key differences.</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701" w:right="1701" w:gutter="0" w:header="720" w:top="1440"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tabs>
              <w:tab w:val="clear" w:pos="720"/>
            </w:tabs>
            <w:bidi w:val="0"/>
            <w:spacing w:lineRule="auto" w:line="240" w:before="0" w:after="0"/>
            <w:jc w:val="start"/>
            <w:rPr/>
          </w:pPr>
          <w:r>
            <w:rPr/>
            <w:t>London-2/350616/01</w:t>
          </w:r>
        </w:p>
      </w:tc>
      <w:tc>
        <w:tcPr>
          <w:tcW w:w="2900" w:type="dxa"/>
          <w:tcBorders/>
          <w:vAlign w:val="bottom"/>
        </w:tcPr>
        <w:p>
          <w:pPr>
            <w:pStyle w:val="Footer"/>
            <w:tabs>
              <w:tab w:val="clear" w:pos="720"/>
            </w:tabs>
            <w:bidi w:val="0"/>
            <w:spacing w:lineRule="auto" w:line="240" w:before="0" w:after="0"/>
            <w:jc w:val="center"/>
            <w:rPr/>
          </w:pPr>
          <w:r>
            <w:rPr/>
            <w:fldChar w:fldCharType="begin"/>
          </w:r>
          <w:r>
            <w:rPr/>
            <w:instrText xml:space="preserve"> IF &gt; "1" "-  -"</w:instrText>
          </w:r>
          <w:r>
            <w:rPr/>
            <w:fldChar w:fldCharType="separate"/>
          </w:r>
          <w:r>
            <w:rPr/>
            <w:t>1</w:t>
          </w:r>
          <w:r>
            <w:rPr/>
            <w:fldChar w:fldCharType="end"/>
          </w:r>
        </w:p>
      </w:tc>
      <w:tc>
        <w:tcPr>
          <w:tcW w:w="2900" w:type="dxa"/>
          <w:tcBorders/>
          <w:vAlign w:val="bottom"/>
        </w:tcPr>
        <w:p>
          <w:pPr>
            <w:pStyle w:val="Footer"/>
            <w:tabs>
              <w:tab w:val="clear" w:pos="720"/>
            </w:tabs>
            <w:bidi w:val="0"/>
            <w:spacing w:lineRule="auto" w:line="240" w:before="0" w:after="0"/>
            <w:jc w:val="end"/>
            <w:rPr/>
          </w:pPr>
          <w:r>
            <w:rPr/>
            <w:t>E3270/00275</w:t>
          </w:r>
        </w:p>
      </w:tc>
    </w:tr>
  </w:tbl>
  <w:p>
    <w:pPr>
      <w:pStyle w:val="Footer"/>
      <w:bidi w:val="0"/>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tabs>
              <w:tab w:val="clear" w:pos="720"/>
            </w:tabs>
            <w:bidi w:val="0"/>
            <w:spacing w:lineRule="auto" w:line="240" w:before="0" w:after="0"/>
            <w:jc w:val="start"/>
            <w:rPr/>
          </w:pPr>
          <w:r>
            <w:rPr/>
            <w:t>London-2/350616/01</w:t>
          </w:r>
        </w:p>
      </w:tc>
      <w:tc>
        <w:tcPr>
          <w:tcW w:w="2900" w:type="dxa"/>
          <w:tcBorders/>
          <w:vAlign w:val="bottom"/>
        </w:tcPr>
        <w:p>
          <w:pPr>
            <w:pStyle w:val="Footer"/>
            <w:tabs>
              <w:tab w:val="clear" w:pos="720"/>
            </w:tabs>
            <w:bidi w:val="0"/>
            <w:spacing w:lineRule="auto" w:line="240" w:before="0" w:after="0"/>
            <w:jc w:val="center"/>
            <w:rPr/>
          </w:pPr>
          <w:r>
            <w:rPr/>
            <w:fldChar w:fldCharType="begin"/>
          </w:r>
          <w:r>
            <w:rPr/>
            <w:instrText xml:space="preserve"> IF &gt; "1" "-  -"</w:instrText>
          </w:r>
          <w:r>
            <w:rPr/>
            <w:fldChar w:fldCharType="separate"/>
          </w:r>
          <w:r>
            <w:rPr/>
            <w:t>1</w:t>
          </w:r>
          <w:r>
            <w:rPr/>
            <w:fldChar w:fldCharType="end"/>
          </w:r>
        </w:p>
      </w:tc>
      <w:tc>
        <w:tcPr>
          <w:tcW w:w="2900" w:type="dxa"/>
          <w:tcBorders/>
          <w:vAlign w:val="bottom"/>
        </w:tcPr>
        <w:p>
          <w:pPr>
            <w:pStyle w:val="Footer"/>
            <w:tabs>
              <w:tab w:val="clear" w:pos="720"/>
            </w:tabs>
            <w:bidi w:val="0"/>
            <w:spacing w:lineRule="auto" w:line="240" w:before="0" w:after="0"/>
            <w:jc w:val="end"/>
            <w:rPr/>
          </w:pPr>
          <w:r>
            <w:rPr/>
            <w:t>E3270/00275</w:t>
          </w:r>
        </w:p>
      </w:tc>
    </w:tr>
  </w:tbl>
  <w:p>
    <w:pPr>
      <w:pStyle w:val="Footer"/>
      <w:bidi w:val="0"/>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tabs>
              <w:tab w:val="clear" w:pos="720"/>
            </w:tabs>
            <w:bidi w:val="0"/>
            <w:spacing w:lineRule="auto" w:line="240" w:before="0" w:after="0"/>
            <w:jc w:val="start"/>
            <w:rPr/>
          </w:pPr>
          <w:r>
            <w:rPr/>
            <w:t>London-2/350616/01</w:t>
          </w:r>
        </w:p>
      </w:tc>
      <w:tc>
        <w:tcPr>
          <w:tcW w:w="2900" w:type="dxa"/>
          <w:tcBorders/>
          <w:vAlign w:val="bottom"/>
        </w:tcPr>
        <w:p>
          <w:pPr>
            <w:pStyle w:val="Footer"/>
            <w:tabs>
              <w:tab w:val="clear" w:pos="720"/>
            </w:tabs>
            <w:bidi w:val="0"/>
            <w:spacing w:lineRule="auto" w:line="240" w:before="0" w:after="0"/>
            <w:jc w:val="center"/>
            <w:rPr/>
          </w:pPr>
          <w:r>
            <w:rPr/>
            <w:fldChar w:fldCharType="begin"/>
          </w:r>
          <w:r>
            <w:rPr/>
            <w:instrText xml:space="preserve"> IF &gt; "1" "-  -"</w:instrText>
          </w:r>
          <w:r>
            <w:rPr/>
            <w:fldChar w:fldCharType="separate"/>
          </w:r>
          <w:r>
            <w:rPr/>
            <w:t>1</w:t>
          </w:r>
          <w:r>
            <w:rPr/>
            <w:fldChar w:fldCharType="end"/>
          </w:r>
        </w:p>
      </w:tc>
      <w:tc>
        <w:tcPr>
          <w:tcW w:w="2900" w:type="dxa"/>
          <w:tcBorders/>
          <w:vAlign w:val="bottom"/>
        </w:tcPr>
        <w:p>
          <w:pPr>
            <w:pStyle w:val="Footer"/>
            <w:tabs>
              <w:tab w:val="clear" w:pos="720"/>
            </w:tabs>
            <w:bidi w:val="0"/>
            <w:spacing w:lineRule="auto" w:line="240" w:before="0" w:after="0"/>
            <w:jc w:val="end"/>
            <w:rPr/>
          </w:pPr>
          <w:r>
            <w:rPr/>
            <w:t>E3270/00275</w:t>
          </w:r>
        </w:p>
      </w:tc>
    </w:tr>
  </w:tbl>
  <w:p>
    <w:pPr>
      <w:pStyle w:val="Footer"/>
      <w:bidi w:val="0"/>
      <w:spacing w:lineRule="auto" w:line="240" w:before="0" w:after="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tabs>
              <w:tab w:val="clear" w:pos="720"/>
            </w:tabs>
            <w:bidi w:val="0"/>
            <w:spacing w:lineRule="auto" w:line="240" w:before="0" w:after="0"/>
            <w:jc w:val="start"/>
            <w:rPr/>
          </w:pPr>
          <w:r>
            <w:rPr/>
            <w:t>London-2/350616/01</w:t>
          </w:r>
        </w:p>
      </w:tc>
      <w:tc>
        <w:tcPr>
          <w:tcW w:w="2900" w:type="dxa"/>
          <w:tcBorders/>
          <w:vAlign w:val="bottom"/>
        </w:tcPr>
        <w:p>
          <w:pPr>
            <w:pStyle w:val="Footer"/>
            <w:tabs>
              <w:tab w:val="clear" w:pos="720"/>
            </w:tabs>
            <w:bidi w:val="0"/>
            <w:spacing w:lineRule="auto" w:line="240" w:before="0" w:after="0"/>
            <w:jc w:val="center"/>
            <w:rPr/>
          </w:pPr>
          <w:r>
            <w:rPr/>
            <w:fldChar w:fldCharType="begin"/>
          </w:r>
          <w:r>
            <w:rPr/>
            <w:instrText xml:space="preserve"> IF &gt; "1" "-  -"</w:instrText>
          </w:r>
          <w:r>
            <w:rPr/>
            <w:fldChar w:fldCharType="separate"/>
          </w:r>
          <w:r>
            <w:rPr/>
            <w:t>1</w:t>
          </w:r>
          <w:r>
            <w:rPr/>
            <w:fldChar w:fldCharType="end"/>
          </w:r>
        </w:p>
      </w:tc>
      <w:tc>
        <w:tcPr>
          <w:tcW w:w="2900" w:type="dxa"/>
          <w:tcBorders/>
          <w:vAlign w:val="bottom"/>
        </w:tcPr>
        <w:p>
          <w:pPr>
            <w:pStyle w:val="Footer"/>
            <w:tabs>
              <w:tab w:val="clear" w:pos="720"/>
            </w:tabs>
            <w:bidi w:val="0"/>
            <w:spacing w:lineRule="auto" w:line="240" w:before="0" w:after="0"/>
            <w:jc w:val="end"/>
            <w:rPr/>
          </w:pPr>
          <w:r>
            <w:rPr/>
            <w:t>E3270/00275</w:t>
          </w:r>
        </w:p>
      </w:tc>
    </w:tr>
  </w:tbl>
  <w:p>
    <w:pPr>
      <w:pStyle w:val="Footer"/>
      <w:bidi w:val="0"/>
      <w:spacing w:lineRule="auto" w:line="240" w:before="0" w:after="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tabs>
              <w:tab w:val="clear" w:pos="720"/>
            </w:tabs>
            <w:bidi w:val="0"/>
            <w:spacing w:lineRule="auto" w:line="240" w:before="0" w:after="0"/>
            <w:jc w:val="start"/>
            <w:rPr/>
          </w:pPr>
          <w:r>
            <w:rPr/>
            <w:t>London-2/350616/01</w:t>
          </w:r>
        </w:p>
      </w:tc>
      <w:tc>
        <w:tcPr>
          <w:tcW w:w="2900" w:type="dxa"/>
          <w:tcBorders/>
          <w:vAlign w:val="bottom"/>
        </w:tcPr>
        <w:p>
          <w:pPr>
            <w:pStyle w:val="Footer"/>
            <w:tabs>
              <w:tab w:val="clear" w:pos="720"/>
            </w:tabs>
            <w:bidi w:val="0"/>
            <w:spacing w:lineRule="auto" w:line="240" w:before="0" w:after="0"/>
            <w:jc w:val="center"/>
            <w:rPr/>
          </w:pPr>
          <w:r>
            <w:rPr/>
            <w:fldChar w:fldCharType="begin"/>
          </w:r>
          <w:r>
            <w:rPr/>
            <w:instrText xml:space="preserve"> IF &gt; "1" "-  -"</w:instrText>
          </w:r>
          <w:r>
            <w:rPr/>
            <w:fldChar w:fldCharType="separate"/>
          </w:r>
          <w:r>
            <w:rPr/>
            <w:t>1</w:t>
          </w:r>
          <w:r>
            <w:rPr/>
            <w:fldChar w:fldCharType="end"/>
          </w:r>
        </w:p>
      </w:tc>
      <w:tc>
        <w:tcPr>
          <w:tcW w:w="2900" w:type="dxa"/>
          <w:tcBorders/>
          <w:vAlign w:val="bottom"/>
        </w:tcPr>
        <w:p>
          <w:pPr>
            <w:pStyle w:val="Footer"/>
            <w:tabs>
              <w:tab w:val="clear" w:pos="720"/>
            </w:tabs>
            <w:bidi w:val="0"/>
            <w:spacing w:lineRule="auto" w:line="240" w:before="0" w:after="0"/>
            <w:jc w:val="end"/>
            <w:rPr/>
          </w:pPr>
          <w:r>
            <w:rPr/>
            <w:t>E3270/00275</w:t>
          </w:r>
        </w:p>
      </w:tc>
    </w:tr>
  </w:tbl>
  <w:p>
    <w:pPr>
      <w:pStyle w:val="Footer"/>
      <w:bidi w:val="0"/>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24"/>
        </w:tabs>
        <w:ind w:start="624" w:hanging="624"/>
      </w:pPr>
      <w:rPr>
        <w:sz w:val="20"/>
        <w:i w:val="false"/>
        <w:b w:val="false"/>
        <w:rFonts w:ascii="CG Times" w:hAnsi="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2">
    <w:lvl w:ilvl="0">
      <w:start w:val="1"/>
      <w:numFmt w:val="lowerLetter"/>
      <w:lvlText w:val="(%1)"/>
      <w:lvlJc w:val="start"/>
      <w:pPr>
        <w:tabs>
          <w:tab w:val="num" w:pos="624"/>
        </w:tabs>
        <w:ind w:start="624" w:hanging="624"/>
      </w:pPr>
      <w:rPr>
        <w:sz w:val="20"/>
        <w:i w:val="false"/>
        <w:b w:val="false"/>
        <w:rFonts w:ascii="CG Times" w:hAnsi="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3">
    <w:lvl w:ilvl="0">
      <w:start w:val="1"/>
      <w:numFmt w:val="decimal"/>
      <w:lvlText w:val="(%1)"/>
      <w:lvlJc w:val="start"/>
      <w:pPr>
        <w:tabs>
          <w:tab w:val="num" w:pos="624"/>
        </w:tabs>
        <w:ind w:start="624" w:hanging="624"/>
      </w:pPr>
      <w:rPr>
        <w:sz w:val="20"/>
        <w:i w:val="false"/>
        <w:b w:val="false"/>
        <w:rFonts w:ascii="CG Times" w:hAnsi="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decimal"/>
      <w:lvlText w:val="%1."/>
      <w:lvlJc w:val="start"/>
      <w:pPr>
        <w:tabs>
          <w:tab w:val="num" w:pos="624"/>
        </w:tabs>
        <w:ind w:start="624" w:hanging="624"/>
      </w:pPr>
      <w:rPr>
        <w:sz w:val="20"/>
        <w:i w:val="false"/>
        <w:b w:val="false"/>
        <w:rFonts w:ascii="CG Times" w:hAnsi="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lowerRoman"/>
      <w:lvlText w:val="(%1)"/>
      <w:lvlJc w:val="start"/>
      <w:pPr>
        <w:tabs>
          <w:tab w:val="num" w:pos="624"/>
        </w:tabs>
        <w:ind w:start="624" w:hanging="624"/>
      </w:pPr>
      <w:rPr>
        <w:sz w:val="18"/>
        <w:i w:val="false"/>
        <w:b w:val="false"/>
        <w:rFonts w:ascii="CG Times" w:hAnsi="CG Times"/>
      </w:rPr>
    </w:lvl>
    <w:lvl w:ilvl="1">
      <w:start w:val="1"/>
      <w:numFmt w:val="lowerRoman"/>
      <w:lvlText w:val="(%2)"/>
      <w:lvlJc w:val="start"/>
      <w:pPr>
        <w:tabs>
          <w:tab w:val="num" w:pos="1417"/>
        </w:tabs>
        <w:ind w:start="1417" w:hanging="793"/>
      </w:pPr>
      <w:rPr>
        <w:sz w:val="18"/>
        <w:i w:val="false"/>
        <w:b w:val="false"/>
      </w:rPr>
    </w:lvl>
    <w:lvl w:ilvl="2">
      <w:start w:val="2"/>
      <w:numFmt w:val="lowerRoman"/>
      <w:lvlText w:val="(%3)"/>
      <w:lvlJc w:val="start"/>
      <w:pPr>
        <w:tabs>
          <w:tab w:val="num" w:pos="2137"/>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6">
    <w:lvl w:ilvl="0">
      <w:start w:val="1"/>
      <w:numFmt w:val="lowerLetter"/>
      <w:lvlText w:val="(%1)"/>
      <w:lvlJc w:val="start"/>
      <w:pPr>
        <w:tabs>
          <w:tab w:val="num" w:pos="624"/>
        </w:tabs>
        <w:ind w:start="624" w:hanging="624"/>
      </w:pPr>
      <w:rPr/>
    </w:lvl>
    <w:lvl w:ilvl="1">
      <w:start w:val="1"/>
      <w:numFmt w:val="decimal"/>
      <w:lvlText w:val="%2."/>
      <w:lvlJc w:val="start"/>
      <w:pPr>
        <w:tabs>
          <w:tab w:val="num" w:pos="624"/>
        </w:tabs>
        <w:ind w:start="624" w:hanging="624"/>
      </w:pPr>
      <w:rPr/>
    </w:lvl>
    <w:lvl w:ilvl="2">
      <w:start w:val="1"/>
      <w:numFmt w:val="lowerRoman"/>
      <w:lvlText w:val="(%3)"/>
      <w:lvlJc w:val="start"/>
      <w:pPr>
        <w:tabs>
          <w:tab w:val="num" w:pos="720"/>
        </w:tabs>
        <w:ind w:start="624" w:hanging="624"/>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624"/>
        </w:tabs>
        <w:ind w:start="624" w:hanging="624"/>
      </w:pPr>
      <w:rPr/>
    </w:lvl>
    <w:lvl w:ilvl="1">
      <w:start w:val="1"/>
      <w:numFmt w:val="decimal"/>
      <w:lvlText w:val="%2."/>
      <w:lvlJc w:val="start"/>
      <w:pPr>
        <w:tabs>
          <w:tab w:val="num" w:pos="624"/>
        </w:tabs>
        <w:ind w:start="624" w:hanging="624"/>
      </w:pPr>
      <w:rPr/>
    </w:lvl>
    <w:lvl w:ilvl="2">
      <w:start w:val="1"/>
      <w:numFmt w:val="lowerRoman"/>
      <w:lvlText w:val="(%3)"/>
      <w:lvlJc w:val="start"/>
      <w:pPr>
        <w:tabs>
          <w:tab w:val="num" w:pos="720"/>
        </w:tabs>
        <w:ind w:start="624" w:hanging="624"/>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8">
    <w:lvl w:ilvl="0">
      <w:start w:val="1"/>
      <w:numFmt w:val="lowerLetter"/>
      <w:lvlText w:val="(%1)"/>
      <w:lvlJc w:val="start"/>
      <w:pPr>
        <w:tabs>
          <w:tab w:val="num" w:pos="624"/>
        </w:tabs>
        <w:ind w:start="624" w:hanging="624"/>
      </w:pPr>
      <w:rPr/>
    </w:lvl>
    <w:lvl w:ilvl="1">
      <w:start w:val="1"/>
      <w:numFmt w:val="decimal"/>
      <w:lvlText w:val="%2."/>
      <w:lvlJc w:val="start"/>
      <w:pPr>
        <w:tabs>
          <w:tab w:val="num" w:pos="624"/>
        </w:tabs>
        <w:ind w:start="624" w:hanging="624"/>
      </w:pPr>
      <w:rPr/>
    </w:lvl>
    <w:lvl w:ilvl="2">
      <w:start w:val="1"/>
      <w:numFmt w:val="lowerRoman"/>
      <w:lvlText w:val="(%3)"/>
      <w:lvlJc w:val="start"/>
      <w:pPr>
        <w:tabs>
          <w:tab w:val="num" w:pos="720"/>
        </w:tabs>
        <w:ind w:start="624" w:hanging="624"/>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9">
    <w:lvl w:ilvl="0">
      <w:start w:val="1"/>
      <w:numFmt w:val="upperLetter"/>
      <w:lvlText w:val="Part %1"/>
      <w:lvlJc w:val="start"/>
      <w:pPr>
        <w:tabs>
          <w:tab w:val="num" w:pos="612"/>
        </w:tabs>
        <w:ind w:start="0" w:hanging="0"/>
      </w:pPr>
      <w:rPr>
        <w:sz w:val="21"/>
        <w:b/>
        <w:rFonts w:ascii="CG Times" w:hAnsi="CG Times"/>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0">
    <w:lvl w:ilvl="0">
      <w:start w:val="1"/>
      <w:numFmt w:val="lowerLetter"/>
      <w:lvlText w:val="(%1)"/>
      <w:lvlJc w:val="start"/>
      <w:pPr>
        <w:tabs>
          <w:tab w:val="num" w:pos="624"/>
        </w:tabs>
        <w:ind w:start="624" w:hanging="624"/>
      </w:pPr>
      <w:rPr>
        <w:sz w:val="20"/>
        <w:i w:val="false"/>
        <w:b w:val="false"/>
        <w:rFonts w:ascii="CG Times" w:hAnsi="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11">
    <w:lvl w:ilvl="0">
      <w:start w:val="1"/>
      <w:numFmt w:val="lowerLetter"/>
      <w:lvlText w:val="(%1)"/>
      <w:lvlJc w:val="start"/>
      <w:pPr>
        <w:tabs>
          <w:tab w:val="num" w:pos="624"/>
        </w:tabs>
        <w:ind w:start="624" w:hanging="624"/>
      </w:pPr>
      <w:rPr>
        <w:sz w:val="20"/>
        <w:i w:val="false"/>
        <w:b w:val="false"/>
        <w:rFonts w:ascii="CG Times" w:hAnsi="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12">
    <w:lvl w:ilvl="0">
      <w:start w:val="3"/>
      <w:numFmt w:val="upperLetter"/>
      <w:lvlText w:val="(%1)"/>
      <w:lvlJc w:val="start"/>
      <w:pPr>
        <w:tabs>
          <w:tab w:val="num" w:pos="624"/>
        </w:tabs>
        <w:ind w:start="624" w:hanging="624"/>
      </w:pPr>
      <w:rPr>
        <w:sz w:val="20"/>
        <w:i w:val="false"/>
        <w:b w:val="false"/>
        <w:rFonts w:ascii="CG Times" w:hAnsi="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13">
    <w:lvl w:ilvl="0">
      <w:start w:val="1"/>
      <w:numFmt w:val="lowerLetter"/>
      <w:lvlText w:val="(%1)"/>
      <w:lvlJc w:val="start"/>
      <w:pPr>
        <w:tabs>
          <w:tab w:val="num" w:pos="624"/>
        </w:tabs>
        <w:ind w:start="624" w:hanging="624"/>
      </w:pPr>
      <w:rPr>
        <w:sz w:val="20"/>
        <w:i w:val="false"/>
        <w:b w:val="false"/>
        <w:rFonts w:ascii="CG Times" w:hAnsi="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14">
    <w:lvl w:ilvl="0">
      <w:start w:val="1"/>
      <w:numFmt w:val="lowerLetter"/>
      <w:lvlText w:val="(%1)"/>
      <w:lvlJc w:val="start"/>
      <w:pPr>
        <w:tabs>
          <w:tab w:val="num" w:pos="624"/>
        </w:tabs>
        <w:ind w:start="624" w:hanging="624"/>
      </w:pPr>
      <w:rPr>
        <w:sz w:val="20"/>
        <w:i w:val="false"/>
        <w:b w:val="false"/>
        <w:rFonts w:ascii="CG Times" w:hAnsi="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15">
    <w:lvl w:ilvl="0">
      <w:start w:val="1"/>
      <w:numFmt w:val="lowerLetter"/>
      <w:lvlText w:val="(%1)"/>
      <w:lvlJc w:val="start"/>
      <w:pPr>
        <w:tabs>
          <w:tab w:val="num" w:pos="624"/>
        </w:tabs>
        <w:ind w:start="624" w:hanging="624"/>
      </w:pPr>
      <w:rPr>
        <w:sz w:val="20"/>
        <w:i w:val="false"/>
        <w:b w:val="false"/>
        <w:rFonts w:ascii="CG Times" w:hAnsi="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2"/>
  </w:num>
  <w:num w:numId="18">
    <w:abstractNumId w:val="2"/>
  </w:num>
  <w:num w:numId="19">
    <w:abstractNumId w:val="2"/>
  </w:num>
  <w:num w:numId="20">
    <w:abstractNumId w:val="2"/>
  </w:num>
  <w:num w:numId="21">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uto" w:line="288" w:before="0" w:after="200"/>
      <w:jc w:val="both"/>
    </w:pPr>
    <w:rPr>
      <w:rFonts w:ascii="CG Times" w:hAnsi="CG Times" w:eastAsia="Times New Roman" w:cs="Times New Roman"/>
      <w:color w:val="auto"/>
      <w:kern w:val="2"/>
      <w:sz w:val="22"/>
      <w:szCs w:val="24"/>
      <w:lang w:val="en-GB" w:eastAsia="zh-CN" w:bidi="hi-IN"/>
    </w:rPr>
  </w:style>
  <w:style w:type="paragraph" w:styleId="Heading1">
    <w:name w:val="heading 1"/>
    <w:basedOn w:val="Normal"/>
    <w:qFormat/>
    <w:pPr>
      <w:keepNext w:val="true"/>
      <w:widowControl/>
      <w:numPr>
        <w:ilvl w:val="0"/>
        <w:numId w:val="1"/>
      </w:numPr>
      <w:tabs>
        <w:tab w:val="clear" w:pos="720"/>
        <w:tab w:val="left" w:pos="22" w:leader="none"/>
        <w:tab w:val="left" w:pos="624" w:leader="none"/>
      </w:tabs>
      <w:spacing w:lineRule="auto" w:line="288" w:before="100" w:after="100"/>
      <w:ind w:hanging="624" w:start="624"/>
      <w:jc w:val="both"/>
    </w:pPr>
    <w:rPr>
      <w:rFonts w:ascii="CG Times" w:hAnsi="CG Times"/>
      <w:b/>
      <w:caps/>
      <w:kern w:val="2"/>
      <w:sz w:val="20"/>
      <w:lang w:val="en-GB"/>
    </w:rPr>
  </w:style>
  <w:style w:type="paragraph" w:styleId="Heading2">
    <w:name w:val="heading 2"/>
    <w:basedOn w:val="Normal"/>
    <w:qFormat/>
    <w:pPr>
      <w:widowControl/>
      <w:numPr>
        <w:ilvl w:val="1"/>
        <w:numId w:val="1"/>
      </w:numPr>
      <w:tabs>
        <w:tab w:val="clear" w:pos="720"/>
        <w:tab w:val="left" w:pos="22" w:leader="none"/>
        <w:tab w:val="left" w:pos="624" w:leader="none"/>
      </w:tabs>
      <w:spacing w:lineRule="auto" w:line="288" w:before="0" w:after="200"/>
      <w:ind w:hanging="624" w:start="624"/>
      <w:jc w:val="both"/>
    </w:pPr>
    <w:rPr>
      <w:rFonts w:ascii="CG Times" w:hAnsi="CG Times"/>
      <w:kern w:val="2"/>
      <w:sz w:val="22"/>
      <w:lang w:val="en-GB"/>
    </w:rPr>
  </w:style>
  <w:style w:type="paragraph" w:styleId="Heading3">
    <w:name w:val="heading 3"/>
    <w:basedOn w:val="Normal"/>
    <w:qFormat/>
    <w:pPr>
      <w:widowControl/>
      <w:numPr>
        <w:ilvl w:val="2"/>
        <w:numId w:val="1"/>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Heading4">
    <w:name w:val="heading 4"/>
    <w:basedOn w:val="Normal"/>
    <w:qFormat/>
    <w:pPr>
      <w:widowControl/>
      <w:numPr>
        <w:ilvl w:val="3"/>
        <w:numId w:val="1"/>
      </w:numPr>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Heading5">
    <w:name w:val="heading 5"/>
    <w:basedOn w:val="Normal"/>
    <w:qFormat/>
    <w:pPr>
      <w:widowControl/>
      <w:numPr>
        <w:ilvl w:val="4"/>
        <w:numId w:val="1"/>
      </w:numPr>
      <w:tabs>
        <w:tab w:val="clear" w:pos="720"/>
        <w:tab w:val="left" w:pos="86" w:leader="none"/>
        <w:tab w:val="left" w:pos="2438" w:leader="none"/>
      </w:tabs>
      <w:spacing w:lineRule="auto" w:line="288" w:before="0" w:after="200"/>
      <w:ind w:hanging="510" w:start="2438"/>
      <w:jc w:val="both"/>
    </w:pPr>
    <w:rPr>
      <w:rFonts w:ascii="CG Times" w:hAnsi="CG Times"/>
      <w:sz w:val="22"/>
      <w:lang w:val="en-GB"/>
    </w:rPr>
  </w:style>
  <w:style w:type="paragraph" w:styleId="Heading6">
    <w:name w:val="heading 6"/>
    <w:basedOn w:val="Normal"/>
    <w:qFormat/>
    <w:pPr>
      <w:widowControl/>
      <w:numPr>
        <w:ilvl w:val="5"/>
        <w:numId w:val="1"/>
      </w:numPr>
      <w:tabs>
        <w:tab w:val="clear" w:pos="720"/>
        <w:tab w:val="left" w:pos="104" w:leader="none"/>
        <w:tab w:val="left" w:pos="2948" w:leader="none"/>
      </w:tabs>
      <w:spacing w:lineRule="auto" w:line="288" w:before="0" w:after="200"/>
      <w:ind w:hanging="510" w:start="2948"/>
      <w:jc w:val="both"/>
    </w:pPr>
    <w:rPr>
      <w:rFonts w:ascii="CG Times" w:hAnsi="CG Times"/>
      <w:sz w:val="22"/>
      <w:lang w:val="en-GB"/>
    </w:rPr>
  </w:style>
  <w:style w:type="paragraph" w:styleId="Heading7">
    <w:name w:val="heading 7"/>
    <w:basedOn w:val="Normal"/>
    <w:next w:val="Normal"/>
    <w:qFormat/>
    <w:pPr>
      <w:widowControl/>
      <w:numPr>
        <w:ilvl w:val="6"/>
        <w:numId w:val="1"/>
      </w:numPr>
      <w:spacing w:lineRule="auto" w:line="288" w:before="0" w:after="0"/>
      <w:jc w:val="both"/>
    </w:pPr>
    <w:rPr>
      <w:rFonts w:ascii="CG Times" w:hAnsi="CG Times"/>
      <w:sz w:val="22"/>
      <w:lang w:val="en-GB"/>
    </w:rPr>
  </w:style>
  <w:style w:type="paragraph" w:styleId="Heading8">
    <w:name w:val="heading 8"/>
    <w:basedOn w:val="Normal"/>
    <w:next w:val="Normal"/>
    <w:qFormat/>
    <w:pPr>
      <w:widowControl/>
      <w:numPr>
        <w:ilvl w:val="7"/>
        <w:numId w:val="1"/>
      </w:numPr>
      <w:spacing w:lineRule="auto" w:line="288" w:before="0" w:after="0"/>
      <w:jc w:val="both"/>
    </w:pPr>
    <w:rPr>
      <w:rFonts w:ascii="CG Times" w:hAnsi="CG Times"/>
      <w:sz w:val="22"/>
      <w:lang w:val="en-GB"/>
    </w:rPr>
  </w:style>
  <w:style w:type="paragraph" w:styleId="Heading9">
    <w:name w:val="heading 9"/>
    <w:basedOn w:val="Normal"/>
    <w:next w:val="Normal"/>
    <w:qFormat/>
    <w:pPr>
      <w:widowControl/>
      <w:numPr>
        <w:ilvl w:val="8"/>
        <w:numId w:val="1"/>
      </w:numPr>
      <w:tabs>
        <w:tab w:val="clear" w:pos="720"/>
        <w:tab w:val="left" w:pos="0" w:leader="none"/>
        <w:tab w:val="left" w:pos="1440" w:leader="none"/>
      </w:tabs>
      <w:suppressAutoHyphens w:val="true"/>
      <w:spacing w:lineRule="auto" w:line="336" w:before="0" w:after="300"/>
      <w:jc w:val="center"/>
    </w:pPr>
    <w:rPr>
      <w:rFonts w:ascii="CG Times" w:hAnsi="CG Times"/>
      <w:b/>
      <w:smallCaps/>
      <w:sz w:val="21"/>
      <w:lang w:val="en-GB"/>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EndnoteCharacters">
    <w:name w:val="Endnote Characters"/>
    <w:basedOn w:val="DefaultParagraphFont"/>
    <w:qFormat/>
    <w:rPr>
      <w:rFonts w:ascii="CG Times" w:hAnsi="CG Times"/>
      <w:vertAlign w:val="superscript"/>
    </w:rPr>
  </w:style>
  <w:style w:type="character" w:styleId="EndnoteReference">
    <w:name w:val="endnote reference"/>
    <w:rPr>
      <w:rFonts w:ascii="CG Times" w:hAnsi="CG Times"/>
      <w:vertAlign w:val="superscript"/>
    </w:rPr>
  </w:style>
  <w:style w:type="character" w:styleId="FootnoteCharacters">
    <w:name w:val="Footnote Characters"/>
    <w:basedOn w:val="DefaultParagraphFont"/>
    <w:qFormat/>
    <w:rPr>
      <w:rFonts w:ascii="CG Times" w:hAnsi="CG Times"/>
      <w:vertAlign w:val="superscript"/>
    </w:rPr>
  </w:style>
  <w:style w:type="character" w:styleId="FootnoteReference">
    <w:name w:val="footnote reference"/>
    <w:rPr>
      <w:rFonts w:ascii="CG Times" w:hAnsi="CG Times"/>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288" w:before="0" w:after="200"/>
      <w:ind w:hanging="0" w:start="624"/>
      <w:jc w:val="both"/>
    </w:pPr>
    <w:rPr>
      <w:rFonts w:ascii="CG Times" w:hAnsi="CG Times"/>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annotation text"/>
    <w:basedOn w:val="Normal"/>
    <w:pPr>
      <w:widowControl/>
      <w:spacing w:lineRule="auto" w:line="288" w:before="0" w:after="200"/>
      <w:jc w:val="both"/>
    </w:pPr>
    <w:rPr>
      <w:rFonts w:ascii="CG Times" w:hAnsi="CG Times"/>
      <w:sz w:val="20"/>
      <w:lang w:val="en-GB"/>
    </w:rPr>
  </w:style>
  <w:style w:type="paragraph" w:styleId="HeaderandFooter">
    <w:name w:val="Header and Footer"/>
    <w:basedOn w:val="Normal"/>
    <w:qFormat/>
    <w:pPr/>
    <w:rPr/>
  </w:style>
  <w:style w:type="paragraph" w:styleId="Footer">
    <w:name w:val="footer"/>
    <w:basedOn w:val="Normal"/>
    <w:pPr>
      <w:widowControl/>
      <w:spacing w:lineRule="auto" w:line="240" w:before="0" w:after="0"/>
      <w:jc w:val="both"/>
    </w:pPr>
    <w:rPr>
      <w:rFonts w:ascii="CG Times" w:hAnsi="CG Times"/>
      <w:sz w:val="16"/>
      <w:lang w:val="en-GB"/>
    </w:rPr>
  </w:style>
  <w:style w:type="paragraph" w:styleId="Header">
    <w:name w:val="header"/>
    <w:basedOn w:val="Normal"/>
    <w:pPr>
      <w:widowControl/>
      <w:spacing w:lineRule="auto" w:line="240" w:before="0" w:after="0"/>
      <w:jc w:val="both"/>
    </w:pPr>
    <w:rPr>
      <w:rFonts w:ascii="CG Times" w:hAnsi="CG Times"/>
      <w:sz w:val="16"/>
      <w:lang w:val="en-GB"/>
    </w:rPr>
  </w:style>
  <w:style w:type="paragraph" w:styleId="BodyText2">
    <w:name w:val="Body Text 2"/>
    <w:basedOn w:val="Normal"/>
    <w:qFormat/>
    <w:pPr>
      <w:widowControl/>
      <w:spacing w:lineRule="auto" w:line="288" w:before="0" w:after="200"/>
      <w:ind w:hanging="0" w:start="1417"/>
      <w:jc w:val="both"/>
    </w:pPr>
    <w:rPr>
      <w:rFonts w:ascii="CG Times" w:hAnsi="CG Times"/>
      <w:sz w:val="22"/>
      <w:lang w:val="en-GB"/>
    </w:rPr>
  </w:style>
  <w:style w:type="paragraph" w:styleId="BodyText3">
    <w:name w:val="Body Text 3"/>
    <w:basedOn w:val="Normal"/>
    <w:qFormat/>
    <w:pPr>
      <w:widowControl/>
      <w:spacing w:lineRule="auto" w:line="288" w:before="0" w:after="200"/>
      <w:ind w:hanging="0" w:start="1928"/>
      <w:jc w:val="both"/>
    </w:pPr>
    <w:rPr>
      <w:rFonts w:ascii="CG Times" w:hAnsi="CG Times"/>
      <w:sz w:val="22"/>
      <w:lang w:val="en-GB"/>
    </w:rPr>
  </w:style>
  <w:style w:type="paragraph" w:styleId="BodyText4">
    <w:name w:val="Body Text 4"/>
    <w:basedOn w:val="Normal"/>
    <w:qFormat/>
    <w:pPr>
      <w:widowControl/>
      <w:spacing w:lineRule="auto" w:line="288" w:before="0" w:after="200"/>
      <w:ind w:hanging="0" w:start="2438"/>
      <w:jc w:val="both"/>
    </w:pPr>
    <w:rPr>
      <w:rFonts w:ascii="CG Times" w:hAnsi="CG Times"/>
      <w:sz w:val="22"/>
      <w:lang w:val="en-GB"/>
    </w:rPr>
  </w:style>
  <w:style w:type="paragraph" w:styleId="BodyText5">
    <w:name w:val="Body Text 5"/>
    <w:basedOn w:val="Normal"/>
    <w:qFormat/>
    <w:pPr>
      <w:widowControl/>
      <w:spacing w:lineRule="auto" w:line="288" w:before="0" w:after="200"/>
      <w:ind w:hanging="0" w:start="2948"/>
      <w:jc w:val="both"/>
    </w:pPr>
    <w:rPr>
      <w:rFonts w:ascii="CG Times" w:hAnsi="CG Times"/>
      <w:sz w:val="22"/>
      <w:lang w:val="en-GB"/>
    </w:rPr>
  </w:style>
  <w:style w:type="paragraph" w:styleId="Signature">
    <w:name w:val="Signature"/>
    <w:basedOn w:val="Normal"/>
    <w:pPr>
      <w:widowControl/>
      <w:spacing w:lineRule="auto" w:line="288" w:before="0" w:after="200"/>
      <w:ind w:hanging="0" w:start="4252"/>
      <w:jc w:val="both"/>
    </w:pPr>
    <w:rPr>
      <w:rFonts w:ascii="CG Times" w:hAnsi="CG Times"/>
      <w:sz w:val="22"/>
      <w:lang w:val="en-GB"/>
    </w:rPr>
  </w:style>
  <w:style w:type="paragraph" w:styleId="ListAlpha1">
    <w:name w:val="List Alpha 1"/>
    <w:basedOn w:val="Normal"/>
    <w:next w:val="BodyText"/>
    <w:qFormat/>
    <w:pPr>
      <w:widowControl/>
      <w:numPr>
        <w:ilvl w:val="0"/>
        <w:numId w:val="2"/>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Alpha2">
    <w:name w:val="List Alpha 2"/>
    <w:basedOn w:val="Normal"/>
    <w:next w:val="BodyText2"/>
    <w:qFormat/>
    <w:pPr>
      <w:widowControl/>
      <w:numPr>
        <w:ilvl w:val="1"/>
        <w:numId w:val="2"/>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Alpha3">
    <w:name w:val="List Alpha 3"/>
    <w:basedOn w:val="Normal"/>
    <w:next w:val="BodyText3"/>
    <w:qFormat/>
    <w:pPr>
      <w:widowControl/>
      <w:numPr>
        <w:ilvl w:val="2"/>
        <w:numId w:val="2"/>
      </w:numPr>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ListALPHACAPS1">
    <w:name w:val="List ALPHA CAPS 1"/>
    <w:basedOn w:val="Normal"/>
    <w:next w:val="BodyText"/>
    <w:qFormat/>
    <w:pPr>
      <w:widowControl/>
      <w:numPr>
        <w:ilvl w:val="0"/>
        <w:numId w:val="12"/>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ALPHACAPS2">
    <w:name w:val="LIST ALPHA CAPS 2"/>
    <w:basedOn w:val="Normal"/>
    <w:next w:val="BodyText2"/>
    <w:qFormat/>
    <w:pPr>
      <w:widowControl/>
      <w:numPr>
        <w:ilvl w:val="1"/>
        <w:numId w:val="12"/>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ALPHACAPS3">
    <w:name w:val="LIST ALPHA CAPS 3"/>
    <w:basedOn w:val="Normal"/>
    <w:next w:val="BodyText3"/>
    <w:qFormat/>
    <w:pPr>
      <w:widowControl/>
      <w:numPr>
        <w:ilvl w:val="2"/>
        <w:numId w:val="12"/>
      </w:numPr>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ListArabic1">
    <w:name w:val="List Arabic 1"/>
    <w:basedOn w:val="Normal"/>
    <w:next w:val="BodyText"/>
    <w:qFormat/>
    <w:pPr>
      <w:widowControl/>
      <w:numPr>
        <w:ilvl w:val="0"/>
        <w:numId w:val="3"/>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Arabic2">
    <w:name w:val="List Arabic 2"/>
    <w:basedOn w:val="Normal"/>
    <w:next w:val="BodyText2"/>
    <w:qFormat/>
    <w:pPr>
      <w:widowControl/>
      <w:numPr>
        <w:ilvl w:val="1"/>
        <w:numId w:val="3"/>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Arabic3">
    <w:name w:val="List Arabic 3"/>
    <w:basedOn w:val="Normal"/>
    <w:next w:val="BodyText3"/>
    <w:qFormat/>
    <w:pPr>
      <w:widowControl/>
      <w:numPr>
        <w:ilvl w:val="2"/>
        <w:numId w:val="3"/>
      </w:numPr>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ListArabic4">
    <w:name w:val="List Arabic 4"/>
    <w:basedOn w:val="Normal"/>
    <w:next w:val="BodyText4"/>
    <w:qFormat/>
    <w:pPr>
      <w:widowControl/>
      <w:numPr>
        <w:ilvl w:val="3"/>
        <w:numId w:val="4"/>
      </w:numPr>
      <w:tabs>
        <w:tab w:val="clear" w:pos="720"/>
        <w:tab w:val="left" w:pos="86" w:leader="none"/>
        <w:tab w:val="left" w:pos="2438" w:leader="none"/>
      </w:tabs>
      <w:spacing w:lineRule="auto" w:line="288" w:before="0" w:after="200"/>
      <w:ind w:hanging="510" w:start="2438"/>
      <w:jc w:val="both"/>
    </w:pPr>
    <w:rPr>
      <w:rFonts w:ascii="CG Times" w:hAnsi="CG Times"/>
      <w:sz w:val="22"/>
      <w:lang w:val="en-GB"/>
    </w:rPr>
  </w:style>
  <w:style w:type="paragraph" w:styleId="ListLegal1">
    <w:name w:val="List Legal 1"/>
    <w:basedOn w:val="Normal"/>
    <w:next w:val="BodyText"/>
    <w:qFormat/>
    <w:pPr>
      <w:widowControl/>
      <w:numPr>
        <w:ilvl w:val="0"/>
        <w:numId w:val="4"/>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2">
    <w:name w:val="List Legal 2"/>
    <w:basedOn w:val="Normal"/>
    <w:next w:val="BodyText"/>
    <w:qFormat/>
    <w:pPr>
      <w:widowControl/>
      <w:numPr>
        <w:ilvl w:val="1"/>
        <w:numId w:val="4"/>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3">
    <w:name w:val="List Legal 3"/>
    <w:basedOn w:val="Normal"/>
    <w:next w:val="BodyText2"/>
    <w:qFormat/>
    <w:pPr>
      <w:widowControl/>
      <w:numPr>
        <w:ilvl w:val="2"/>
        <w:numId w:val="4"/>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Roman1">
    <w:name w:val="List Roman 1"/>
    <w:basedOn w:val="Normal"/>
    <w:next w:val="BodyText"/>
    <w:qFormat/>
    <w:pPr>
      <w:widowControl/>
      <w:numPr>
        <w:ilvl w:val="0"/>
        <w:numId w:val="5"/>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Roman2">
    <w:name w:val="List Roman 2"/>
    <w:basedOn w:val="Normal"/>
    <w:next w:val="BodyText2"/>
    <w:qFormat/>
    <w:pPr>
      <w:widowControl/>
      <w:numPr>
        <w:ilvl w:val="1"/>
        <w:numId w:val="5"/>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Roman3">
    <w:name w:val="List Roman 3"/>
    <w:basedOn w:val="Normal"/>
    <w:next w:val="BodyText3"/>
    <w:qFormat/>
    <w:pPr>
      <w:widowControl/>
      <w:numPr>
        <w:ilvl w:val="2"/>
        <w:numId w:val="5"/>
      </w:numPr>
      <w:tabs>
        <w:tab w:val="clear" w:pos="720"/>
        <w:tab w:val="left" w:pos="68" w:leader="none"/>
        <w:tab w:val="left" w:pos="2137" w:leader="none"/>
      </w:tabs>
      <w:spacing w:lineRule="auto" w:line="288" w:before="0" w:after="200"/>
      <w:ind w:hanging="511" w:start="1928"/>
      <w:jc w:val="both"/>
    </w:pPr>
    <w:rPr>
      <w:rFonts w:ascii="CG Times" w:hAnsi="CG Times"/>
      <w:sz w:val="22"/>
      <w:lang w:val="en-GB"/>
    </w:rPr>
  </w:style>
  <w:style w:type="paragraph" w:styleId="TOC2">
    <w:name w:val="toc 2"/>
    <w:basedOn w:val="Normal"/>
    <w:next w:val="Normal"/>
    <w:pPr>
      <w:widowControl/>
      <w:spacing w:lineRule="auto" w:line="288" w:before="0" w:after="200"/>
      <w:jc w:val="both"/>
    </w:pPr>
    <w:rPr>
      <w:rFonts w:ascii="CG Times" w:hAnsi="CG Times"/>
      <w:sz w:val="22"/>
      <w:lang w:val="en-GB"/>
    </w:rPr>
  </w:style>
  <w:style w:type="paragraph" w:styleId="EndnoteText">
    <w:name w:val="endnote text"/>
    <w:basedOn w:val="Normal"/>
    <w:pPr>
      <w:widowControl/>
      <w:tabs>
        <w:tab w:val="clear" w:pos="720"/>
        <w:tab w:val="left" w:pos="113" w:leader="none"/>
      </w:tabs>
      <w:spacing w:lineRule="auto" w:line="288" w:before="0" w:after="100"/>
      <w:ind w:hanging="113" w:start="113"/>
      <w:jc w:val="both"/>
    </w:pPr>
    <w:rPr>
      <w:rFonts w:ascii="CG Times" w:hAnsi="CG Times"/>
      <w:sz w:val="18"/>
      <w:lang w:val="en-GB"/>
    </w:rPr>
  </w:style>
  <w:style w:type="paragraph" w:styleId="FootnoteText">
    <w:name w:val="footnote text"/>
    <w:basedOn w:val="Normal"/>
    <w:pPr>
      <w:widowControl/>
      <w:tabs>
        <w:tab w:val="clear" w:pos="720"/>
        <w:tab w:val="left" w:pos="113" w:leader="none"/>
      </w:tabs>
      <w:spacing w:lineRule="auto" w:line="288" w:before="0" w:after="100"/>
      <w:ind w:hanging="113" w:start="113"/>
      <w:jc w:val="both"/>
    </w:pPr>
    <w:rPr>
      <w:rFonts w:ascii="CG Times" w:hAnsi="CG Times"/>
      <w:sz w:val="18"/>
      <w:lang w:val="en-GB"/>
    </w:rPr>
  </w:style>
  <w:style w:type="paragraph" w:styleId="NotesAlpha">
    <w:name w:val="Notes Alpha"/>
    <w:basedOn w:val="Normal"/>
    <w:qFormat/>
    <w:pPr>
      <w:widowControl/>
      <w:numPr>
        <w:ilvl w:val="0"/>
        <w:numId w:val="6"/>
      </w:numPr>
      <w:tabs>
        <w:tab w:val="clear" w:pos="720"/>
        <w:tab w:val="left" w:pos="624" w:leader="none"/>
      </w:tabs>
      <w:spacing w:lineRule="auto" w:line="288" w:before="0" w:after="100"/>
      <w:ind w:hanging="624" w:start="624"/>
      <w:jc w:val="both"/>
    </w:pPr>
    <w:rPr>
      <w:rFonts w:ascii="CG Times" w:hAnsi="CG Times"/>
      <w:sz w:val="22"/>
      <w:lang w:val="en-GB"/>
    </w:rPr>
  </w:style>
  <w:style w:type="paragraph" w:styleId="NotesArabic">
    <w:name w:val="Notes Arabic"/>
    <w:basedOn w:val="Normal"/>
    <w:qFormat/>
    <w:pPr>
      <w:widowControl/>
      <w:numPr>
        <w:ilvl w:val="1"/>
        <w:numId w:val="7"/>
      </w:numPr>
      <w:tabs>
        <w:tab w:val="clear" w:pos="720"/>
        <w:tab w:val="left" w:pos="624" w:leader="none"/>
      </w:tabs>
      <w:spacing w:lineRule="auto" w:line="288" w:before="0" w:after="100"/>
      <w:ind w:hanging="624" w:start="624"/>
      <w:jc w:val="both"/>
    </w:pPr>
    <w:rPr>
      <w:rFonts w:ascii="CG Times" w:hAnsi="CG Times"/>
      <w:sz w:val="22"/>
      <w:lang w:val="en-GB"/>
    </w:rPr>
  </w:style>
  <w:style w:type="paragraph" w:styleId="NotesRoman">
    <w:name w:val="Notes Roman"/>
    <w:basedOn w:val="Normal"/>
    <w:qFormat/>
    <w:pPr>
      <w:widowControl/>
      <w:numPr>
        <w:ilvl w:val="2"/>
        <w:numId w:val="8"/>
      </w:numPr>
      <w:tabs>
        <w:tab w:val="clear" w:pos="720"/>
        <w:tab w:val="left" w:pos="624" w:leader="none"/>
      </w:tabs>
      <w:spacing w:lineRule="auto" w:line="288" w:before="0" w:after="100"/>
      <w:ind w:hanging="624" w:start="624"/>
      <w:jc w:val="both"/>
    </w:pPr>
    <w:rPr>
      <w:rFonts w:ascii="CG Times" w:hAnsi="CG Times"/>
      <w:sz w:val="22"/>
      <w:lang w:val="en-GB"/>
    </w:rPr>
  </w:style>
  <w:style w:type="paragraph" w:styleId="RightTab">
    <w:name w:val="Right Tab"/>
    <w:basedOn w:val="Normal"/>
    <w:next w:val="Normal"/>
    <w:qFormat/>
    <w:pPr>
      <w:widowControl/>
      <w:tabs>
        <w:tab w:val="clear" w:pos="720"/>
        <w:tab w:val="right" w:pos="8505" w:leader="none"/>
      </w:tabs>
      <w:spacing w:lineRule="auto" w:line="288" w:before="0" w:after="100"/>
      <w:jc w:val="both"/>
    </w:pPr>
    <w:rPr>
      <w:rFonts w:ascii="CG Times" w:hAnsi="CG Times"/>
      <w:sz w:val="22"/>
      <w:lang w:val="en-GB"/>
    </w:rPr>
  </w:style>
  <w:style w:type="paragraph" w:styleId="TOC1">
    <w:name w:val="toc 1"/>
    <w:basedOn w:val="Normal"/>
    <w:next w:val="Normal"/>
    <w:pPr>
      <w:widowControl/>
      <w:spacing w:lineRule="auto" w:line="288" w:before="0" w:after="200"/>
      <w:jc w:val="both"/>
    </w:pPr>
    <w:rPr>
      <w:rFonts w:ascii="CG Times" w:hAnsi="CG Times"/>
      <w:sz w:val="22"/>
      <w:lang w:val="en-GB"/>
    </w:rPr>
  </w:style>
  <w:style w:type="paragraph" w:styleId="TOC3">
    <w:name w:val="toc 3"/>
    <w:basedOn w:val="Normal"/>
    <w:next w:val="Normal"/>
    <w:pPr>
      <w:widowControl/>
      <w:spacing w:lineRule="auto" w:line="288" w:before="0" w:after="200"/>
      <w:jc w:val="both"/>
    </w:pPr>
    <w:rPr>
      <w:rFonts w:ascii="CG Times" w:hAnsi="CG Times"/>
      <w:sz w:val="22"/>
      <w:lang w:val="en-GB"/>
    </w:rPr>
  </w:style>
  <w:style w:type="paragraph" w:styleId="TOC4">
    <w:name w:val="toc 4"/>
    <w:basedOn w:val="Normal"/>
    <w:next w:val="Normal"/>
    <w:pPr>
      <w:widowControl/>
      <w:spacing w:lineRule="auto" w:line="288" w:before="0" w:after="200"/>
      <w:jc w:val="both"/>
    </w:pPr>
    <w:rPr>
      <w:rFonts w:ascii="CG Times" w:hAnsi="CG Times"/>
      <w:sz w:val="22"/>
      <w:lang w:val="en-GB"/>
    </w:rPr>
  </w:style>
  <w:style w:type="paragraph" w:styleId="PartHeadings">
    <w:name w:val="Part Headings"/>
    <w:basedOn w:val="Normal"/>
    <w:next w:val="Normal"/>
    <w:qFormat/>
    <w:pPr>
      <w:widowControl/>
      <w:numPr>
        <w:ilvl w:val="0"/>
        <w:numId w:val="9"/>
      </w:numPr>
      <w:tabs>
        <w:tab w:val="clear" w:pos="720"/>
        <w:tab w:val="left" w:pos="612" w:leader="none"/>
      </w:tabs>
      <w:suppressAutoHyphens w:val="true"/>
      <w:spacing w:lineRule="auto" w:line="312" w:before="0" w:after="300"/>
      <w:jc w:val="center"/>
      <w:outlineLvl w:val="2"/>
    </w:pPr>
    <w:rPr>
      <w:rFonts w:ascii="CG Times" w:hAnsi="CG Times"/>
      <w:b/>
      <w:sz w:val="21"/>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711</Words>
  <Characters>4983</Characters>
  <CharactersWithSpaces>4058</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1999-10-01T09:01:00Z</dcterms:created>
  <dc:creator>User Name</dc:creator>
  <dc:description/>
  <dc:language>en-CA</dc:language>
  <cp:lastModifiedBy/>
  <cp:lastPrinted>1999-08-10T16:25:00Z</cp:lastPrinted>
  <dcterms:modified xsi:type="dcterms:W3CDTF">1999-10-01T09:02:00Z</dcterms:modified>
  <cp:revision>3</cp:revision>
  <dc:subject/>
  <dc:title>ENERGY COMMODITIES - KEY ISSUES QUESTIONNAIRE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Edmund Cooper</vt:lpwstr>
  </property>
</Properties>
</file>