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widowControl/>
        <w:tabs>
          <w:tab w:val="clear" w:pos="9000"/>
        </w:tabs>
        <w:bidi w:val="0"/>
        <w:rPr>
          <w:rFonts w:ascii="Arial" w:hAnsi="Arial"/>
          <w:sz w:val="20"/>
        </w:rPr>
      </w:pPr>
      <w:r>
        <w:rPr>
          <w:rFonts w:ascii="Arial" w:hAnsi="Arial"/>
          <w:sz w:val="20"/>
        </w:rPr>
      </w:r>
    </w:p>
    <w:p>
      <w:pPr>
        <w:pStyle w:val="Normal"/>
        <w:widowControl/>
        <w:bidi w:val="0"/>
        <w:jc w:val="center"/>
        <w:rPr>
          <w:rFonts w:ascii="Arial" w:hAnsi="Arial"/>
          <w:b/>
          <w:sz w:val="20"/>
        </w:rPr>
      </w:pPr>
      <w:r>
        <w:rPr>
          <w:rFonts w:ascii="Arial" w:hAnsi="Arial"/>
          <w:b/>
          <w:sz w:val="20"/>
        </w:rPr>
        <w:t xml:space="preserve">ENRON GAS &amp; PETROCHEMICALS TRADING LIMITED </w:t>
      </w:r>
      <w:r>
        <w:rPr>
          <w:rFonts w:ascii="Arial" w:hAnsi="Arial"/>
          <w:b/>
          <w:sz w:val="20"/>
          <w:u w:val="double"/>
        </w:rPr>
        <w:t>("Enron")</w:t>
      </w:r>
    </w:p>
    <w:p>
      <w:pPr>
        <w:pStyle w:val="Normal"/>
        <w:widowControl/>
        <w:bidi w:val="0"/>
        <w:jc w:val="center"/>
        <w:rPr>
          <w:rFonts w:ascii="Arial" w:hAnsi="Arial"/>
          <w:b/>
          <w:sz w:val="20"/>
        </w:rPr>
      </w:pPr>
      <w:r>
        <w:rPr>
          <w:rFonts w:ascii="Arial" w:hAnsi="Arial"/>
          <w:b/>
          <w:sz w:val="20"/>
        </w:rPr>
      </w:r>
    </w:p>
    <w:p>
      <w:pPr>
        <w:pStyle w:val="Normal"/>
        <w:widowControl/>
        <w:bidi w:val="0"/>
        <w:jc w:val="center"/>
        <w:rPr>
          <w:rFonts w:ascii="Arial" w:hAnsi="Arial"/>
          <w:b/>
          <w:sz w:val="20"/>
        </w:rPr>
      </w:pPr>
      <w:r>
        <w:rPr>
          <w:rFonts w:ascii="Arial" w:hAnsi="Arial"/>
          <w:b/>
          <w:sz w:val="20"/>
        </w:rPr>
        <w:t>General Terms and Conditions (“GTC”)</w:t>
      </w:r>
    </w:p>
    <w:p>
      <w:pPr>
        <w:pStyle w:val="Normal"/>
        <w:widowControl/>
        <w:bidi w:val="0"/>
        <w:jc w:val="center"/>
        <w:rPr>
          <w:rFonts w:ascii="Arial" w:hAnsi="Arial"/>
          <w:b/>
          <w:sz w:val="20"/>
        </w:rPr>
      </w:pPr>
      <w:r>
        <w:rPr>
          <w:rFonts w:ascii="Arial" w:hAnsi="Arial"/>
          <w:b/>
          <w:sz w:val="20"/>
        </w:rPr>
        <w:t>Crude Oil, Products and Petrochemicals Transactions</w:t>
      </w:r>
    </w:p>
    <w:p>
      <w:pPr>
        <w:pStyle w:val="Normal"/>
        <w:widowControl/>
        <w:bidi w:val="0"/>
        <w:jc w:val="center"/>
        <w:rPr>
          <w:rFonts w:ascii="Arial" w:hAnsi="Arial"/>
          <w:b/>
          <w:sz w:val="20"/>
        </w:rPr>
      </w:pPr>
      <w:r>
        <w:rPr>
          <w:rFonts w:ascii="Arial" w:hAnsi="Arial"/>
          <w:b/>
          <w:sz w:val="20"/>
        </w:rPr>
        <w:t>(CIF/CFR)</w:t>
      </w:r>
    </w:p>
    <w:p>
      <w:pPr>
        <w:pStyle w:val="Normal"/>
        <w:widowControl/>
        <w:bidi w:val="0"/>
        <w:jc w:val="center"/>
        <w:rPr>
          <w:rFonts w:ascii="Arial" w:hAnsi="Arial"/>
          <w:b/>
          <w:sz w:val="20"/>
        </w:rPr>
      </w:pPr>
      <w:r>
        <w:rPr>
          <w:rFonts w:ascii="Arial" w:hAnsi="Arial"/>
          <w:b/>
          <w:sz w:val="20"/>
        </w:rPr>
      </w:r>
    </w:p>
    <w:p>
      <w:pPr>
        <w:pStyle w:val="Heading1"/>
        <w:widowControl/>
        <w:numPr>
          <w:ilvl w:val="0"/>
          <w:numId w:val="0"/>
        </w:numPr>
        <w:bidi w:val="0"/>
        <w:ind w:hanging="720" w:start="720"/>
        <w:jc w:val="center"/>
        <w:outlineLvl w:val="0"/>
        <w:rPr>
          <w:rFonts w:ascii="Arial" w:hAnsi="Arial"/>
          <w:caps w:val="false"/>
          <w:smallCaps w:val="false"/>
          <w:sz w:val="20"/>
        </w:rPr>
      </w:pPr>
      <w:r>
        <w:rPr>
          <w:rFonts w:ascii="Arial" w:hAnsi="Arial"/>
          <w:caps w:val="false"/>
          <w:smallCaps w:val="false"/>
          <w:sz w:val="20"/>
        </w:rPr>
      </w:r>
    </w:p>
    <w:p>
      <w:pPr>
        <w:pStyle w:val="Heading1"/>
        <w:widowControl/>
        <w:numPr>
          <w:ilvl w:val="0"/>
          <w:numId w:val="0"/>
        </w:numPr>
        <w:bidi w:val="0"/>
        <w:ind w:hanging="720" w:start="720"/>
        <w:jc w:val="center"/>
        <w:outlineLvl w:val="0"/>
        <w:rPr>
          <w:rFonts w:ascii="Arial" w:hAnsi="Arial"/>
          <w:sz w:val="20"/>
        </w:rPr>
      </w:pPr>
      <w:r>
        <w:rPr>
          <w:rFonts w:ascii="Arial" w:hAnsi="Arial"/>
          <w:caps w:val="false"/>
          <w:smallCaps w:val="false"/>
          <w:sz w:val="20"/>
        </w:rPr>
        <w:t>1.</w:t>
        <w:tab/>
        <w:t>Transactions</w:t>
      </w:r>
    </w:p>
    <w:p>
      <w:pPr>
        <w:pStyle w:val="Normal"/>
        <w:widowControl/>
        <w:bidi w:val="0"/>
        <w:rPr>
          <w:rFonts w:ascii="Arial" w:hAnsi="Arial"/>
          <w:sz w:val="20"/>
        </w:rPr>
      </w:pPr>
      <w:r>
        <w:rPr>
          <w:rFonts w:ascii="Arial" w:hAnsi="Arial"/>
          <w:sz w:val="20"/>
        </w:rPr>
        <w:t>1.1</w:t>
        <w:tab/>
        <w:t>The term "</w:t>
      </w:r>
      <w:r>
        <w:rPr>
          <w:rFonts w:ascii="Arial" w:hAnsi="Arial"/>
          <w:b/>
          <w:sz w:val="20"/>
        </w:rPr>
        <w:t>Transaction</w:t>
      </w:r>
      <w:r>
        <w:rPr>
          <w:rFonts w:ascii="Arial" w:hAnsi="Arial"/>
          <w:sz w:val="20"/>
        </w:rPr>
        <w:t>"</w:t>
      </w:r>
      <w:r>
        <w:rPr>
          <w:rFonts w:ascii="Arial" w:hAnsi="Arial"/>
          <w:position w:val="6"/>
          <w:sz w:val="20"/>
        </w:rPr>
        <w:t xml:space="preserve"> </w:t>
      </w:r>
      <w:r>
        <w:rPr>
          <w:rFonts w:ascii="Arial" w:hAnsi="Arial"/>
          <w:sz w:val="20"/>
        </w:rPr>
        <w:t>refers to any agreement for the purchase or sale of crude oil, refined petroleum products or petrochemicals (all hereinafter referred to as "</w:t>
      </w:r>
      <w:r>
        <w:rPr>
          <w:rFonts w:ascii="Arial" w:hAnsi="Arial"/>
          <w:b/>
          <w:sz w:val="20"/>
        </w:rPr>
        <w:t>Products</w:t>
      </w:r>
      <w:r>
        <w:rPr>
          <w:rFonts w:ascii="Arial" w:hAnsi="Arial"/>
          <w:sz w:val="20"/>
        </w:rPr>
        <w:t xml:space="preserve">") between Enron Gas &amp; Petrochemicals Trading Limited, or any division thereof </w:t>
      </w:r>
      <w:r>
        <w:rPr>
          <w:rFonts w:ascii="Arial" w:hAnsi="Arial"/>
          <w:strike/>
          <w:sz w:val="20"/>
        </w:rPr>
        <w:t>("Enron")</w:t>
      </w:r>
      <w:r>
        <w:rPr>
          <w:rFonts w:ascii="Arial" w:hAnsi="Arial"/>
          <w:sz w:val="20"/>
        </w:rPr>
        <w:t xml:space="preserve"> and you ("</w:t>
      </w:r>
      <w:r>
        <w:rPr>
          <w:rFonts w:ascii="Arial" w:hAnsi="Arial"/>
          <w:b/>
          <w:sz w:val="20"/>
        </w:rPr>
        <w:t>Counterparty</w:t>
      </w:r>
      <w:r>
        <w:rPr>
          <w:rFonts w:ascii="Arial" w:hAnsi="Arial"/>
          <w:sz w:val="20"/>
        </w:rPr>
        <w:t>") (each a</w:t>
      </w:r>
      <w:r>
        <w:rPr>
          <w:rFonts w:ascii="Arial" w:hAnsi="Arial"/>
          <w:b/>
          <w:sz w:val="20"/>
        </w:rPr>
        <w:t xml:space="preserve"> </w:t>
      </w:r>
      <w:r>
        <w:rPr>
          <w:rFonts w:ascii="Arial" w:hAnsi="Arial"/>
          <w:sz w:val="20"/>
        </w:rPr>
        <w:t>"</w:t>
      </w:r>
      <w:r>
        <w:rPr>
          <w:rFonts w:ascii="Arial" w:hAnsi="Arial"/>
          <w:b/>
          <w:sz w:val="20"/>
        </w:rPr>
        <w:t>Party</w:t>
      </w:r>
      <w:r>
        <w:rPr>
          <w:rFonts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ascii="Arial" w:hAnsi="Arial"/>
          <w:b/>
          <w:sz w:val="20"/>
        </w:rPr>
        <w:t>Seller</w:t>
      </w:r>
      <w:r>
        <w:rPr>
          <w:rFonts w:ascii="Arial" w:hAnsi="Arial"/>
          <w:sz w:val="20"/>
        </w:rPr>
        <w:t>" shall mean the Party agreeing to sell and deliver the Products to Buyer, and the term "</w:t>
      </w:r>
      <w:r>
        <w:rPr>
          <w:rFonts w:ascii="Arial" w:hAnsi="Arial"/>
          <w:b/>
          <w:sz w:val="20"/>
        </w:rPr>
        <w:t>Buyer</w:t>
      </w:r>
      <w:r>
        <w:rPr>
          <w:rFonts w:ascii="Arial" w:hAnsi="Arial"/>
          <w:sz w:val="20"/>
        </w:rPr>
        <w:t>" shall mean the Party agreeing to purchase and receive Products from Seller.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1.2</w:t>
        <w:tab/>
        <w:t>A Transaction will be initiated by you offering to buy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widowControl/>
        <w:bidi w:val="0"/>
        <w:rPr>
          <w:rFonts w:ascii="Arial" w:hAnsi="Arial"/>
          <w:sz w:val="20"/>
        </w:rPr>
      </w:pPr>
      <w:r>
        <w:rPr>
          <w:rFonts w:ascii="Arial" w:hAnsi="Arial"/>
          <w:sz w:val="20"/>
        </w:rPr>
      </w:r>
    </w:p>
    <w:p>
      <w:pPr>
        <w:pStyle w:val="BodyText2"/>
        <w:widowControl/>
        <w:bidi w:val="0"/>
        <w:rPr>
          <w:rFonts w:ascii="Arial" w:hAnsi="Arial"/>
        </w:rPr>
      </w:pPr>
      <w:r>
        <w:rPr>
          <w:rFonts w:ascii="Arial" w:hAnsi="Arial"/>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2.</w:t>
        <w:tab/>
      </w:r>
      <w:r>
        <w:rPr>
          <w:rFonts w:ascii="Arial" w:hAnsi="Arial"/>
          <w:caps w:val="false"/>
          <w:smallCaps w:val="false"/>
          <w:sz w:val="20"/>
        </w:rPr>
        <w:t>Payment and Credit</w:t>
      </w:r>
    </w:p>
    <w:p>
      <w:pPr>
        <w:pStyle w:val="BodyText2"/>
        <w:widowControl/>
        <w:bidi w:val="0"/>
        <w:rPr>
          <w:rFonts w:ascii="Arial" w:hAnsi="Arial"/>
        </w:rPr>
      </w:pPr>
      <w:r>
        <w:rPr>
          <w:rFonts w:ascii="Arial" w:hAnsi="Arial"/>
        </w:rPr>
        <w:t>2.1</w:t>
        <w:tab/>
        <w:t>Buyer shall promptly deliver to Seller any such standby or documentary letter of credit or guarantee as may be required under a Transaction.    Whether or not any is so required, if (a) Seller determines that the financial condition of Buyer or Buyer's guarantor or letter of credit issuer (if any) has become impaired or unsatisfactory, whether or not Seller has granted credit to Buyer under a Transaction; or (b)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w:t>
        <w:tab/>
        <w:t>Pursuant to Section 2.1, Seller's requirement for security or assurances may include, at Seller's option: (a) prepayment in an amount, as determined in Seller's sole discretion, up to the estimated maximum contract price of the Products to be delivered, plus freight, taxes and other charges, if applicable; (b) an irrevocable standby or documentary letter of credit in an amount, as determined in Seller's sole discretion, up to the estimated maximum contract price of the Products to be delivered, plus freight, taxes and other charges, if applicable, opened by Buyer for the benefit of Seller, in a form, and issued or confirmed by an international bank, acceptable to Seller in its sole discretion; or (c) delivery to Seller of a guarantee from Buyer's parent company or from another entity or person (acceptable, in each case, to Seller in its sole discretion) of the prompt payment, when due, of any and all present or future sums due to Seller from Buyer under a Transaction.    Any such standby or documentary letter of credit or guarantee shall be in such form as Seller may reasonably require and shall be delivered to Seller no later than two (2) days following Seller’s request therefor.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2.3</w:t>
        <w:tab/>
        <w:t>Notwithstanding anything to the contrary under a Transaction, if Buyer fails to open a letter of credit or provide a guarantee if required in accordance with a Transaction or the terms of Section 2.2 and Seller elects not to liquidate all Forward Contracts pursuant to Section 5.2</w:t>
      </w:r>
      <w:r>
        <w:rPr>
          <w:rFonts w:ascii="Arial" w:hAnsi="Arial"/>
          <w:i/>
          <w:sz w:val="20"/>
        </w:rPr>
        <w:t xml:space="preserve">, </w:t>
      </w:r>
      <w:r>
        <w:rPr>
          <w:rFonts w:ascii="Arial" w:hAnsi="Arial"/>
          <w:sz w:val="20"/>
        </w:rPr>
        <w:t>Buyer shall prepay the amount referred to in Section 2.2(a) to Seller by wire transfer in immediately available funds no later than two (2) days following receipt of notice requesting such prepayment.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2.4</w:t>
        <w:tab/>
        <w:t xml:space="preserve">Seller may withhold or cease any delivery (whether or not delivery has commenced) until Seller receives prepayment or an acceptable letter of credit or guarantee, as the case may be, pursuant to Sections 2.1 and 2.2.    Subject to Section 7, this right shall be in addition to, and not in limitation or exclusion of, any other rights or remedies which the Seller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Seller or time on demurrage for which Seller is responsible.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2.5</w:t>
      </w:r>
      <w:r>
        <w:rPr>
          <w:rFonts w:ascii="Arial" w:hAnsi="Arial"/>
          <w:i/>
          <w:sz w:val="20"/>
        </w:rPr>
        <w:tab/>
      </w:r>
      <w:r>
        <w:rPr>
          <w:rFonts w:ascii="Arial" w:hAnsi="Arial"/>
          <w:sz w:val="20"/>
        </w:rPr>
        <w:t>In the event that Buyer prepays or furnishes Seller with a letter of credit based upon the estimated maximum contract price of the Products to be delivered, then Buyer shall promptly pay any shortfall to Seller when due, and Seller shall remit to Buyer any overpayment by Buyer when the final invoice amount for the Products delivered is determined.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2.6</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2.7</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the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2.8</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2.9</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2.10</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3.</w:t>
        <w:tab/>
        <w:t>d</w:t>
      </w:r>
      <w:r>
        <w:rPr>
          <w:rFonts w:ascii="Arial" w:hAnsi="Arial"/>
          <w:caps w:val="false"/>
          <w:smallCaps w:val="false"/>
          <w:sz w:val="20"/>
        </w:rPr>
        <w:t>elivery</w:t>
      </w:r>
    </w:p>
    <w:p>
      <w:pPr>
        <w:pStyle w:val="Normal"/>
        <w:widowControl/>
        <w:bidi w:val="0"/>
        <w:rPr>
          <w:rFonts w:ascii="Arial" w:hAnsi="Arial"/>
          <w:sz w:val="20"/>
        </w:rPr>
      </w:pPr>
      <w:r>
        <w:rPr>
          <w:rFonts w:ascii="Arial" w:hAnsi="Arial"/>
          <w:sz w:val="20"/>
        </w:rPr>
        <w:t>3.1</w:t>
        <w:tab/>
        <w:t>The Products shall be delivered on a CIF or CFR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4.</w:t>
        <w:tab/>
        <w:t>I</w:t>
      </w:r>
      <w:r>
        <w:rPr>
          <w:rFonts w:ascii="Arial" w:hAnsi="Arial"/>
          <w:caps w:val="false"/>
          <w:smallCaps w:val="false"/>
          <w:sz w:val="20"/>
        </w:rPr>
        <w:t>ndemnity</w:t>
      </w:r>
    </w:p>
    <w:p>
      <w:pPr>
        <w:pStyle w:val="Normal"/>
        <w:widowControl/>
        <w:bidi w:val="0"/>
        <w:rPr>
          <w:rFonts w:ascii="Arial" w:hAnsi="Arial"/>
          <w:sz w:val="20"/>
        </w:rPr>
      </w:pPr>
      <w:r>
        <w:rPr>
          <w:rFonts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ascii="Arial" w:hAnsi="Arial"/>
          <w:b/>
          <w:sz w:val="20"/>
        </w:rPr>
        <w:t>Liabilities</w:t>
      </w:r>
      <w:r>
        <w:rPr>
          <w:rFonts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any loss, spill, discharge or release of Products ("</w:t>
      </w:r>
      <w:r>
        <w:rPr>
          <w:rFonts w:ascii="Arial" w:hAnsi="Arial"/>
          <w:b/>
          <w:sz w:val="20"/>
        </w:rPr>
        <w:t>Loss</w:t>
      </w:r>
      <w:r>
        <w:rPr>
          <w:rFonts w:ascii="Arial" w:hAnsi="Arial"/>
          <w:sz w:val="20"/>
        </w:rPr>
        <w:t>") irrespective of the cause;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any failure on the part of Buyer or any of its assigns, consignees and nominees to comply with any applicable Laws and Regulations (as defined in Section 13.2) in relation to the Products or with the requirements of Section 17.14;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(e)</w:t>
        <w:tab/>
        <w:t>any death, personal injury or disease suffered by any person or loss of or damage to any property or harm or damage to the environment arising out of any of (a) to (d) above or any breach by Buyer under a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widowControl/>
        <w:bidi w:val="0"/>
        <w:ind w:hanging="0" w:start="72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5.</w:t>
        <w:tab/>
      </w:r>
      <w:r>
        <w:rPr>
          <w:rFonts w:ascii="Arial" w:hAnsi="Arial"/>
          <w:caps w:val="false"/>
          <w:smallCaps w:val="false"/>
          <w:sz w:val="20"/>
        </w:rPr>
        <w:t>Default, Termination and Liquidation</w:t>
      </w:r>
    </w:p>
    <w:p>
      <w:pPr>
        <w:pStyle w:val="Normal"/>
        <w:widowControl/>
        <w:bidi w:val="0"/>
        <w:rPr>
          <w:rFonts w:ascii="Arial" w:hAnsi="Arial"/>
          <w:sz w:val="20"/>
        </w:rPr>
      </w:pPr>
      <w:r>
        <w:rPr>
          <w:rFonts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that Party fails to make payment in full when due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that Party fails to provide acceptable security or assurances of performance to Seller in accordance with Sections 2.1 and 2.2;</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that Party (or the issuer of a guarantee or letter of credit in relation to that Party's obligations under a Transaction - the "</w:t>
      </w:r>
      <w:r>
        <w:rPr>
          <w:rFonts w:ascii="Arial" w:hAnsi="Arial"/>
          <w:b/>
          <w:sz w:val="20"/>
        </w:rPr>
        <w:t>Issuer</w:t>
      </w:r>
      <w:r>
        <w:rPr>
          <w:rFonts w:ascii="Arial" w:hAnsi="Arial"/>
          <w:sz w:val="20"/>
        </w:rPr>
        <w:t>" - fails or defaults) with respect to any guarantee of performance or letter of credit provided under a Transaction as security for the obligations of that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that Party fails to take receipt or accept delivery or discharge of any Products in breach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(e)</w:t>
        <w:tab/>
        <w:t>that Party otherwise breaches any representation, covenant, warranty or obligation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(f)</w:t>
        <w:tab/>
        <w:t xml:space="preserve">that Party or any Issuer is guilty of any such failure or breach in relation to any Transaction and such failure or breach remains uncured after any applicable grace or notice period has elapsed;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(g)</w:t>
        <w:tab/>
        <w:t>that Party or any Issuer is dissolved (other than pursuant to a consolidation, amalgamation or merger);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(h)</w:t>
        <w:tab/>
        <w:t>that Party or any Issuer becomes insolvent or is unable to pay its debts or fails or admits in writing its inability generally to pay its debts as they become due;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(i)</w:t>
        <w:tab/>
        <w:t>that Party or any Issuer makes a general assignment, arrangement or composition with or for the benefit of its creditors;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(k)</w:t>
        <w:tab/>
        <w:t>that Party or any Issuer has a resolution passed for its winding up, official management or liquidation (other than pursuant to a consolidation, amalgamation or merger);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(l)</w:t>
        <w:tab/>
        <w:t>that Party or any Issuer seeks or becomes subject to the appointment of an administrator, provisional liquidator, conservator, receiver, trustee, custodian or other similar official for it or for all or substantially all its assets;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(n)</w:t>
        <w:tab/>
        <w:t>that Party or any Issuer convenes a meeting for the purpose of considering a voluntary arrangement;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(o)</w:t>
        <w:tab/>
        <w:t>that Party or any Issuer causes or is subject to any event with respect to it which, under the applicable laws of any jurisdiction, has an analogous effect to any of the events specified in (g) to (n) (inclusive) above; or</w:t>
      </w:r>
    </w:p>
    <w:p>
      <w:pPr>
        <w:pStyle w:val="Normal"/>
        <w:widowControl/>
        <w:bidi w:val="0"/>
        <w:ind w:hanging="720" w:start="72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(p)</w:t>
        <w:tab/>
        <w:t>that Party or any Issuer takes any action in furtherance of or indicating its consent to, approval of, or acquiescence in, any of the events specified in (g) to (o) (inclusive) above;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(in each case, a “</w:t>
      </w:r>
      <w:r>
        <w:rPr>
          <w:rFonts w:ascii="Arial" w:hAnsi="Arial"/>
          <w:b/>
          <w:sz w:val="20"/>
        </w:rPr>
        <w:t>Default</w:t>
      </w:r>
      <w:r>
        <w:rPr>
          <w:rFonts w:ascii="Arial" w:hAnsi="Arial"/>
          <w:sz w:val="20"/>
        </w:rPr>
        <w: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5.2</w:t>
        <w:tab/>
        <w:t>Notwithstanding any other provision of this GTC, in the event that either Party is in Default (the Party in default being herein referred to as the "</w:t>
      </w:r>
      <w:r>
        <w:rPr>
          <w:rFonts w:ascii="Arial" w:hAnsi="Arial"/>
          <w:b/>
          <w:sz w:val="20"/>
        </w:rPr>
        <w:t>Defaulting Party</w:t>
      </w:r>
      <w:r>
        <w:rPr>
          <w:rFonts w:ascii="Arial" w:hAnsi="Arial"/>
          <w:sz w:val="20"/>
        </w:rPr>
        <w:t>"), the Defaulting Party shall forthwith give notice thereof to the other Party (the "</w:t>
      </w:r>
      <w:r>
        <w:rPr>
          <w:rFonts w:ascii="Arial" w:hAnsi="Arial"/>
          <w:b/>
          <w:sz w:val="20"/>
        </w:rPr>
        <w:t>Non-Defaulting Party</w:t>
      </w:r>
      <w:r>
        <w:rPr>
          <w:rFonts w:ascii="Arial" w:hAnsi="Arial"/>
          <w:sz w:val="20"/>
        </w:rPr>
        <w:t>") and the Non-Defaulting Party,</w:t>
      </w:r>
      <w:r>
        <w:rPr>
          <w:rFonts w:ascii="Arial" w:hAnsi="Arial"/>
          <w:b/>
          <w:sz w:val="20"/>
        </w:rPr>
        <w:t xml:space="preserve"> </w:t>
      </w:r>
      <w:r>
        <w:rPr>
          <w:rFonts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exercise its rights under Section 5.4.</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keepNext w:val="true"/>
        <w:widowControl/>
        <w:bidi w:val="0"/>
        <w:rPr>
          <w:rFonts w:ascii="Arial" w:hAnsi="Arial"/>
          <w:sz w:val="20"/>
        </w:rPr>
      </w:pPr>
      <w:r>
        <w:rPr>
          <w:rFonts w:ascii="Arial" w:hAnsi="Arial"/>
          <w:sz w:val="20"/>
        </w:rPr>
        <w:t>5.3</w:t>
        <w:tab/>
        <w:t>In the event that any Unperformed Contract(s) is or are terminated under Section 5.2 the following action shall be taken:</w:t>
      </w:r>
    </w:p>
    <w:p>
      <w:pPr>
        <w:pStyle w:val="Normal"/>
        <w:keepNext w:val="true"/>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the Non-Defaulting Party shall calculate its damages or gain ("</w:t>
      </w:r>
      <w:r>
        <w:rPr>
          <w:rFonts w:ascii="Arial" w:hAnsi="Arial"/>
          <w:b/>
          <w:sz w:val="20"/>
        </w:rPr>
        <w:t>Liquidation Amount</w:t>
      </w:r>
      <w:r>
        <w:rPr>
          <w:rFonts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there shall be set off, netted or aggregated, as appropriate, all Liquidation Amounts (as determined in sub-clause (a)) together with any amount payable under Section 5.6, so that all such amounts are aggregated or netted to a single liquidated amount ("</w:t>
      </w:r>
      <w:r>
        <w:rPr>
          <w:rFonts w:ascii="Arial" w:hAnsi="Arial"/>
          <w:b/>
          <w:sz w:val="20"/>
        </w:rPr>
        <w:t>Termination Payment</w:t>
      </w:r>
      <w:r>
        <w:rPr>
          <w:rFonts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5.4</w:t>
        <w:tab/>
        <w:t xml:space="preserve">If a Default occurs, then: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5.5</w:t>
        <w:tab/>
        <w:t>For purposes of this GTC, "</w:t>
      </w:r>
      <w:r>
        <w:rPr>
          <w:rFonts w:ascii="Arial" w:hAnsi="Arial"/>
          <w:b/>
          <w:sz w:val="20"/>
        </w:rPr>
        <w:t>Unperformed Contract</w:t>
      </w:r>
      <w:r>
        <w:rPr>
          <w:rFonts w:ascii="Arial" w:hAnsi="Arial"/>
          <w:sz w:val="20"/>
        </w:rPr>
        <w:t>"</w:t>
      </w:r>
      <w:r>
        <w:rPr>
          <w:rFonts w:ascii="Arial" w:hAnsi="Arial"/>
          <w:b/>
          <w:sz w:val="20"/>
        </w:rPr>
        <w:t xml:space="preserve"> </w:t>
      </w:r>
      <w:r>
        <w:rPr>
          <w:rFonts w:ascii="Arial" w:hAnsi="Arial"/>
          <w:sz w:val="20"/>
        </w:rPr>
        <w:t>means any Transaction if the property in the Products agreed to be sold thereunder has not already passed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6.</w:t>
        <w:tab/>
      </w:r>
      <w:r>
        <w:rPr>
          <w:rFonts w:ascii="Arial" w:hAnsi="Arial"/>
          <w:caps w:val="false"/>
          <w:smallCaps w:val="false"/>
          <w:sz w:val="20"/>
        </w:rPr>
        <w:t>Force Majeure</w:t>
      </w:r>
    </w:p>
    <w:p>
      <w:pPr>
        <w:pStyle w:val="Normal"/>
        <w:widowControl/>
        <w:bidi w:val="0"/>
        <w:rPr>
          <w:rFonts w:ascii="Arial" w:hAnsi="Arial"/>
          <w:sz w:val="20"/>
        </w:rPr>
      </w:pPr>
      <w:r>
        <w:rPr>
          <w:rFonts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ascii="Arial" w:hAnsi="Arial"/>
          <w:b/>
          <w:sz w:val="20"/>
        </w:rPr>
        <w:t>the Non-Performing Party</w:t>
      </w:r>
      <w:r>
        <w:rPr>
          <w:rFonts w:ascii="Arial" w:hAnsi="Arial"/>
          <w:sz w:val="20"/>
        </w:rPr>
        <w:t>")</w:t>
      </w:r>
      <w:r>
        <w:rPr>
          <w:rFonts w:ascii="Arial" w:hAnsi="Arial"/>
          <w:b/>
          <w:sz w:val="20"/>
        </w:rPr>
        <w:t xml:space="preserve"> </w:t>
      </w:r>
      <w:r>
        <w:rPr>
          <w:rFonts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6.6</w:t>
        <w:tab/>
        <w:t>As used herein, the term "</w:t>
      </w:r>
      <w:r>
        <w:rPr>
          <w:rFonts w:ascii="Arial" w:hAnsi="Arial"/>
          <w:b/>
          <w:sz w:val="20"/>
        </w:rPr>
        <w:t>Force Majeure</w:t>
      </w:r>
      <w:r>
        <w:rPr>
          <w:rFonts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ascii="Arial" w:hAnsi="Arial"/>
          <w:b/>
          <w:sz w:val="20"/>
        </w:rPr>
        <w:t>Governmental Authority</w:t>
      </w:r>
      <w:r>
        <w:rPr>
          <w:rFonts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7.</w:t>
        <w:tab/>
      </w:r>
      <w:r>
        <w:rPr>
          <w:rFonts w:ascii="Arial" w:hAnsi="Arial"/>
          <w:caps w:val="false"/>
          <w:smallCaps w:val="false"/>
          <w:sz w:val="20"/>
        </w:rPr>
        <w:t>Limitation of Remedies</w:t>
      </w:r>
    </w:p>
    <w:p>
      <w:pPr>
        <w:pStyle w:val="Normal"/>
        <w:widowControl/>
        <w:bidi w:val="0"/>
        <w:rPr>
          <w:rFonts w:ascii="Arial" w:hAnsi="Arial"/>
          <w:b/>
          <w:sz w:val="20"/>
        </w:rPr>
      </w:pPr>
      <w:r>
        <w:rPr>
          <w:rFonts w:ascii="Arial" w:hAnsi="Arial"/>
          <w:sz w:val="20"/>
        </w:rPr>
        <w:t>7.1</w:t>
        <w:tab/>
      </w:r>
      <w:r>
        <w:rPr>
          <w:rFonts w:ascii="Arial" w:hAnsi="Arial"/>
          <w:b/>
          <w:sz w:val="20"/>
        </w:rPr>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b/>
          <w:sz w:val="20"/>
        </w:rPr>
      </w:pPr>
      <w:r>
        <w:rPr>
          <w:rFonts w:ascii="Arial" w:hAnsi="Arial"/>
          <w:sz w:val="20"/>
        </w:rPr>
        <w:t>7.2</w:t>
        <w:tab/>
      </w:r>
      <w:r>
        <w:rPr>
          <w:rFonts w:ascii="Arial" w:hAnsi="Arial"/>
          <w:b/>
          <w:sz w:val="20"/>
        </w:rPr>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sz w:val="20"/>
        </w:rPr>
        <w:t>7.3</w:t>
        <w:tab/>
      </w:r>
      <w:r>
        <w:rPr>
          <w:rFonts w:ascii="Arial" w:hAnsi="Arial"/>
          <w:b/>
          <w:sz w:val="20"/>
        </w:rPr>
        <w:t xml:space="preserve">Nothing in this GTC shall have the effect of limiting or restricting either party's liability arising as a result of its fraud.    Any limitations or restrictions on the liability of either </w:t>
      </w:r>
      <w:r>
        <w:rPr>
          <w:rFonts w:ascii="Arial" w:hAnsi="Arial"/>
          <w:b/>
          <w:strike/>
          <w:sz w:val="20"/>
        </w:rPr>
        <w:t>party</w:t>
      </w:r>
      <w:r>
        <w:rPr>
          <w:rFonts w:ascii="Arial" w:hAnsi="Arial"/>
          <w:b/>
          <w:sz w:val="20"/>
        </w:rPr>
        <w:t xml:space="preserve"> </w:t>
      </w:r>
      <w:r>
        <w:rPr>
          <w:rFonts w:ascii="Arial" w:hAnsi="Arial"/>
          <w:b/>
          <w:sz w:val="20"/>
          <w:u w:val="double"/>
        </w:rPr>
        <w:t>Party</w:t>
      </w:r>
      <w:r>
        <w:rPr>
          <w:rFonts w:ascii="Arial" w:hAnsi="Arial"/>
          <w:b/>
          <w:sz w:val="20"/>
        </w:rPr>
        <w:t xml:space="preserve"> in this GTC shall only apply to the extent permitted by applicable law.</w:t>
      </w:r>
    </w:p>
    <w:p>
      <w:pPr>
        <w:pStyle w:val="Normal"/>
        <w:widowControl/>
        <w:bidi w:val="0"/>
        <w:rPr>
          <w:rFonts w:ascii="Times New Roman" w:hAnsi="Times New Roman"/>
          <w:sz w:val="20"/>
        </w:rPr>
      </w:pPr>
      <w:r>
        <w:rPr>
          <w:rFonts w:ascii="Times New Roman" w:hAnsi="Times New Roman"/>
          <w:sz w:val="20"/>
        </w:rPr>
      </w:r>
    </w:p>
    <w:p>
      <w:pPr>
        <w:pStyle w:val="Heading1"/>
        <w:widowControl/>
        <w:numPr>
          <w:ilvl w:val="0"/>
          <w:numId w:val="0"/>
        </w:numPr>
        <w:bidi w:val="0"/>
        <w:jc w:val="center"/>
        <w:outlineLvl w:val="0"/>
        <w:rPr>
          <w:rFonts w:ascii="Arial" w:hAnsi="Arial"/>
          <w:sz w:val="20"/>
        </w:rPr>
      </w:pPr>
      <w:r>
        <w:rPr>
          <w:rFonts w:ascii="Arial" w:hAnsi="Arial"/>
          <w:sz w:val="20"/>
        </w:rPr>
        <w:t>8.</w:t>
        <w:tab/>
        <w:t>T</w:t>
      </w:r>
      <w:r>
        <w:rPr>
          <w:rFonts w:ascii="Arial" w:hAnsi="Arial"/>
          <w:caps w:val="false"/>
          <w:smallCaps w:val="false"/>
          <w:sz w:val="20"/>
        </w:rPr>
        <w:t>axes</w:t>
      </w:r>
    </w:p>
    <w:p>
      <w:pPr>
        <w:pStyle w:val="Normal"/>
        <w:widowControl/>
        <w:bidi w:val="0"/>
        <w:rPr>
          <w:rFonts w:ascii="Arial" w:hAnsi="Arial"/>
          <w:sz w:val="20"/>
        </w:rPr>
      </w:pPr>
      <w:r>
        <w:rPr>
          <w:rFonts w:ascii="Arial" w:hAnsi="Arial"/>
          <w:sz w:val="20"/>
        </w:rPr>
        <w:t>8.1</w:t>
        <w:tab/>
        <w:t>The provisions set out in Sections 8.2 to 8.9 (inclusive) shall apply only where supplies of the Products are being made from, to or within the European Community ("</w:t>
      </w:r>
      <w:r>
        <w:rPr>
          <w:rFonts w:ascii="Arial" w:hAnsi="Arial"/>
          <w:b/>
          <w:sz w:val="20"/>
        </w:rPr>
        <w:t>EC</w:t>
      </w:r>
      <w:r>
        <w:rPr>
          <w:rFonts w:ascii="Arial" w:hAnsi="Arial"/>
          <w:sz w:val="20"/>
        </w:rPr>
        <w:t>").    Sections 8.11, 8.12 and 8.13 shall apply generally.</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VAT</w:t>
      </w:r>
    </w:p>
    <w:p>
      <w:pPr>
        <w:pStyle w:val="Normal"/>
        <w:widowControl/>
        <w:bidi w:val="0"/>
        <w:rPr>
          <w:rFonts w:ascii="Arial" w:hAnsi="Arial"/>
          <w:sz w:val="20"/>
        </w:rPr>
      </w:pPr>
      <w:r>
        <w:rPr>
          <w:rFonts w:ascii="Arial" w:hAnsi="Arial"/>
          <w:sz w:val="20"/>
        </w:rPr>
        <w:t>8.2</w:t>
        <w:tab/>
        <w:t>Where value added tax or similar tax ("</w:t>
      </w:r>
      <w:r>
        <w:rPr>
          <w:rFonts w:ascii="Arial" w:hAnsi="Arial"/>
          <w:b/>
          <w:sz w:val="20"/>
        </w:rPr>
        <w:t>VAT</w:t>
      </w:r>
      <w:r>
        <w:rPr>
          <w:rFonts w:ascii="Arial" w:hAnsi="Arial"/>
          <w:sz w:val="20"/>
        </w:rPr>
        <w:t>") becomes payable under the rules applicable in the place where the Products are supplied (the "</w:t>
      </w:r>
      <w:r>
        <w:rPr>
          <w:rFonts w:ascii="Arial" w:hAnsi="Arial"/>
          <w:b/>
          <w:sz w:val="20"/>
        </w:rPr>
        <w:t>place of supply</w:t>
      </w:r>
      <w:r>
        <w:rPr>
          <w:rFonts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8.3</w:t>
        <w:tab/>
        <w:t>A sale of Products may be zero rated for VAT purposes provided that:-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if the destination of the Products is within the EC, Buyer provides to Seller:-</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w:t>
        <w:tab/>
        <w:t>within 30 days of the date of delivery such evidence as is satisfactory to the relevant authorities in the relevant EC member states to allow zero rating of the supply of the Products; and</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(ii)</w:t>
        <w:tab/>
        <w:t>before delivery of the Products to Buyer, a valid VAT registration number issued by the EC member state of the place of supply; and</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8.5</w:t>
        <w:tab/>
        <w:t>Buyer shall indemnify Seller in respect of any costs, penalties and interest incurred by the Seller as a result of Buyer's failure to pay, or delay in paying, any VAT in accordance with this GTC.</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Excise Duty or Mineral Oil Tax</w:t>
      </w:r>
    </w:p>
    <w:p>
      <w:pPr>
        <w:pStyle w:val="Normal"/>
        <w:widowControl/>
        <w:bidi w:val="0"/>
        <w:rPr>
          <w:rFonts w:ascii="Arial" w:hAnsi="Arial"/>
          <w:sz w:val="20"/>
        </w:rPr>
      </w:pPr>
      <w:r>
        <w:rPr>
          <w:rFonts w:ascii="Arial" w:hAnsi="Arial"/>
          <w:sz w:val="20"/>
        </w:rPr>
        <w:t>8.8</w:t>
        <w:tab/>
        <w:t>Excise duty or mineral oil tax may be payable in respect of the Products on their leaving bonded premises unless:-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by the fifteenth (15th) day of the calendar month following the calendar month in which loading of the Products from bonded premises is completed with an Accompanying Administrative Document ("</w:t>
      </w:r>
      <w:r>
        <w:rPr>
          <w:rFonts w:ascii="Arial" w:hAnsi="Arial"/>
          <w:b/>
          <w:sz w:val="20"/>
        </w:rPr>
        <w:t>AAD</w:t>
      </w:r>
      <w:r>
        <w:rPr>
          <w:rFonts w:ascii="Arial" w:hAnsi="Arial"/>
          <w:sz w:val="20"/>
        </w:rPr>
        <w:t>"), a properly completed Copy 3 thereof, together with proof of discharge of the shipment, is returned to Seller;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Buyer has provided to Seller evidence satisfactory to the EC member state where the Products were taken out of bonded premises, that the Products were delivered to a destination which is not in an EC member state;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Definitions</w:t>
      </w:r>
    </w:p>
    <w:p>
      <w:pPr>
        <w:pStyle w:val="Normal"/>
        <w:widowControl/>
        <w:bidi w:val="0"/>
        <w:rPr>
          <w:rFonts w:ascii="Arial" w:hAnsi="Arial"/>
          <w:sz w:val="20"/>
        </w:rPr>
      </w:pPr>
      <w:r>
        <w:rPr>
          <w:rFonts w:ascii="Arial" w:hAnsi="Arial"/>
          <w:sz w:val="20"/>
        </w:rPr>
        <w:t>8.10</w:t>
        <w:tab/>
        <w:t>In this Section 8:</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sz w:val="20"/>
        </w:rPr>
      </w:pPr>
      <w:r>
        <w:rPr>
          <w:rFonts w:ascii="Arial" w:hAnsi="Arial"/>
          <w:sz w:val="20"/>
        </w:rPr>
        <w:tab/>
        <w:t>(a)</w:t>
        <w:tab/>
        <w:t>"</w:t>
      </w:r>
      <w:r>
        <w:rPr>
          <w:rFonts w:ascii="Arial" w:hAnsi="Arial"/>
          <w:b/>
          <w:sz w:val="20"/>
        </w:rPr>
        <w:t>bonded warehouse</w:t>
      </w:r>
      <w:r>
        <w:rPr>
          <w:rFonts w:ascii="Arial" w:hAnsi="Arial"/>
          <w:sz w:val="20"/>
        </w:rPr>
        <w:t>" means a place of security approved by the relevant tax authority for customs or excise duty of an EC member state;</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w:t>
      </w:r>
      <w:r>
        <w:rPr>
          <w:rFonts w:ascii="Arial" w:hAnsi="Arial"/>
          <w:b/>
          <w:sz w:val="20"/>
        </w:rPr>
        <w:t>duty</w:t>
      </w:r>
      <w:r>
        <w:rPr>
          <w:rFonts w:ascii="Arial" w:hAnsi="Arial"/>
          <w:sz w:val="20"/>
        </w:rPr>
        <w:t>" means any duty of customs or excise and "</w:t>
      </w:r>
      <w:r>
        <w:rPr>
          <w:rFonts w:ascii="Arial" w:hAnsi="Arial"/>
          <w:b/>
          <w:sz w:val="20"/>
        </w:rPr>
        <w:t>excise duty</w:t>
      </w:r>
      <w:r>
        <w:rPr>
          <w:rFonts w:ascii="Arial" w:hAnsi="Arial"/>
          <w:sz w:val="20"/>
        </w:rPr>
        <w:t>" shall be construed accordingly;</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w:t>
      </w:r>
      <w:r>
        <w:rPr>
          <w:rFonts w:ascii="Arial" w:hAnsi="Arial"/>
          <w:b/>
          <w:sz w:val="20"/>
        </w:rPr>
        <w:t>fiscal warehouse</w:t>
      </w:r>
      <w:r>
        <w:rPr>
          <w:rFonts w:ascii="Arial" w:hAnsi="Arial"/>
          <w:sz w:val="20"/>
        </w:rPr>
        <w:t>" means a place authorised by a customs authority of an EC member state for storage of goods under duty suspension; and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w:t>
      </w:r>
      <w:r>
        <w:rPr>
          <w:rFonts w:ascii="Arial" w:hAnsi="Arial"/>
          <w:b/>
          <w:sz w:val="20"/>
        </w:rPr>
        <w:t>mineral oil tax</w:t>
      </w:r>
      <w:r>
        <w:rPr>
          <w:rFonts w:ascii="Arial" w:hAnsi="Arial"/>
          <w:sz w:val="20"/>
        </w:rPr>
        <w:t>" means duty on hydrocarbon oils.</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General</w:t>
      </w:r>
    </w:p>
    <w:p>
      <w:pPr>
        <w:pStyle w:val="Normal"/>
        <w:widowControl/>
        <w:bidi w:val="0"/>
        <w:rPr>
          <w:rFonts w:ascii="Arial" w:hAnsi="Arial"/>
          <w:sz w:val="20"/>
        </w:rPr>
      </w:pPr>
      <w:r>
        <w:rPr>
          <w:rFonts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9.</w:t>
        <w:tab/>
      </w:r>
      <w:r>
        <w:rPr>
          <w:rFonts w:ascii="Arial" w:hAnsi="Arial"/>
          <w:caps w:val="false"/>
          <w:smallCaps w:val="false"/>
          <w:sz w:val="20"/>
        </w:rPr>
        <w:t>No Waiver</w:t>
      </w:r>
    </w:p>
    <w:p>
      <w:pPr>
        <w:pStyle w:val="Normal"/>
        <w:widowControl/>
        <w:bidi w:val="0"/>
        <w:rPr>
          <w:rFonts w:ascii="Arial" w:hAnsi="Arial"/>
          <w:sz w:val="20"/>
        </w:rPr>
      </w:pPr>
      <w:r>
        <w:rPr>
          <w:rFonts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10.</w:t>
        <w:tab/>
      </w:r>
      <w:r>
        <w:rPr>
          <w:rFonts w:ascii="Arial" w:hAnsi="Arial"/>
          <w:caps w:val="false"/>
          <w:smallCaps w:val="false"/>
          <w:sz w:val="20"/>
        </w:rPr>
        <w:t>Limited Warranties and Exclusions</w:t>
      </w:r>
    </w:p>
    <w:p>
      <w:pPr>
        <w:pStyle w:val="Normal"/>
        <w:widowControl/>
        <w:bidi w:val="0"/>
        <w:rPr>
          <w:rFonts w:ascii="Arial" w:hAnsi="Arial"/>
          <w:sz w:val="20"/>
        </w:rPr>
      </w:pPr>
      <w:r>
        <w:rPr>
          <w:rFonts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b/>
          <w:sz w:val="20"/>
        </w:rPr>
      </w:pPr>
      <w:r>
        <w:rPr>
          <w:rFonts w:ascii="Arial" w:hAnsi="Arial"/>
          <w:b/>
          <w:sz w:val="20"/>
        </w:rPr>
        <w:tab/>
        <w:t>(a)</w:t>
        <w:tab/>
        <w:t>This warranty is in lieu of and supersedes, excludes and extinguishes the terms which would otherwise be implied by Section 12 of the Sale of Goods Act 1979.</w:t>
      </w:r>
    </w:p>
    <w:p>
      <w:pPr>
        <w:pStyle w:val="Normal"/>
        <w:widowControl/>
        <w:bidi w:val="0"/>
        <w:ind w:hanging="720" w:start="144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ab/>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widowControl/>
        <w:bidi w:val="0"/>
        <w:ind w:hanging="720" w:start="1440"/>
        <w:rPr>
          <w:rFonts w:ascii="Arial" w:hAnsi="Arial"/>
          <w:sz w:val="20"/>
        </w:rPr>
      </w:pPr>
      <w:r>
        <w:rPr>
          <w:rFonts w:ascii="Arial" w:hAnsi="Arial"/>
          <w:sz w:val="20"/>
        </w:rPr>
      </w:r>
    </w:p>
    <w:p>
      <w:pPr>
        <w:pStyle w:val="Normal"/>
        <w:widowControl/>
        <w:tabs>
          <w:tab w:val="left" w:pos="720" w:leader="none"/>
          <w:tab w:val="left" w:pos="1440" w:leader="none"/>
        </w:tabs>
        <w:bidi w:val="0"/>
        <w:rPr>
          <w:rFonts w:ascii="Arial" w:hAnsi="Arial"/>
          <w:b/>
          <w:sz w:val="20"/>
        </w:rPr>
      </w:pPr>
      <w:r>
        <w:rPr>
          <w:rFonts w:ascii="Arial" w:hAnsi="Arial"/>
          <w:sz w:val="20"/>
        </w:rPr>
        <w:t>10.2</w:t>
        <w:tab/>
        <w:t>Seller warrants that, when the property in the Products is due to pass to Buyer, they will conform to the specifications set out on the website.    To the maximum extent permitted by law and subject to Section 7.3,</w:t>
      </w:r>
      <w:r>
        <w:rPr>
          <w:rFonts w:ascii="Arial" w:hAnsi="Arial"/>
          <w:b/>
          <w:sz w:val="20"/>
        </w:rPr>
        <w:t xml:space="preserve">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widowControl/>
        <w:tabs>
          <w:tab w:val="left" w:pos="720" w:leader="none"/>
          <w:tab w:val="left" w:pos="1440" w:leader="none"/>
        </w:tabs>
        <w:bidi w:val="0"/>
        <w:ind w:hanging="720" w:start="720"/>
        <w:rPr>
          <w:rFonts w:ascii="Arial" w:hAnsi="Arial"/>
          <w:b/>
          <w:sz w:val="20"/>
        </w:rPr>
      </w:pPr>
      <w:r>
        <w:rPr>
          <w:rFonts w:ascii="Arial" w:hAnsi="Arial"/>
          <w:b/>
          <w:sz w:val="20"/>
        </w:rPr>
      </w:r>
    </w:p>
    <w:p>
      <w:pPr>
        <w:pStyle w:val="Normal"/>
        <w:keepNext w:val="true"/>
        <w:widowControl/>
        <w:bidi w:val="0"/>
        <w:rPr>
          <w:rFonts w:ascii="Arial" w:hAnsi="Arial"/>
          <w:sz w:val="20"/>
        </w:rPr>
      </w:pPr>
      <w:r>
        <w:rPr>
          <w:rFonts w:ascii="Arial" w:hAnsi="Arial"/>
          <w:sz w:val="20"/>
        </w:rPr>
        <w:t>10.3</w:t>
        <w:tab/>
        <w:t xml:space="preserve">Subject only to Section 7.3, in entering into a Transaction, </w:t>
      </w:r>
      <w:r>
        <w:rPr>
          <w:rFonts w:ascii="Arial" w:hAnsi="Arial"/>
          <w:b/>
          <w:sz w:val="20"/>
        </w:rPr>
        <w:t>neither Party may rely on any</w:t>
      </w:r>
      <w:r>
        <w:rPr>
          <w:rFonts w:ascii="Arial" w:hAnsi="Arial"/>
          <w:sz w:val="20"/>
        </w:rPr>
        <w:t>:</w:t>
      </w:r>
    </w:p>
    <w:p>
      <w:pPr>
        <w:pStyle w:val="Normal"/>
        <w:keepNext w:val="true"/>
        <w:widowControl/>
        <w:bidi w:val="0"/>
        <w:ind w:hanging="720" w:start="720"/>
        <w:rPr>
          <w:rFonts w:ascii="Arial" w:hAnsi="Arial"/>
          <w:sz w:val="20"/>
        </w:rPr>
      </w:pPr>
      <w:r>
        <w:rPr>
          <w:rFonts w:ascii="Arial" w:hAnsi="Arial"/>
          <w:sz w:val="20"/>
        </w:rPr>
      </w:r>
    </w:p>
    <w:p>
      <w:pPr>
        <w:pStyle w:val="Normal"/>
        <w:keepNext w:val="true"/>
        <w:widowControl/>
        <w:bidi w:val="0"/>
        <w:ind w:hanging="720" w:start="720"/>
        <w:rPr>
          <w:rFonts w:ascii="Arial" w:hAnsi="Arial"/>
          <w:b/>
          <w:sz w:val="20"/>
        </w:rPr>
      </w:pPr>
      <w:r>
        <w:rPr>
          <w:rFonts w:ascii="Arial" w:hAnsi="Arial"/>
          <w:b/>
          <w:sz w:val="20"/>
        </w:rPr>
        <w:tab/>
        <w:t>(a)</w:t>
        <w:tab/>
        <w:t>representation; or</w:t>
      </w:r>
    </w:p>
    <w:p>
      <w:pPr>
        <w:pStyle w:val="Normal"/>
        <w:keepNext w:val="true"/>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(b)</w:t>
        <w:tab/>
        <w:t>warranty; or</w:t>
      </w:r>
    </w:p>
    <w:p>
      <w:pPr>
        <w:pStyle w:val="Normal"/>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(c)</w:t>
        <w:tab/>
        <w:t>collateral contract; or</w:t>
      </w:r>
    </w:p>
    <w:p>
      <w:pPr>
        <w:pStyle w:val="Normal"/>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(d)</w:t>
        <w:tab/>
        <w:t>other assurance</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widowControl/>
        <w:bidi w:val="0"/>
        <w:rPr>
          <w:rFonts w:ascii="Arial" w:hAnsi="Arial"/>
          <w:b/>
          <w:sz w:val="20"/>
        </w:rPr>
      </w:pPr>
      <w:r>
        <w:rPr>
          <w:rFonts w:ascii="Arial" w:hAnsi="Arial"/>
          <w:b/>
          <w:sz w:val="20"/>
        </w:rPr>
      </w:r>
    </w:p>
    <w:p>
      <w:pPr>
        <w:pStyle w:val="BodyText2"/>
        <w:widowControl/>
        <w:bidi w:val="0"/>
        <w:rPr>
          <w:rFonts w:ascii="Arial" w:hAnsi="Arial"/>
        </w:rPr>
      </w:pPr>
      <w:r>
        <w:rPr>
          <w:rFonts w:ascii="Arial" w:hAnsi="Arial"/>
        </w:rPr>
        <w:t>10.5</w:t>
        <w:tab/>
        <w:t>Nothing in this GTC shall have the effect of limiting or restricting either Party's liability arising as a result of its fraud.</w:t>
      </w:r>
    </w:p>
    <w:p>
      <w:pPr>
        <w:pStyle w:val="Heading1"/>
        <w:widowControl/>
        <w:numPr>
          <w:ilvl w:val="0"/>
          <w:numId w:val="0"/>
        </w:numPr>
        <w:bidi w:val="0"/>
        <w:jc w:val="center"/>
        <w:outlineLvl w:val="0"/>
        <w:rPr>
          <w:rFonts w:ascii="Arial" w:hAnsi="Arial"/>
          <w:sz w:val="20"/>
        </w:rPr>
      </w:pPr>
      <w:r>
        <w:rPr>
          <w:rFonts w:ascii="Arial" w:hAnsi="Arial"/>
          <w:sz w:val="20"/>
        </w:rPr>
        <w:t>11.</w:t>
        <w:tab/>
      </w:r>
      <w:r>
        <w:rPr>
          <w:rFonts w:ascii="Arial" w:hAnsi="Arial"/>
          <w:caps w:val="false"/>
          <w:smallCaps w:val="false"/>
          <w:sz w:val="20"/>
        </w:rPr>
        <w:t>Representation</w:t>
      </w:r>
    </w:p>
    <w:p>
      <w:pPr>
        <w:pStyle w:val="Normal"/>
        <w:widowControl/>
        <w:bidi w:val="0"/>
        <w:rPr>
          <w:rFonts w:ascii="Arial" w:hAnsi="Arial"/>
          <w:sz w:val="20"/>
        </w:rPr>
      </w:pPr>
      <w:r>
        <w:rPr>
          <w:rFonts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12.</w:t>
        <w:tab/>
      </w:r>
      <w:r>
        <w:rPr>
          <w:rFonts w:ascii="Arial" w:hAnsi="Arial"/>
          <w:caps w:val="false"/>
          <w:smallCaps w:val="false"/>
          <w:sz w:val="20"/>
        </w:rPr>
        <w:t>Governing Law and Arbitration</w:t>
      </w:r>
    </w:p>
    <w:p>
      <w:pPr>
        <w:pStyle w:val="Normal"/>
        <w:widowControl/>
        <w:bidi w:val="0"/>
        <w:rPr>
          <w:rFonts w:ascii="Arial" w:hAnsi="Arial"/>
          <w:sz w:val="20"/>
        </w:rPr>
      </w:pPr>
      <w:r>
        <w:rPr>
          <w:rFonts w:ascii="Arial" w:hAnsi="Arial"/>
          <w:sz w:val="20"/>
        </w:rPr>
        <w:t>12.1</w:t>
        <w:tab/>
      </w:r>
      <w:r>
        <w:rPr>
          <w:rFonts w:ascii="Arial" w:hAnsi="Arial"/>
          <w:b/>
          <w:sz w:val="20"/>
        </w:rPr>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w:t>
      </w:r>
      <w:r>
        <w:rPr>
          <w:rFonts w:ascii="Arial" w:hAnsi="Arial"/>
          <w:sz w:val="20"/>
        </w:rPr>
        <w:t>. 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13.</w:t>
        <w:tab/>
      </w:r>
      <w:r>
        <w:rPr>
          <w:rFonts w:ascii="Arial" w:hAnsi="Arial"/>
          <w:caps w:val="false"/>
          <w:smallCaps w:val="false"/>
          <w:sz w:val="20"/>
        </w:rPr>
        <w:t>New or Changed Laws and Regulations</w:t>
      </w:r>
    </w:p>
    <w:p>
      <w:pPr>
        <w:pStyle w:val="Normal"/>
        <w:widowControl/>
        <w:bidi w:val="0"/>
        <w:rPr>
          <w:rFonts w:ascii="Arial" w:hAnsi="Arial"/>
          <w:sz w:val="20"/>
        </w:rPr>
      </w:pPr>
      <w:r>
        <w:rPr>
          <w:rFonts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13.2</w:t>
        <w:tab/>
        <w:t>For the purpose of a Transaction, the term "</w:t>
      </w:r>
      <w:r>
        <w:rPr>
          <w:rFonts w:ascii="Arial" w:hAnsi="Arial"/>
          <w:b/>
          <w:sz w:val="20"/>
        </w:rPr>
        <w:t>Laws and Regulations</w:t>
      </w:r>
      <w:r>
        <w:rPr>
          <w:rFonts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14.</w:t>
        <w:tab/>
      </w:r>
      <w:r>
        <w:rPr>
          <w:rFonts w:ascii="Arial" w:hAnsi="Arial"/>
          <w:caps w:val="false"/>
          <w:smallCaps w:val="false"/>
          <w:sz w:val="20"/>
        </w:rPr>
        <w:t>Waiver of Immunity</w:t>
      </w:r>
    </w:p>
    <w:p>
      <w:pPr>
        <w:pStyle w:val="Normal"/>
        <w:widowControl/>
        <w:bidi w:val="0"/>
        <w:rPr>
          <w:rFonts w:ascii="Arial" w:hAnsi="Arial"/>
          <w:sz w:val="20"/>
        </w:rPr>
      </w:pPr>
      <w:r>
        <w:rPr>
          <w:rFonts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waives any such right of sovereign or other immunity which it or its assets wherever located now has or may hereafter acquire; and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b w:val="false"/>
          <w:sz w:val="20"/>
        </w:rPr>
      </w:pPr>
      <w:r>
        <w:rPr>
          <w:rFonts w:ascii="Arial" w:hAnsi="Arial"/>
          <w:sz w:val="20"/>
        </w:rPr>
        <w:t>15.</w:t>
        <w:tab/>
      </w:r>
      <w:r>
        <w:rPr>
          <w:rFonts w:ascii="Arial" w:hAnsi="Arial"/>
          <w:caps w:val="false"/>
          <w:smallCaps w:val="false"/>
          <w:sz w:val="20"/>
        </w:rPr>
        <w:t>Inconsistency of Terms</w:t>
      </w:r>
    </w:p>
    <w:p>
      <w:pPr>
        <w:pStyle w:val="Normal"/>
        <w:widowControl/>
        <w:bidi w:val="0"/>
        <w:rPr>
          <w:rFonts w:ascii="Arial" w:hAnsi="Arial"/>
          <w:sz w:val="20"/>
        </w:rPr>
      </w:pPr>
      <w:r>
        <w:rPr>
          <w:rFonts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16.</w:t>
        <w:tab/>
      </w:r>
      <w:r>
        <w:rPr>
          <w:rFonts w:ascii="Arial" w:hAnsi="Arial"/>
          <w:caps w:val="false"/>
          <w:smallCaps w:val="false"/>
          <w:sz w:val="20"/>
        </w:rPr>
        <w:t>Notices</w:t>
      </w:r>
    </w:p>
    <w:p>
      <w:pPr>
        <w:pStyle w:val="Normal"/>
        <w:widowControl/>
        <w:bidi w:val="0"/>
        <w:rPr>
          <w:rFonts w:ascii="Arial" w:hAnsi="Arial"/>
          <w:sz w:val="20"/>
        </w:rPr>
      </w:pPr>
      <w:r>
        <w:rPr>
          <w:rFonts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17.</w:t>
        <w:tab/>
      </w:r>
      <w:r>
        <w:rPr>
          <w:rFonts w:ascii="Arial" w:hAnsi="Arial"/>
          <w:caps w:val="false"/>
          <w:smallCaps w:val="false"/>
          <w:sz w:val="20"/>
        </w:rPr>
        <w:t>Other</w:t>
      </w:r>
    </w:p>
    <w:p>
      <w:pPr>
        <w:pStyle w:val="Normal"/>
        <w:widowControl/>
        <w:bidi w:val="0"/>
        <w:rPr>
          <w:rFonts w:ascii="Arial" w:hAnsi="Arial"/>
          <w:sz w:val="20"/>
        </w:rPr>
      </w:pPr>
      <w:r>
        <w:rPr>
          <w:rFonts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17.3</w:t>
        <w:tab/>
        <w:t>None of the Products delivered under a Transaction shall be resold by Buyer under any trade marks or trade names of Seller.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within the proximity of the terminal).    Buyer 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17.7</w:t>
        <w:tab/>
        <w:t xml:space="preserve">Within sixty (60) days after the Products have been delivered and the invoiced price has been paid: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(a)</w:t>
        <w:tab/>
        <w:t xml:space="preserve">Buyer shall pay Seller any monies, costs, expenses or other sums due and owing to Seller;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(b)</w:t>
        <w:tab/>
        <w:t xml:space="preserve">any corrections or adjustments to payments previously made to either Party shall be determined; and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 xml:space="preserve">(c) </w:t>
        <w:tab/>
        <w:t xml:space="preserve">Seller shall pay Buyer any refunds due, </w:t>
      </w:r>
    </w:p>
    <w:p>
      <w:pPr>
        <w:pStyle w:val="Normal"/>
        <w:widowControl/>
        <w:tabs>
          <w:tab w:val="left" w:pos="720" w:leader="none"/>
        </w:tabs>
        <w:bidi w:val="0"/>
        <w:ind w:hanging="144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in each case under or in relation to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17.8</w:t>
        <w:tab/>
        <w:t>All indemnity and payment obligations shall survive the termination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ascii="Arial" w:hAnsi="Arial"/>
          <w:b/>
          <w:sz w:val="20"/>
        </w:rPr>
        <w:t>Affiliate</w:t>
      </w:r>
      <w:r>
        <w:rPr>
          <w:rFonts w:ascii="Arial" w:hAnsi="Arial"/>
          <w:sz w:val="20"/>
        </w:rPr>
        <w:t>" of Enron).    An "</w:t>
      </w:r>
      <w:r>
        <w:rPr>
          <w:rFonts w:ascii="Arial" w:hAnsi="Arial"/>
          <w:b/>
          <w:sz w:val="20"/>
        </w:rPr>
        <w:t>Affiliate</w:t>
      </w:r>
      <w:r>
        <w:rPr>
          <w:rFonts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17.14</w:t>
        <w:tab/>
        <w:t>Buyer shall provide its employees, agents, contractors, users and customers with any Material Safety Data Sheet ("</w:t>
      </w:r>
      <w:r>
        <w:rPr>
          <w:rFonts w:ascii="Arial" w:hAnsi="Arial"/>
          <w:b/>
          <w:sz w:val="20"/>
        </w:rPr>
        <w:t>MSDS</w:t>
      </w:r>
      <w:r>
        <w:rPr>
          <w:rFonts w:ascii="Arial" w:hAnsi="Arial"/>
          <w:sz w:val="20"/>
        </w:rPr>
        <w:t>") and any other information relating to health, safety and environmental data (together "</w:t>
      </w:r>
      <w:r>
        <w:rPr>
          <w:rFonts w:ascii="Arial" w:hAnsi="Arial"/>
          <w:b/>
          <w:sz w:val="20"/>
        </w:rPr>
        <w:t>Safety Information</w:t>
      </w:r>
      <w:r>
        <w:rPr>
          <w:rFonts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ascii="Arial" w:hAnsi="Arial"/>
          <w:b/>
          <w:sz w:val="20"/>
        </w:rPr>
        <w:t>restricted jurisdiction</w:t>
      </w:r>
      <w:r>
        <w:rPr>
          <w:rFonts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18.</w:t>
        <w:tab/>
        <w:t>Measurement and Sampling</w:t>
      </w:r>
    </w:p>
    <w:p>
      <w:pPr>
        <w:pStyle w:val="Normal"/>
        <w:widowControl/>
        <w:bidi w:val="0"/>
        <w:rPr>
          <w:rFonts w:ascii="Arial" w:hAnsi="Arial"/>
          <w:sz w:val="20"/>
        </w:rPr>
      </w:pPr>
      <w:r>
        <w:rPr>
          <w:rFonts w:ascii="Arial" w:hAnsi="Arial"/>
          <w:sz w:val="20"/>
        </w:rPr>
        <w:t>18.1</w:t>
        <w:tab/>
        <w:t>The quantity and quality of the Products shall be determined (on the basis set out in this website) by an independent, licensed petroleum inspector appointed by Seller and approved by Buyer (such approval not to be unreasonably withheld or delayed).    The costs of inspection shall be shared equally between the Parties.    The inspector's determination as to quantity and quality shall be conclusive and binding upon both Parties.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18.2</w:t>
        <w:tab/>
        <w:t>All measurements and tests for quantity and quality shall be made in accordance with the standard measuring and testing procedures in effect for such Products at the loading terminal at the time of loading (or, in the case of sales on CIF Outturn terms, at the discharge terminal at the time of discharge), unless otherwise specified.    Volumes shall be corrected to 60 degrees Fahrenheit in accordance with the latest ASTM test methods and the latest edition of API volume correction factors then in effect.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18.3</w:t>
        <w:tab/>
        <w:t>Both Parties may have a representative present at the loading terminal to witness all measurements and tests.    Representative samples normally will be drawn from the loading line or alternatively from the shore tanks from which delivery is made, by the standard sampling procedures in force at the loading terminal at the time of loading (but, in the case of sales on CIF Outturn terms, they will normally be drawn prior to discharge from the vessel from which delivery is made, by applying the standard sampling rules and procedures in force at the discharge terminal at the time of discharge).    Samples shall be sealed, one to be kept by Seller for not less than (90) days and the other to be delivered to the vessel for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18.4</w:t>
        <w:tab/>
        <w:t>The Parties shall cause the independent inspector to gauge and record inactive shore tank measurements immediately before and immediately after loading (or, in the case of sales on CIF Outturn terms, discharging) of the Products to determine the volume of Products loaded (or, in the case of sales on CIF Outturn terms, discharged) (adjusted for slack volume in shorelines, if any), or by meters, if meters are available.    When lightering is permitted, the quantity shall be based on barge ullage measurements at the lightering area corrected by the vessel experience factor.    Unless otherwise agreed, the quantity of Products so determined shall be used for invoicing.    In the case of Products sold CIF Outturn, with invoicing based upon discharge quantity, Seller has the right to have its own representative present at the discharge terminal during discharge.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18.5</w:t>
        <w:tab/>
        <w:t>If the inspector's determination shows the quantity and quality of Products loaded onto the vessel (or, in the case of sales on CIF Outturn terms, discharged from the vessel) to be in accordance with the requirements of a Transaction, then Buyer shall be deemed to have accepted such Products and may not reject them.    Buyer may not reject Products by reason that the quantity loaded or discharged (as the case may be) is less than required by a Transaction.    If the quantity of Products tendered for loading or discharge or loaded or discharged (as the case may be) is larger than required by a Transaction, Buyer may either accept them all (and pay for them all at the contract rate) or reject the excess but may not reject them all.</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18.6</w:t>
        <w:tab/>
        <w:t>Buyer shall notify Seller of any claim as to defect in quality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bill of lading (in the case of a sale on CIF or CFR terms) or from the date of discharge (in the case of a sale on CIF Outturn terms). 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Heading1"/>
        <w:widowControl/>
        <w:numPr>
          <w:ilvl w:val="0"/>
          <w:numId w:val="0"/>
        </w:numPr>
        <w:bidi w:val="0"/>
        <w:jc w:val="center"/>
        <w:outlineLvl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19.</w:t>
        <w:tab/>
        <w:t>Nomination and Delivery Schedule</w:t>
      </w:r>
    </w:p>
    <w:p>
      <w:pPr>
        <w:pStyle w:val="Normal"/>
        <w:widowControl/>
        <w:bidi w:val="0"/>
        <w:rPr>
          <w:rFonts w:ascii="Arial" w:hAnsi="Arial"/>
          <w:sz w:val="20"/>
        </w:rPr>
      </w:pPr>
      <w:r>
        <w:rPr>
          <w:rFonts w:ascii="Arial" w:hAnsi="Arial"/>
          <w:sz w:val="20"/>
        </w:rPr>
        <w:t>19.1</w:t>
        <w:tab/>
        <w:t>Seller shall notify Buyer by facsimile, telegram or telex of the delivery schedule as far in advance as is reasonably practicable.    The notification shall include: (i) the loading date range and the loading terminal; (ii) confirmation of the grade and estimated quantity (plus or minus 10%) of the Products to be loaded; (iii) the name of the vessel (unless "to be nominated" ("</w:t>
      </w:r>
      <w:r>
        <w:rPr>
          <w:rFonts w:ascii="Arial" w:hAnsi="Arial"/>
          <w:b/>
          <w:sz w:val="20"/>
        </w:rPr>
        <w:t>TBN</w:t>
      </w:r>
      <w:r>
        <w:rPr>
          <w:rFonts w:ascii="Arial" w:hAnsi="Arial"/>
          <w:sz w:val="20"/>
        </w:rPr>
        <w:t>") procedure is used, in which case Seller shall provide Buyer with the name and physical characteristics of the vessel as soon as is reasonably practicable); and (iv) the estimated date of arrival at the discharge port.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19.2</w:t>
        <w:tab/>
        <w:t>Buyer shall notify Seller by facsimile, telegram or telex that it accepts or rejects the nominated vessel (which acceptance    shall not be unreasonably withheld or delayed) within two (2) days of such notice from Seller.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19.3</w:t>
        <w:tab/>
        <w:t>Seller may substitute for a vessel which has been nominated and accepted another vessel whose size and capacity are equivalent to the vessel originally nominated; provided, however, that the substituted vessel is able to load the same estimated quantity of Products during the same loading date range.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19.4</w:t>
        <w:tab/>
        <w:t>No later than five (5) days prior to the first day of the loading date range, Buyer shall advise Seller of any documentation instructions applicable at the discharge port and Seller shall use reasonable efforts to comply with them.</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19.5</w:t>
        <w:tab/>
        <w:t>Prior to nomination of vessel, Buyer shall notify Seller of any restrictions or limitations at the agreed upon discharge port.    Any vessel nominated by Seller shall meet the general vessel requirements of the discharge terminal (including any pollution insurance requirements of the terminal).    The vessel shall fully comply with (or hold necessary waivers from) all Laws and Regulations of any Governmental Authority, as are applicable and in effect at the port of discharge as of the date the vessel gives Notice of Readiness ("</w:t>
      </w:r>
      <w:r>
        <w:rPr>
          <w:rFonts w:ascii="Arial" w:hAnsi="Arial"/>
          <w:b/>
          <w:sz w:val="20"/>
        </w:rPr>
        <w:t>NOR</w:t>
      </w:r>
      <w:r>
        <w:rPr>
          <w:rFonts w:ascii="Arial" w:hAnsi="Arial"/>
          <w:sz w:val="20"/>
        </w:rPr>
        <w:t>").    The vessel shall have in place all certificates as may be required by such applicable Laws and Regulations, including certificates of financial responsibility.    Seller warrants that the vessel shall be owned or demise chartered by a member of the International Tanker Owners Pollution Federation Limited and shall be entered in a Protection and Indemnity Association.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19.6</w:t>
        <w:tab/>
        <w:t>Seller shall notify Buyer, as soon after completion of loading as reasonably practicable, of the quantity of Products loaded and the expected date of arrival of the vessel at the discharge terminal.    Seller undertakes to advise Buyer promptly of any change in the delivery schedule arising from weather, operational matters or any circumstances beyond Seller's reasonable control.</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19.7</w:t>
        <w:tab/>
        <w:t>Buyer shall use reasonable endeavours to accept or obtain acceptance of any nomination which has not been made in strict accordance with the provisions of this Section 19.</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20.</w:t>
        <w:tab/>
      </w:r>
      <w:r>
        <w:rPr>
          <w:rFonts w:ascii="Arial" w:hAnsi="Arial"/>
          <w:caps w:val="false"/>
          <w:smallCaps w:val="false"/>
          <w:sz w:val="20"/>
        </w:rPr>
        <w:t>Delivery at the Discharge Terminal</w:t>
      </w:r>
    </w:p>
    <w:p>
      <w:pPr>
        <w:pStyle w:val="Normal"/>
        <w:widowControl/>
        <w:bidi w:val="0"/>
        <w:rPr>
          <w:rFonts w:ascii="Arial" w:hAnsi="Arial"/>
          <w:sz w:val="20"/>
        </w:rPr>
      </w:pPr>
      <w:r>
        <w:rPr>
          <w:rFonts w:ascii="Arial" w:hAnsi="Arial"/>
          <w:sz w:val="20"/>
        </w:rPr>
        <w:t>20.1</w:t>
        <w:tab/>
        <w:t xml:space="preserve">Seller may refuse at any time to direct the vessel to complete the voyage to the original intended destination (a) if it would be required to transit or proceed to or remain (i) in waters such as to be in breach of Institute Warranties or, in Seller's opinion, risk to its safety or risk of ice damage or (ii) in waters affected by war, hostilities, warlike operations, civil war, civil commotion or revolution or (b) if the vessel is diverted or required to discharge at an alternative safe port due to the operation of international law or compliance with any Laws and Regulations or any directions or recommendations of any Governmental Authority.    In any such case the Parties shall consult together and agree mutually acceptable alternative action, any additional cost or expense of which will be for the account of Buyer and without limitation Buyer shall indemnify Seller against any resulting additional expenses incurred under the terms of the charter party.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20.2</w:t>
        <w:tab/>
        <w:t>Seller shall arrange to have Buyer and the discharge terminal notified by facsimile, telex or telegram of the estimated date and time of arrival of the vessel approximately (and no less than) seventy-two (72), forty-eight (48) and twenty-four (24) hours prior to the time at which it is expected to arrive at the discharge port (or at such other times as are otherwise required by the rules and regulations applicable at the discharge terminal).</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20.3</w:t>
        <w:tab/>
        <w:t xml:space="preserve">Buyer shall cause the discharge terminal to provide free of charge a discharge berth for the nominated vessel with sufficient depth to allow the vessel when fully laden to proceed thereto, lie thereat, discharge the Products and depart therefrom, always safely afloat.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20.4</w:t>
        <w:tab/>
        <w:t>Seller shall be responsible for all dues, costs and other charges due in respect of the vessel at the discharge terminal which are for the account of the vessel owner(s) or charterer according to the New Worldwide Tanker Nominal Freight Scale ("</w:t>
      </w:r>
      <w:r>
        <w:rPr>
          <w:rFonts w:ascii="Arial" w:hAnsi="Arial"/>
          <w:b/>
          <w:sz w:val="20"/>
        </w:rPr>
        <w:t>WORLDSCALE</w:t>
      </w:r>
      <w:r>
        <w:rPr>
          <w:rFonts w:ascii="Arial" w:hAnsi="Arial"/>
          <w:sz w:val="20"/>
        </w:rPr>
        <w:t>"), except that Buyer shall reimburse Seller for any such charges incurred as a result of any act or omission of Buyer or its consignee.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20.5</w:t>
        <w:tab/>
        <w:t>The discharge terminal or Buyer may require a vessel to shift berth (subject to the consent of the master and the safety of the vessel not being compromised), in which case the risks of liability (including environmental pollution) and costs of shifting berth shall be for the account of Buyer and the shifting time shall be counted as used laytime or, if the vessel is already on demurrage, as time on demurrage.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20.6</w:t>
        <w:tab/>
        <w:t>Unless otherwise specifically agreed, lightering shall not be permitted.    Any lightering shall be at the sole expense of Buyer, and Buyer shall assume all risks of liability, including, but not limited to, environmental pollution.    All time used in such lightering, together with any consequential delay, shall count as used laytime, or if the vessel is on demurrage, as time on demurrage, as provided in Section 6.5 below.</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20.7</w:t>
        <w:tab/>
        <w:t xml:space="preserve">Buyer shall arrange to have the vessel discharge as expeditiously as possible.    Buyer shall at its own expense provide or cause to be provided all necessary flexible hoses, connection, pipelines, tankage facilities and any other equipment or facilities necessary for the safe and efficient discharge of the Products from the vessel.    Buyer shall indemnify Seller against any additional expenses incurred under the charter party for pumping ashore oil residues to comply with oil pollution avoidance programmes. 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20.8</w:t>
        <w:tab/>
        <w:t>The vessel shall vacate the berth as soon as possible after completion of discharge and ballasting provided the vessel can safely do so.</w:t>
      </w:r>
    </w:p>
    <w:p>
      <w:pPr>
        <w:pStyle w:val="Normal"/>
        <w:widowControl/>
        <w:bidi w:val="0"/>
        <w:rPr>
          <w:rFonts w:ascii="Arial" w:hAnsi="Arial"/>
          <w:sz w:val="20"/>
        </w:rPr>
      </w:pPr>
      <w:r>
        <w:rPr>
          <w:rFonts w:ascii="Arial" w:hAnsi="Arial"/>
          <w:sz w:val="20"/>
        </w:rPr>
      </w:r>
    </w:p>
    <w:p>
      <w:pPr>
        <w:pStyle w:val="BodyText2"/>
        <w:widowControl/>
        <w:bidi w:val="0"/>
        <w:rPr>
          <w:rFonts w:ascii="Arial" w:hAnsi="Arial"/>
        </w:rPr>
      </w:pPr>
      <w:r>
        <w:rPr>
          <w:rFonts w:ascii="Arial" w:hAnsi="Arial"/>
        </w:rPr>
        <w:t>20.9</w:t>
        <w:tab/>
        <w:t>Without prejudice to the generality of, and subject to, the provisions set out in Section 8, Buyer shall be the importer of record, shall comply with all Laws and Regulations in effect at the discharge port governing the importation of the Products, shall assume and be responsible for any taxes, duties, imposts, charges, fees and dues of every description and howsoever designated attributable or related to importation of the Products which may be imposed, (including, without limitation, any customs or excise duties, import taxes, environmental or spill taxes, user or port maintenance fees and or superfund taxes) and shall promptly reimburse Seller for the amount of any of the same paid by Seller, including interest and penalties, if applicable.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21.</w:t>
        <w:tab/>
      </w:r>
      <w:r>
        <w:rPr>
          <w:rFonts w:ascii="Arial" w:hAnsi="Arial"/>
          <w:caps w:val="false"/>
          <w:smallCaps w:val="false"/>
          <w:sz w:val="20"/>
        </w:rPr>
        <w:t>Laytime and Demurrage</w:t>
      </w:r>
    </w:p>
    <w:p>
      <w:pPr>
        <w:pStyle w:val="Normal"/>
        <w:widowControl/>
        <w:bidi w:val="0"/>
        <w:rPr>
          <w:rFonts w:ascii="Arial" w:hAnsi="Arial"/>
          <w:sz w:val="20"/>
        </w:rPr>
      </w:pPr>
      <w:r>
        <w:rPr>
          <w:rFonts w:ascii="Arial" w:hAnsi="Arial"/>
          <w:sz w:val="20"/>
        </w:rPr>
        <w:t>21.1</w:t>
        <w:tab/>
        <w:t>Upon arrival at the discharge terminal or the customary anchorage or other waiting place at the discharge terminal, Seller shall cause the master or his representative to tender to Buyer or Buyer's representative by facsimile, telex or telegram NOR to discharge the Products.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21.2</w:t>
        <w:tab/>
        <w:t>Laytime shall commence at six (6) running hours after NOR is tendered at the discharge terminal, or upon the vessel's arrival in berth (</w:t>
      </w:r>
      <w:r>
        <w:rPr>
          <w:rFonts w:ascii="Arial" w:hAnsi="Arial"/>
          <w:i/>
          <w:sz w:val="20"/>
        </w:rPr>
        <w:t>i.e</w:t>
      </w:r>
      <w:r>
        <w:rPr>
          <w:rFonts w:ascii="Arial" w:hAnsi="Arial"/>
          <w:sz w:val="20"/>
        </w:rPr>
        <w:t>. finished mooring when at a sealoading terminal and all fast when loading alongside a wharf), whichever first occurs.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21.3</w:t>
        <w:tab/>
        <w:t>Laytime allowed to Buyer for discharging each cargo shall be thirty-six (36) hours for discharging a full cargo and pro-rata thereof for part cargoes, Sundays, holidays and nights included.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21.4</w:t>
        <w:tab/>
        <w:t xml:space="preserve">Discharge of the cargo shall be continuous.    Any time consumed for the purpose of clearing shore pipe lines of cargo after discharging by arranging for the vessel to pump water through them shall count as used laytime or, if the vessel is already on demurrage, as time on demurrage.    Laytime shall cease upon disconnection of the delivery hoses from the vessel once discharge and shore pipe line clearing, if applicable, is complete. 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21.5</w:t>
        <w:tab/>
        <w:t>In the event of lightering undertaken at the request of Buyer all time used in connection with lightering operations (such time shall commence when the vessel arrives at the lightering site designated by Buyer and shall end when the cargo hoses have been disconnected from the last cargo receiving vessel) shall count as used laytime, or, if the vessel is on demurrage, as time on demurrage.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21.6</w:t>
        <w:tab/>
        <w:t>Subject to Sections 6.7 and 6.8 and to any provision to the contrary agreed by the Parties or agreed under the nomination procedure, for all time used in excess of the allowed laytime set out herein, Buyer shall pay demurrage to Seller per running hour and pro rata for portions thereof at the demurrage rate and in the currency specified in the charter party.</w:t>
      </w:r>
    </w:p>
    <w:p>
      <w:pPr>
        <w:pStyle w:val="Normal"/>
        <w:widowControl/>
        <w:bidi w:val="0"/>
        <w:rPr>
          <w:rFonts w:ascii="Arial" w:hAnsi="Arial"/>
          <w:sz w:val="20"/>
        </w:rPr>
      </w:pPr>
      <w:r>
        <w:rPr>
          <w:rFonts w:ascii="Arial" w:hAnsi="Arial"/>
          <w:sz w:val="20"/>
        </w:rPr>
        <w:t>21.7</w:t>
        <w:tab/>
        <w:t>Seller's right to demurrage (as set out herein) is a genuine pre-estimate of Seller's damages in respect of any failure by Buyer to complete the discharge within the allowed laytime.    It is agreed that the Buyer's obligation as to laytime and liability as to demurrage shall be absolute and not subject to qualification by the Force Majeure provisions of Section 6.    However, if Buyer incurs liability for demurrage at the discharge terminal by reason of fire, storm, explosion, strike, lockout, stoppage or restraint of labour or by breakdown of machinery or equipment in or about the receiving facilities of Buyer or its consignee at the discharge terminal (but only to the extent that such conditions were not caused by the act or omission of Buyer, its consignee or the discharge terminal, and if vessel is not already on demurrage), such demurrage shall be paid at one-half the applicable rate as provided in Section 6.6.</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21.8</w:t>
        <w:tab/>
        <w:t>Buyer shall pay Seller demurrage no later than thirty (30) days after receipt of the Seller's invoice supported by appropriate documentation.    In the event that Buyer fails to pay within thirty (30) days, Buyer shall pay interest on the overdue payment at the rate set out in Section 2.9.</w:t>
      </w:r>
    </w:p>
    <w:p>
      <w:pPr>
        <w:pStyle w:val="Heading1"/>
        <w:widowControl/>
        <w:numPr>
          <w:ilvl w:val="0"/>
          <w:numId w:val="0"/>
        </w:numPr>
        <w:bidi w:val="0"/>
        <w:spacing w:before="0" w:after="0"/>
        <w:jc w:val="center"/>
        <w:outlineLvl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22.</w:t>
        <w:tab/>
      </w:r>
      <w:r>
        <w:rPr>
          <w:rFonts w:ascii="Arial" w:hAnsi="Arial"/>
          <w:caps w:val="false"/>
          <w:smallCaps w:val="false"/>
          <w:sz w:val="20"/>
        </w:rPr>
        <w:t>Charter Party Conditions and Insurance</w:t>
      </w:r>
    </w:p>
    <w:p>
      <w:pPr>
        <w:pStyle w:val="BodyText2"/>
        <w:widowControl/>
        <w:bidi w:val="0"/>
        <w:rPr>
          <w:rFonts w:ascii="Arial" w:hAnsi="Arial"/>
        </w:rPr>
      </w:pPr>
      <w:r>
        <w:rPr>
          <w:rFonts w:ascii="Arial" w:hAnsi="Arial"/>
        </w:rPr>
        <w:t>22.1</w:t>
        <w:tab/>
        <w:t>Seller shall contract for carriage of the Products to Buyer at the agreed upon discharge terminal under bills of lading which may incorporate charter party conditions customarily used for the shipment of Products in bulk, and Buyer shall comply with the conditions of the charter party.    If Buyer so requests, Seller shall provide a copy of the charter party terms and conditions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22.2</w:t>
        <w:tab/>
        <w:t>In the case of sales on a Cost and Freight ("</w:t>
      </w:r>
      <w:r>
        <w:rPr>
          <w:rFonts w:ascii="Arial" w:hAnsi="Arial"/>
          <w:b/>
          <w:sz w:val="20"/>
        </w:rPr>
        <w:t>CFR</w:t>
      </w:r>
      <w:r>
        <w:rPr>
          <w:rFonts w:ascii="Arial" w:hAnsi="Arial"/>
          <w:sz w:val="20"/>
        </w:rPr>
        <w:t>") basis, Buyer shall be solely responsible for obtaining and paying for insurance, whether against marine, pollution, war or other risks.    Seller shall not be required, unless specifically requested by Buyer in writing, to give any notice to Buyer regarding the route to be taken or other information to enable Buyer to insure the Products during their transit.    Section 32(3) of the Sale of Goods Act 1979 shall not apply.    The absence of such notice or information shall not subject Seller to any liability relating to the Products.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22.3</w:t>
        <w:tab/>
        <w:t>In the case of sales on a Cost, Insurance and Freight ("</w:t>
      </w:r>
      <w:r>
        <w:rPr>
          <w:rFonts w:ascii="Arial" w:hAnsi="Arial"/>
          <w:b/>
          <w:sz w:val="20"/>
        </w:rPr>
        <w:t>CIF</w:t>
      </w:r>
      <w:r>
        <w:rPr>
          <w:rFonts w:ascii="Arial" w:hAnsi="Arial"/>
          <w:sz w:val="20"/>
        </w:rPr>
        <w:t>") basis, Seller shall procure and pay for insurance, as specified in Section 22.4 below, in the same currency as the price to the full contract price (or expected contract price) of the cargo.    Such insurance shall be in force from the time as from which the Products are at Buyer's risk (</w:t>
      </w:r>
      <w:r>
        <w:rPr>
          <w:rFonts w:ascii="Arial" w:hAnsi="Arial"/>
          <w:i/>
          <w:sz w:val="20"/>
        </w:rPr>
        <w:t xml:space="preserve">i.e., </w:t>
      </w:r>
      <w:r>
        <w:rPr>
          <w:rFonts w:ascii="Arial" w:hAnsi="Arial"/>
          <w:sz w:val="20"/>
        </w:rPr>
        <w:t>when the Products pass the flange connection between the delivery hose and the permanent hose connection of the vessel at the loading terminal) until the Products pass the flange connection between the vessel's discharge manifolds and the receiving hose at the discharge terminal.    Shortage and contamination shall be covered by insurance only to the extent that the cause thereof can be explained specifically.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22.4</w:t>
        <w:tab/>
        <w:t>The insurance procured by Seller pursuant to Section 22.3 shall be as per category A of the Institute Cargo Clauses (Institute of London Underwriters) with a deductible of 0.5% for leakage and shortage.    Insurance coverage shall be furnished to Buyer in a form, and by insurers, acceptable to Buyer, and such acceptance shall not be unreasonably withheld or delayed.    When requested to do so, upon adequate prior notice, Seller shall provide Buyer with a negotiable insurance certificate as soon as reasonably practicable after completion of loading.</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22.5</w:t>
        <w:tab/>
        <w:t>If and to the extent that any voyages to any discharge terminals or through any sea areas which any vessels have to travel in performance of a Transaction attracts or requires war risk insurance premiums and/or crew war bonuses or any other bonuses in excess of those prevailing at the date of the charter party and/or at the date a Transaction is entered into, the cost of such excess premiums and/or bonuses relating to each delivery of Products to Buyer shall be paid by Buyer to Seller in addition to any other amounts payable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08" w:right="1008" w:gutter="0" w:header="709" w:top="1800" w:footer="1080" w:bottom="1440"/>
          <w:pgNumType w:fmt="decimal"/>
          <w:formProt w:val="false"/>
          <w:titlePg/>
          <w:textDirection w:val="lrTb"/>
        </w:sectPr>
      </w:pPr>
    </w:p>
    <w:p>
      <w:pPr>
        <w:pStyle w:val="Normal"/>
        <w:widowControl/>
        <w:bidi w:val="0"/>
        <w:jc w:val="center"/>
        <w:rPr>
          <w:rFonts w:ascii="Arial" w:hAnsi="Arial"/>
          <w:b/>
          <w:sz w:val="20"/>
        </w:rPr>
      </w:pPr>
      <w:bookmarkStart w:id="0" w:name="DocRefNewStart"/>
      <w:bookmarkEnd w:id="0"/>
      <w:r>
        <w:rPr>
          <w:rFonts w:ascii="Arial" w:hAnsi="Arial"/>
          <w:b/>
          <w:sz w:val="20"/>
        </w:rPr>
        <w:t>THE SCHEDULE</w:t>
      </w:r>
    </w:p>
    <w:p>
      <w:pPr>
        <w:pStyle w:val="Normal"/>
        <w:widowControl/>
        <w:bidi w:val="0"/>
        <w:jc w:val="center"/>
        <w:rPr>
          <w:rFonts w:ascii="Arial" w:hAnsi="Arial"/>
          <w:b/>
          <w:sz w:val="20"/>
        </w:rPr>
      </w:pPr>
      <w:r>
        <w:rPr>
          <w:rFonts w:ascii="Arial" w:hAnsi="Arial"/>
          <w:b/>
          <w:sz w:val="20"/>
        </w:rPr>
      </w:r>
    </w:p>
    <w:p>
      <w:pPr>
        <w:pStyle w:val="Normal"/>
        <w:widowControl/>
        <w:bidi w:val="0"/>
        <w:jc w:val="center"/>
        <w:rPr>
          <w:rFonts w:ascii="Arial" w:hAnsi="Arial"/>
          <w:sz w:val="20"/>
        </w:rPr>
      </w:pPr>
      <w:r>
        <w:rPr>
          <w:rFonts w:ascii="Arial" w:hAnsi="Arial"/>
          <w:b/>
          <w:sz w:val="20"/>
        </w:rPr>
        <w:t>FORM OF LETTER OF INDEMNITY</w:t>
      </w:r>
    </w:p>
    <w:p>
      <w:pPr>
        <w:pStyle w:val="Normal"/>
        <w:widowControl/>
        <w:bidi w:val="0"/>
        <w:ind w:end="-241"/>
        <w:jc w:val="center"/>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To:</w:t>
        <w:tab/>
        <w:t>[Buyer]</w:t>
      </w:r>
    </w:p>
    <w:p>
      <w:pPr>
        <w:pStyle w:val="Normal"/>
        <w:widowControl/>
        <w:bidi w:val="0"/>
        <w:ind w:hanging="0" w:start="720" w:end="-241"/>
        <w:rPr>
          <w:rFonts w:ascii="Arial" w:hAnsi="Arial"/>
          <w:sz w:val="20"/>
        </w:rPr>
      </w:pPr>
      <w:r>
        <w:rPr>
          <w:rFonts w:ascii="Arial" w:hAnsi="Arial"/>
          <w:sz w:val="20"/>
        </w:rPr>
        <w:t>[Address:]</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Dear Sirs</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We refer to our agreement (the "</w:t>
      </w:r>
      <w:r>
        <w:rPr>
          <w:rFonts w:ascii="Arial" w:hAnsi="Arial"/>
          <w:b/>
          <w:sz w:val="20"/>
        </w:rPr>
        <w:t>Transaction</w:t>
      </w:r>
      <w:r>
        <w:rPr>
          <w:rFonts w:ascii="Arial" w:hAnsi="Arial"/>
          <w:sz w:val="20"/>
        </w:rPr>
        <w:t>") to sell to you a shipment of [             ] net [US barrels/gallons/tons][metric tonnes] of [                  ] (the "</w:t>
      </w:r>
      <w:r>
        <w:rPr>
          <w:rFonts w:ascii="Arial" w:hAnsi="Arial"/>
          <w:b/>
          <w:sz w:val="20"/>
        </w:rPr>
        <w:t>Products</w:t>
      </w:r>
      <w:r>
        <w:rPr>
          <w:rFonts w:ascii="Arial" w:hAnsi="Arial"/>
          <w:sz w:val="20"/>
        </w:rPr>
        <w:t>") shipped on board the vessel [                 ] at the port of [                 ] with bill of lading dated [                 ], 199[ ].</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To date we are unable to provide you with the requisite shipping document(s) in relation to the said sale [    ], which consist of [                     ] (the "</w:t>
      </w:r>
      <w:r>
        <w:rPr>
          <w:rFonts w:ascii="Arial" w:hAnsi="Arial"/>
          <w:b/>
          <w:sz w:val="20"/>
        </w:rPr>
        <w:t>Documents</w:t>
      </w:r>
      <w:r>
        <w:rPr>
          <w:rFonts w:ascii="Arial" w:hAnsi="Arial"/>
          <w:sz w:val="20"/>
        </w:rPr>
        <w:t>").</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 xml:space="preserve">In consideration of your agreeing to pay us, and effecting due payment of, the full sale price of </w:t>
      </w:r>
      <w:r>
        <w:rPr>
          <w:rFonts w:ascii="Arial" w:hAnsi="Arial"/>
          <w:b/>
          <w:sz w:val="20"/>
        </w:rPr>
        <w:t>(currency</w:t>
      </w:r>
      <w:r>
        <w:rPr>
          <w:rFonts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widowControl/>
        <w:bidi w:val="0"/>
        <w:ind w:end="-241"/>
        <w:rPr>
          <w:rFonts w:ascii="Arial" w:hAnsi="Arial"/>
          <w:sz w:val="20"/>
        </w:rPr>
      </w:pPr>
      <w:r>
        <w:rPr>
          <w:rFonts w:ascii="Arial" w:hAnsi="Arial"/>
          <w:sz w:val="20"/>
        </w:rPr>
      </w:r>
    </w:p>
    <w:p>
      <w:pPr>
        <w:pStyle w:val="Normal"/>
        <w:keepNext w:val="true"/>
        <w:keepLines/>
        <w:widowControl/>
        <w:bidi w:val="0"/>
        <w:ind w:end="-241"/>
        <w:rPr>
          <w:rFonts w:ascii="Arial" w:hAnsi="Arial"/>
          <w:sz w:val="20"/>
        </w:rPr>
      </w:pPr>
      <w:r>
        <w:rPr>
          <w:rFonts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Yours faithfully</w:t>
      </w:r>
    </w:p>
    <w:p>
      <w:pPr>
        <w:pStyle w:val="Normal"/>
        <w:widowControl/>
        <w:bidi w:val="0"/>
        <w:ind w:end="-241"/>
        <w:rPr>
          <w:rFonts w:ascii="Arial" w:hAnsi="Arial"/>
          <w:sz w:val="20"/>
        </w:rPr>
      </w:pPr>
      <w:r>
        <w:rPr>
          <w:rFonts w:ascii="Arial" w:hAnsi="Arial"/>
          <w:sz w:val="20"/>
        </w:rPr>
        <w:t>[Seller]</w:t>
      </w:r>
    </w:p>
    <w:p>
      <w:pPr>
        <w:pStyle w:val="Normal"/>
        <w:widowControl/>
        <w:bidi w:val="0"/>
        <w:ind w:end="-241"/>
        <w:rPr>
          <w:rFonts w:ascii="Arial" w:hAnsi="Arial"/>
          <w:sz w:val="20"/>
        </w:rPr>
      </w:pPr>
      <w:r>
        <w:rPr>
          <w:rFonts w:ascii="Arial" w:hAnsi="Arial"/>
          <w:sz w:val="20"/>
        </w:rPr>
        <w:t>By:</w:t>
      </w:r>
    </w:p>
    <w:p>
      <w:pPr>
        <w:pStyle w:val="Normal"/>
        <w:widowControl/>
        <w:bidi w:val="0"/>
        <w:ind w:end="-241"/>
        <w:rPr>
          <w:rFonts w:ascii="Arial" w:hAnsi="Arial"/>
          <w:sz w:val="20"/>
        </w:rPr>
      </w:pPr>
      <w:r>
        <w:rPr>
          <w:rFonts w:ascii="Arial" w:hAnsi="Arial"/>
          <w:sz w:val="20"/>
        </w:rPr>
        <w:t>Address of Seller:</w:t>
      </w:r>
    </w:p>
    <w:p>
      <w:pPr>
        <w:pStyle w:val="Normal"/>
        <w:widowControl/>
        <w:bidi w:val="0"/>
        <w:ind w:end="-241"/>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C3:67187.5</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COMPARISON OF HEADERS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1-</w:t>
      </w:r>
    </w:p>
    <w:p>
      <w:pPr>
        <w:pStyle w:val="Normal"/>
        <w:widowControl/>
        <w:bidi w:val="0"/>
        <w:rPr>
          <w:rFonts w:ascii="Arial" w:hAnsi="Arial"/>
          <w:sz w:val="20"/>
        </w:rPr>
      </w:pPr>
      <w:r>
        <w:rPr>
          <w:rFonts w:ascii="Arial" w:hAnsi="Arial"/>
          <w:sz w:val="20"/>
        </w:rPr>
        <w:t>8</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2-</w:t>
      </w:r>
    </w:p>
    <w:p>
      <w:pPr>
        <w:pStyle w:val="Normal"/>
        <w:widowControl/>
        <w:bidi w:val="0"/>
        <w:rPr>
          <w:rFonts w:ascii="Arial" w:hAnsi="Arial"/>
          <w:sz w:val="20"/>
        </w:rPr>
      </w:pPr>
      <w:r>
        <w:rPr>
          <w:rFonts w:ascii="Arial" w:hAnsi="Arial"/>
          <w:strike/>
          <w:sz w:val="20"/>
        </w:rPr>
        <w:t>16</w:t>
      </w:r>
      <w:r>
        <w:rPr>
          <w:rFonts w:ascii="Arial" w:hAnsi="Arial"/>
          <w:sz w:val="20"/>
        </w:rPr>
        <w:t xml:space="preserve"> </w:t>
      </w:r>
      <w:r>
        <w:rPr>
          <w:rFonts w:ascii="Arial" w:hAnsi="Arial"/>
          <w:sz w:val="20"/>
          <w:u w:val="double"/>
        </w:rPr>
        <w:t>26</w:t>
      </w:r>
      <w:r>
        <w:rPr>
          <w:rFonts w:ascii="Arial" w:hAnsi="Arial"/>
          <w:sz w:val="20"/>
        </w:rPr>
        <w:t xml:space="preserve"> JULY 1999</w:t>
      </w:r>
    </w:p>
    <w:p>
      <w:pPr>
        <w:pStyle w:val="Normal"/>
        <w:widowControl/>
        <w:bidi w:val="0"/>
        <w:rPr>
          <w:rFonts w:ascii="Arial" w:hAnsi="Arial"/>
          <w:sz w:val="20"/>
        </w:rPr>
      </w:pPr>
      <w:r>
        <w:rPr>
          <w:rFonts w:ascii="Arial" w:hAnsi="Arial"/>
          <w:sz w:val="20"/>
        </w:rPr>
        <w:t xml:space="preserve">VERSION </w:t>
      </w:r>
      <w:r>
        <w:rPr>
          <w:rFonts w:ascii="Arial" w:hAnsi="Arial"/>
          <w:strike/>
          <w:sz w:val="20"/>
        </w:rPr>
        <w:t>3</w:t>
      </w:r>
      <w:r>
        <w:rPr>
          <w:rFonts w:ascii="Arial" w:hAnsi="Arial"/>
          <w:sz w:val="20"/>
        </w:rPr>
        <w:t xml:space="preserve"> </w:t>
      </w:r>
      <w:r>
        <w:rPr>
          <w:rFonts w:ascii="Arial" w:hAnsi="Arial"/>
          <w:sz w:val="20"/>
          <w:u w:val="double"/>
        </w:rPr>
        <w:t>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3-</w:t>
      </w:r>
    </w:p>
    <w:p>
      <w:pPr>
        <w:pStyle w:val="Normal"/>
        <w:widowControl/>
        <w:bidi w:val="0"/>
        <w:rPr>
          <w:rFonts w:ascii="Arial" w:hAnsi="Arial"/>
          <w:sz w:val="20"/>
        </w:rPr>
      </w:pPr>
      <w:r>
        <w:rPr>
          <w:rFonts w:ascii="Arial" w:hAnsi="Arial"/>
          <w:sz w:val="20"/>
        </w:rPr>
        <w:t>14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COMPARISON OF FOOTERS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1-</w:t>
      </w:r>
    </w:p>
    <w:p>
      <w:pPr>
        <w:pStyle w:val="Normal"/>
        <w:widowControl/>
        <w:bidi w:val="0"/>
        <w:rPr>
          <w:rFonts w:ascii="Arial" w:hAnsi="Arial"/>
          <w:sz w:val="20"/>
        </w:rPr>
      </w:pPr>
      <w:r>
        <w:rPr>
          <w:rFonts w:ascii="Arial" w:hAnsi="Arial"/>
          <w:sz w:val="20"/>
        </w:rPr>
        <w:t>London-</w:t>
      </w:r>
      <w:r>
        <w:rPr>
          <w:rFonts w:ascii="Arial" w:hAnsi="Arial"/>
          <w:strike/>
          <w:sz w:val="20"/>
        </w:rPr>
        <w:t>1/379392/03</w:t>
      </w:r>
      <w:r>
        <w:rPr>
          <w:rFonts w:ascii="Arial" w:hAnsi="Arial"/>
          <w:sz w:val="20"/>
        </w:rPr>
        <w:t xml:space="preserve"> </w:t>
      </w:r>
      <w:r>
        <w:rPr>
          <w:rFonts w:ascii="Arial" w:hAnsi="Arial"/>
          <w:sz w:val="20"/>
          <w:u w:val="double"/>
        </w:rPr>
        <w:t>1/379392/04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2-</w:t>
      </w:r>
    </w:p>
    <w:p>
      <w:pPr>
        <w:pStyle w:val="Normal"/>
        <w:widowControl/>
        <w:bidi w:val="0"/>
        <w:rPr>
          <w:rFonts w:ascii="Arial" w:hAnsi="Arial"/>
          <w:sz w:val="20"/>
        </w:rPr>
      </w:pPr>
      <w:r>
        <w:rPr>
          <w:rFonts w:ascii="Arial" w:hAnsi="Arial"/>
          <w:sz w:val="20"/>
        </w:rPr>
        <w:t>London-</w:t>
      </w:r>
      <w:r>
        <w:rPr>
          <w:rFonts w:ascii="Arial" w:hAnsi="Arial"/>
          <w:strike/>
          <w:sz w:val="20"/>
        </w:rPr>
        <w:t>1/379392/03</w:t>
      </w:r>
      <w:r>
        <w:rPr>
          <w:rFonts w:ascii="Arial" w:hAnsi="Arial"/>
          <w:sz w:val="20"/>
        </w:rPr>
        <w:t xml:space="preserve"> </w:t>
      </w:r>
      <w:r>
        <w:rPr>
          <w:rFonts w:ascii="Arial" w:hAnsi="Arial"/>
          <w:sz w:val="20"/>
          <w:u w:val="double"/>
        </w:rPr>
        <w:t>1/379392/04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3-</w:t>
      </w:r>
    </w:p>
    <w:p>
      <w:pPr>
        <w:pStyle w:val="Normal"/>
        <w:widowControl/>
        <w:bidi w:val="0"/>
        <w:rPr>
          <w:rFonts w:ascii="Arial" w:hAnsi="Arial"/>
          <w:sz w:val="20"/>
        </w:rPr>
      </w:pPr>
      <w:r>
        <w:rPr>
          <w:rFonts w:ascii="Arial" w:hAnsi="Arial"/>
          <w:sz w:val="20"/>
        </w:rPr>
        <w:t>Internet Trading/ECTRI GTC FOB.doc</w:t>
      </w:r>
    </w:p>
    <w:p>
      <w:pPr>
        <w:pStyle w:val="Normal"/>
        <w:widowControl/>
        <w:bidi w:val="0"/>
        <w:rPr>
          <w:rFonts w:ascii="Arial" w:hAnsi="Arial"/>
          <w:sz w:val="20"/>
        </w:rPr>
      </w:pPr>
      <w:r>
        <w:rPr>
          <w:rFonts w:ascii="Arial" w:hAnsi="Arial"/>
          <w:sz w:val="20"/>
        </w:rPr>
        <w:t>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rPr>
          <w:rFonts w:ascii="Arial" w:hAnsi="Arial"/>
          <w:sz w:val="20"/>
        </w:rPr>
      </w:pPr>
      <w:r>
        <w:rPr>
          <w:rFonts w:ascii="Arial" w:hAnsi="Arial"/>
          <w:sz w:val="20"/>
        </w:rPr>
        <w:t>original document      : F:\LONDON-1\001893\84Q_03!.DOC</w:t>
      </w:r>
    </w:p>
    <w:p>
      <w:pPr>
        <w:pStyle w:val="Normal"/>
        <w:widowControl/>
        <w:bidi w:val="0"/>
        <w:rPr>
          <w:rFonts w:ascii="Arial" w:hAnsi="Arial"/>
          <w:sz w:val="20"/>
        </w:rPr>
      </w:pPr>
      <w:r>
        <w:rPr>
          <w:rFonts w:ascii="Arial" w:hAnsi="Arial"/>
          <w:sz w:val="20"/>
        </w:rPr>
        <w:t>and revised document: F:\LONDON-1\001893\84Q_04!.DOC</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CompareRite found        3 change(s) in the text</w:t>
      </w:r>
    </w:p>
    <w:p>
      <w:pPr>
        <w:pStyle w:val="Normal"/>
        <w:widowControl/>
        <w:bidi w:val="0"/>
        <w:rPr>
          <w:rFonts w:ascii="Arial" w:hAnsi="Arial"/>
          <w:sz w:val="20"/>
        </w:rPr>
      </w:pPr>
      <w:r>
        <w:rPr>
          <w:rFonts w:ascii="Arial" w:hAnsi="Arial"/>
          <w:sz w:val="20"/>
        </w:rPr>
        <w:t>CompareRite found        4 change(s) in the notes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xml:space="preserve">Deletions appear as Overstrike text </w:t>
      </w:r>
    </w:p>
    <w:p>
      <w:pPr>
        <w:pStyle w:val="Normal"/>
        <w:widowControl/>
        <w:bidi w:val="0"/>
        <w:rPr>
          <w:rFonts w:ascii="Arial" w:hAnsi="Arial"/>
          <w:sz w:val="20"/>
        </w:rPr>
      </w:pPr>
      <w:r>
        <w:rPr>
          <w:rFonts w:ascii="Arial" w:hAnsi="Arial"/>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40" w:right="1440" w:gutter="0" w:header="709" w:top="1800" w:footer="108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pBdr>
        <w:bottom w:val="single" w:sz="6" w:space="1" w:color="000000"/>
      </w:pBd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London-1/379392/04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London-1/379392/04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pBdr>
        <w:bottom w:val="single" w:sz="6" w:space="1" w:color="000000"/>
      </w:pBdr>
      <w:bidi w:val="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sz w:val="16"/>
      </w:rPr>
    </w:pPr>
    <w:r>
      <w:rPr>
        <w:rFonts w:ascii="Times New Roman" w:hAnsi="Times New Roman"/>
        <w:sz w:val="16"/>
      </w:rPr>
      <w:t>Internet Trading/ECTRI GTC FOB.doc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London-1/379392/04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Style w:val="PageNumber"/>
        <w:rFonts w:ascii="Times New Roman" w:hAnsi="Times New Roman"/>
        <w:sz w:val="22"/>
        <w:lang w:val="en-US"/>
      </w:rPr>
      <w:fldChar w:fldCharType="begin"/>
    </w:r>
    <w:r>
      <w:rPr>
        <w:rStyle w:val="PageNumber"/>
        <w:sz w:val="22"/>
        <w:rFonts w:ascii="Times New Roman" w:hAnsi="Times New Roman"/>
        <w:lang w:val="en-US"/>
      </w:rPr>
      <w:instrText xml:space="preserve"> PAGE </w:instrText>
    </w:r>
    <w:r>
      <w:rPr>
        <w:rStyle w:val="PageNumber"/>
        <w:sz w:val="22"/>
        <w:rFonts w:ascii="Times New Roman" w:hAnsi="Times New Roman"/>
        <w:lang w:val="en-US"/>
      </w:rPr>
      <w:fldChar w:fldCharType="separate"/>
    </w:r>
    <w:r>
      <w:rPr>
        <w:rStyle w:val="PageNumber"/>
        <w:sz w:val="22"/>
        <w:rFonts w:ascii="Times New Roman" w:hAnsi="Times New Roman"/>
        <w:lang w:val="en-US"/>
      </w:rPr>
      <w:t>18</w:t>
    </w:r>
    <w:r>
      <w:rPr>
        <w:rStyle w:val="PageNumber"/>
        <w:sz w:val="22"/>
        <w:rFonts w:ascii="Times New Roman" w:hAnsi="Times New Roman"/>
        <w:lang w:val="en-U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w:hAnsi="Arial"/>
        <w:b/>
        <w:sz w:val="20"/>
      </w:rPr>
    </w:pPr>
    <w:r>
      <w:rPr>
        <w:rFonts w:ascii="Arial" w:hAnsi="Arial"/>
        <w:b/>
        <w:sz w:val="20"/>
      </w:rPr>
      <w:t>26 JULY 1999</w:t>
    </w:r>
  </w:p>
  <w:p>
    <w:pPr>
      <w:pStyle w:val="Header"/>
      <w:widowControl/>
      <w:bidi w:val="0"/>
      <w:jc w:val="end"/>
      <w:rPr>
        <w:rFonts w:ascii="Times New Roman" w:hAnsi="Times New Roman"/>
      </w:rPr>
    </w:pPr>
    <w:r>
      <w:rPr>
        <w:rFonts w:ascii="Arial" w:hAnsi="Arial"/>
        <w:b/>
        <w:sz w:val="20"/>
      </w:rPr>
      <w:t>VERSION 4</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Style w:val="PageNumber"/>
        <w:rFonts w:ascii="Times New Roman" w:hAnsi="Times New Roman"/>
        <w:sz w:val="22"/>
        <w:lang w:val="en-GB"/>
      </w:rPr>
      <w:fldChar w:fldCharType="begin"/>
    </w:r>
    <w:r>
      <w:rPr>
        <w:rStyle w:val="PageNumber"/>
        <w:sz w:val="22"/>
        <w:rFonts w:ascii="Times New Roman" w:hAnsi="Times New Roman"/>
        <w:lang w:val="en-GB"/>
      </w:rPr>
      <w:instrText xml:space="preserve"> PAGE </w:instrText>
    </w:r>
    <w:r>
      <w:rPr>
        <w:rStyle w:val="PageNumber"/>
        <w:sz w:val="22"/>
        <w:rFonts w:ascii="Times New Roman" w:hAnsi="Times New Roman"/>
        <w:lang w:val="en-GB"/>
      </w:rPr>
      <w:fldChar w:fldCharType="separate"/>
    </w:r>
    <w:r>
      <w:rPr>
        <w:rStyle w:val="PageNumber"/>
        <w:sz w:val="22"/>
        <w:rFonts w:ascii="Times New Roman" w:hAnsi="Times New Roman"/>
        <w:lang w:val="en-GB"/>
      </w:rPr>
      <w:t>20</w:t>
    </w:r>
    <w:r>
      <w:rPr>
        <w:rStyle w:val="PageNumber"/>
        <w:sz w:val="22"/>
        <w:rFonts w:ascii="Times New Roman" w:hAnsi="Times New Roman"/>
        <w:lang w:val="en-GB"/>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w:hAnsi="Arial"/>
        <w:b/>
        <w:sz w:val="20"/>
      </w:rPr>
    </w:pPr>
    <w:r>
      <w:rPr>
        <w:rFonts w:ascii="Arial" w:hAnsi="Arial"/>
        <w:b/>
        <w:sz w:val="20"/>
      </w:rPr>
      <w:t>26 JULY 1999</w:t>
    </w:r>
  </w:p>
  <w:p>
    <w:pPr>
      <w:pStyle w:val="Header"/>
      <w:widowControl/>
      <w:bidi w:val="0"/>
      <w:jc w:val="end"/>
      <w:rPr>
        <w:rFonts w:ascii="Times New Roman" w:hAnsi="Times New Roman"/>
      </w:rPr>
    </w:pPr>
    <w:r>
      <w:rPr>
        <w:rFonts w:ascii="Arial" w:hAnsi="Arial"/>
        <w:b/>
        <w:sz w:val="20"/>
      </w:rPr>
      <w:t>VERSION 4</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Liberation Serif" w:hAnsi="Liberation Serif" w:eastAsia="Liberation Sans" w:cs="NotoSans NF"/>
      <w:color w:val="000000"/>
      <w:kern w:val="2"/>
      <w:sz w:val="22"/>
      <w:szCs w:val="24"/>
      <w:lang w:val="en-GB" w:eastAsia="zh-CN" w:bidi="hi-IN"/>
    </w:rPr>
  </w:style>
  <w:style w:type="paragraph" w:styleId="Heading1">
    <w:name w:val="heading 1"/>
    <w:basedOn w:val="Normal"/>
    <w:next w:val="Normal"/>
    <w:qFormat/>
    <w:pPr>
      <w:keepNext w:val="true"/>
      <w:widowControl w:val="false"/>
      <w:spacing w:before="0" w:after="240"/>
      <w:jc w:val="both"/>
    </w:pPr>
    <w:rPr>
      <w:b/>
      <w:caps/>
      <w:color w:val="000000"/>
      <w:sz w:val="22"/>
      <w:lang w:val="en-GB"/>
    </w:rPr>
  </w:style>
  <w:style w:type="paragraph" w:styleId="Heading2">
    <w:name w:val="heading 2"/>
    <w:basedOn w:val="Normal"/>
    <w:next w:val="Normal"/>
    <w:qFormat/>
    <w:pPr>
      <w:keepNext w:val="true"/>
      <w:widowControl w:val="false"/>
      <w:spacing w:before="0" w:after="240"/>
      <w:jc w:val="both"/>
    </w:pPr>
    <w:rPr>
      <w:b/>
      <w:color w:val="000000"/>
      <w:sz w:val="22"/>
      <w:lang w:val="en-GB"/>
    </w:rPr>
  </w:style>
  <w:style w:type="paragraph" w:styleId="Heading3">
    <w:name w:val="heading 3"/>
    <w:basedOn w:val="Normal"/>
    <w:next w:val="Normal"/>
    <w:qFormat/>
    <w:pPr>
      <w:widowControl w:val="false"/>
      <w:spacing w:before="0" w:after="240"/>
      <w:jc w:val="both"/>
    </w:pPr>
    <w:rPr>
      <w:color w:val="000000"/>
      <w:sz w:val="22"/>
      <w:lang w:val="en-GB"/>
    </w:rPr>
  </w:style>
  <w:style w:type="paragraph" w:styleId="Heading4">
    <w:name w:val="heading 4"/>
    <w:basedOn w:val="Normal"/>
    <w:next w:val="Normal"/>
    <w:qFormat/>
    <w:pPr>
      <w:widowControl w:val="false"/>
      <w:spacing w:before="0" w:after="240"/>
      <w:jc w:val="both"/>
    </w:pPr>
    <w:rPr>
      <w:color w:val="000000"/>
      <w:sz w:val="22"/>
      <w:lang w:val="en-GB"/>
    </w:rPr>
  </w:style>
  <w:style w:type="paragraph" w:styleId="Heading5">
    <w:name w:val="heading 5"/>
    <w:basedOn w:val="Normal"/>
    <w:next w:val="Normal"/>
    <w:qFormat/>
    <w:pPr>
      <w:widowControl w:val="false"/>
      <w:spacing w:before="240" w:after="60"/>
      <w:jc w:val="both"/>
    </w:pPr>
    <w:rPr>
      <w:color w:val="000000"/>
      <w:sz w:val="22"/>
      <w:lang w:val="en-GB"/>
    </w:rPr>
  </w:style>
  <w:style w:type="paragraph" w:styleId="Heading6">
    <w:name w:val="heading 6"/>
    <w:basedOn w:val="Normal"/>
    <w:next w:val="Normal"/>
    <w:qFormat/>
    <w:pPr>
      <w:widowControl w:val="false"/>
      <w:spacing w:before="240" w:after="60"/>
      <w:jc w:val="both"/>
    </w:pPr>
    <w:rPr>
      <w:color w:val="000000"/>
      <w:sz w:val="22"/>
      <w:lang w:val="en-GB"/>
    </w:rPr>
  </w:style>
  <w:style w:type="paragraph" w:styleId="Heading7">
    <w:name w:val="heading 7"/>
    <w:basedOn w:val="Normal"/>
    <w:next w:val="Normal"/>
    <w:qFormat/>
    <w:pPr>
      <w:widowControl w:val="false"/>
      <w:spacing w:before="240" w:after="60"/>
      <w:jc w:val="both"/>
    </w:pPr>
    <w:rPr>
      <w:color w:val="000000"/>
      <w:sz w:val="22"/>
      <w:lang w:val="en-GB"/>
    </w:rPr>
  </w:style>
  <w:style w:type="paragraph" w:styleId="Heading8">
    <w:name w:val="heading 8"/>
    <w:basedOn w:val="Normal"/>
    <w:next w:val="Normal"/>
    <w:qFormat/>
    <w:pPr>
      <w:widowControl w:val="false"/>
      <w:spacing w:before="240" w:after="60"/>
      <w:jc w:val="both"/>
    </w:pPr>
    <w:rPr>
      <w:color w:val="000000"/>
      <w:sz w:val="22"/>
      <w:lang w:val="en-GB"/>
    </w:rPr>
  </w:style>
  <w:style w:type="paragraph" w:styleId="Heading9">
    <w:name w:val="heading 9"/>
    <w:basedOn w:val="Normal"/>
    <w:next w:val="Normal"/>
    <w:qFormat/>
    <w:pPr>
      <w:widowControl w:val="false"/>
      <w:spacing w:before="240" w:after="60"/>
      <w:jc w:val="both"/>
    </w:pPr>
    <w:rPr>
      <w:color w:val="000000"/>
      <w:sz w:val="22"/>
      <w:lang w:val="en-GB"/>
    </w:rPr>
  </w:style>
  <w:style w:type="character" w:styleId="DefaultParagraphFont">
    <w:name w:val="Default Paragraph Font"/>
    <w:qFormat/>
    <w:rPr/>
  </w:style>
  <w:style w:type="character" w:styleId="CommentReference">
    <w:name w:val="annotation reference"/>
    <w:basedOn w:val="DefaultParagraphFont"/>
    <w:qFormat/>
    <w:rPr>
      <w:color w:val="FF0000"/>
      <w:sz w:val="16"/>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color w:val="000000"/>
      <w:sz w:val="18"/>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Indent">
    <w:name w:val="H3 Indent"/>
    <w:next w:val="Normal"/>
    <w:qFormat/>
    <w:pPr>
      <w:widowControl w:val="false"/>
      <w:bidi w:val="0"/>
      <w:ind w:hanging="0" w:start="1440"/>
    </w:pPr>
    <w:rPr>
      <w:rFonts w:ascii="Liberation Serif" w:hAnsi="Liberation Serif" w:eastAsia="Liberation Sans" w:cs="NotoSans NF"/>
      <w:color w:val="000000"/>
      <w:kern w:val="2"/>
      <w:sz w:val="22"/>
      <w:szCs w:val="24"/>
      <w:lang w:val="en-GB" w:eastAsia="zh-CN" w:bidi="hi-IN"/>
    </w:rPr>
  </w:style>
  <w:style w:type="paragraph" w:styleId="NormalIndent">
    <w:name w:val="Normal Indent"/>
    <w:basedOn w:val="Normal"/>
    <w:qFormat/>
    <w:pPr>
      <w:widowControl w:val="false"/>
      <w:ind w:hanging="0" w:start="720"/>
      <w:jc w:val="both"/>
    </w:pPr>
    <w:rPr>
      <w:color w:val="000000"/>
      <w:sz w:val="22"/>
      <w:lang w:val="en-GB"/>
    </w:rPr>
  </w:style>
  <w:style w:type="paragraph" w:styleId="CommentText">
    <w:name w:val="annotation text"/>
    <w:basedOn w:val="Normal"/>
    <w:pPr>
      <w:widowControl w:val="false"/>
      <w:ind w:hanging="720" w:start="720"/>
      <w:jc w:val="both"/>
    </w:pPr>
    <w:rPr>
      <w:color w:val="FF0000"/>
      <w:sz w:val="16"/>
      <w:lang w:val="en-GB"/>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Liberation Serif" w:hAnsi="Liberation Serif" w:eastAsia="Liberation Sans" w:cs="NotoSans NF"/>
      <w:color w:val="auto"/>
      <w:kern w:val="2"/>
      <w:sz w:val="16"/>
      <w:szCs w:val="24"/>
      <w:lang w:val="en-GB" w:eastAsia="zh-CN" w:bidi="hi-IN"/>
    </w:rPr>
  </w:style>
  <w:style w:type="paragraph" w:styleId="TOC2">
    <w:name w:val="toc 2"/>
    <w:basedOn w:val="Normal"/>
    <w:next w:val="Normal"/>
    <w:autoRedefine/>
    <w:pPr>
      <w:widowControl w:val="false"/>
      <w:tabs>
        <w:tab w:val="clear" w:pos="720"/>
        <w:tab w:val="decimal" w:pos="9000" w:leader="dot"/>
      </w:tabs>
      <w:ind w:hanging="720" w:start="1440" w:end="850"/>
      <w:jc w:val="both"/>
    </w:pPr>
    <w:rPr>
      <w:color w:val="000000"/>
      <w:sz w:val="22"/>
      <w:lang w:val="en-GB"/>
    </w:rPr>
  </w:style>
  <w:style w:type="paragraph" w:styleId="TOC1">
    <w:name w:val="toc 1"/>
    <w:basedOn w:val="Normal"/>
    <w:next w:val="Normal"/>
    <w:autoRedefine/>
    <w:pPr>
      <w:widowControl w:val="false"/>
      <w:tabs>
        <w:tab w:val="clear" w:pos="720"/>
        <w:tab w:val="decimal" w:pos="9000" w:leader="dot"/>
      </w:tabs>
      <w:ind w:hanging="720" w:start="720"/>
      <w:jc w:val="both"/>
    </w:pPr>
    <w:rPr>
      <w:color w:val="000000"/>
      <w:sz w:val="22"/>
      <w:lang w:val="en-GB"/>
    </w:rPr>
  </w:style>
  <w:style w:type="paragraph" w:styleId="Index1">
    <w:name w:val="index 1"/>
    <w:basedOn w:val="Normal"/>
    <w:next w:val="Normal"/>
    <w:autoRedefine/>
    <w:pPr>
      <w:widowControl w:val="false"/>
      <w:tabs>
        <w:tab w:val="clear" w:pos="720"/>
        <w:tab w:val="decimal" w:pos="9000" w:leader="dot"/>
      </w:tabs>
      <w:jc w:val="both"/>
    </w:pPr>
    <w:rPr>
      <w:color w:val="000000"/>
      <w:sz w:val="22"/>
      <w:lang w:val="en-GB"/>
    </w:rPr>
  </w:style>
  <w:style w:type="paragraph" w:styleId="HeaderandFooter">
    <w:name w:val="Header and Footer"/>
    <w:basedOn w:val="Normal"/>
    <w:qFormat/>
    <w:pPr/>
    <w:rPr/>
  </w:style>
  <w:style w:type="paragraph" w:styleId="Footer">
    <w:name w:val="footer"/>
    <w:basedOn w:val="Normal"/>
    <w:pPr>
      <w:widowControl w:val="false"/>
      <w:pBdr>
        <w:bottom w:val="single" w:sz="6" w:space="1" w:color="000000"/>
      </w:pBdr>
      <w:tabs>
        <w:tab w:val="clear" w:pos="720"/>
        <w:tab w:val="center" w:pos="4500" w:leader="none"/>
        <w:tab w:val="right" w:pos="9000" w:leader="none"/>
        <w:tab w:val="right" w:pos="13594" w:leader="none"/>
      </w:tabs>
    </w:pPr>
    <w:rPr>
      <w:color w:val="000000"/>
      <w:sz w:val="22"/>
      <w:lang w:val="en-GB"/>
    </w:rPr>
  </w:style>
  <w:style w:type="paragraph" w:styleId="Header">
    <w:name w:val="header"/>
    <w:basedOn w:val="Normal"/>
    <w:pPr>
      <w:widowControl w:val="false"/>
      <w:jc w:val="center"/>
    </w:pPr>
    <w:rPr>
      <w:color w:val="000000"/>
      <w:sz w:val="22"/>
      <w:lang w:val="en-GB"/>
    </w:rPr>
  </w:style>
  <w:style w:type="paragraph" w:styleId="FootnoteText">
    <w:name w:val="footnote text"/>
    <w:basedOn w:val="Normal"/>
    <w:pPr>
      <w:widowControl w:val="false"/>
      <w:ind w:hanging="720" w:start="720"/>
      <w:jc w:val="both"/>
    </w:pPr>
    <w:rPr>
      <w:color w:val="000000"/>
      <w:sz w:val="16"/>
      <w:lang w:val="en-GB"/>
    </w:rPr>
  </w:style>
  <w:style w:type="paragraph" w:styleId="footer1">
    <w:name w:val="footer 1"/>
    <w:basedOn w:val="Normal"/>
    <w:qFormat/>
    <w:pPr>
      <w:widowControl w:val="false"/>
      <w:tabs>
        <w:tab w:val="clear" w:pos="720"/>
        <w:tab w:val="center" w:pos="4507" w:leader="none"/>
        <w:tab w:val="center" w:pos="6653" w:leader="none"/>
        <w:tab w:val="right" w:pos="13594" w:leader="none"/>
      </w:tabs>
    </w:pPr>
    <w:rPr>
      <w:color w:val="000000"/>
      <w:sz w:val="22"/>
      <w:lang w:val="en-GB"/>
    </w:rPr>
  </w:style>
  <w:style w:type="paragraph" w:styleId="header1">
    <w:name w:val="header 1"/>
    <w:basedOn w:val="Header"/>
    <w:qFormat/>
    <w:pPr>
      <w:widowControl w:val="false"/>
      <w:pBdr>
        <w:bottom w:val="single" w:sz="6" w:space="1" w:color="000000"/>
      </w:pBdr>
      <w:tabs>
        <w:tab w:val="clear" w:pos="720"/>
        <w:tab w:val="right" w:pos="9000" w:leader="none"/>
        <w:tab w:val="right" w:pos="13594" w:leader="none"/>
      </w:tabs>
    </w:pPr>
    <w:rPr>
      <w:color w:val="000000"/>
      <w:sz w:val="22"/>
      <w:lang w:val="en-GB"/>
    </w:rPr>
  </w:style>
  <w:style w:type="paragraph" w:styleId="header2">
    <w:name w:val="header 2"/>
    <w:basedOn w:val="header1"/>
    <w:qFormat/>
    <w:pPr>
      <w:widowControl w:val="false"/>
      <w:pBdr>
        <w:bottom w:val="nil"/>
      </w:pBdr>
    </w:pPr>
    <w:rPr>
      <w:color w:val="000000"/>
      <w:sz w:val="22"/>
      <w:lang w:val="en-GB"/>
    </w:rPr>
  </w:style>
  <w:style w:type="paragraph" w:styleId="EnvelopeAddress">
    <w:name w:val="envelope address"/>
    <w:basedOn w:val="Normal"/>
    <w:pPr>
      <w:widowControl w:val="false"/>
      <w:jc w:val="both"/>
    </w:pPr>
    <w:rPr>
      <w:color w:val="000000"/>
      <w:sz w:val="22"/>
      <w:lang w:val="en-GB"/>
    </w:rPr>
  </w:style>
  <w:style w:type="paragraph" w:styleId="EnvelopeReturn">
    <w:name w:val="envelope return"/>
    <w:basedOn w:val="Normal"/>
    <w:pPr>
      <w:widowControl w:val="false"/>
      <w:jc w:val="both"/>
    </w:pPr>
    <w:rPr>
      <w:color w:val="000000"/>
      <w:sz w:val="20"/>
      <w:lang w:val="en-GB"/>
    </w:rPr>
  </w:style>
  <w:style w:type="paragraph" w:styleId="BodyText2">
    <w:name w:val="Body Text 2"/>
    <w:basedOn w:val="Normal"/>
    <w:qFormat/>
    <w:pPr>
      <w:widowControl w:val="false"/>
      <w:jc w:val="both"/>
    </w:pPr>
    <w:rPr>
      <w:color w:val="000000"/>
      <w:sz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11817</Words>
  <Characters>82720</Characters>
  <CharactersWithSpaces>67358</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1999-07-27T10:23:00Z</dcterms:created>
  <dc:creator>Enron Europe</dc:creator>
  <dc:description/>
  <dc:language>en-US</dc:language>
  <cp:lastModifiedBy/>
  <cp:lastPrinted>1999-06-30T15:37:00Z</cp:lastPrinted>
  <dcterms:modified xsi:type="dcterms:W3CDTF">1999-07-27T10:23:00Z</dcterms:modified>
  <cp:revision>2</cp:revision>
  <dc:subject/>
  <dc:title>DRAFT: 15.1.96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