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WHEREAS, Enron Power Operations Limited whose registered office is at </w:t>
      </w:r>
      <w:r>
        <w:rPr>
          <w:rFonts w:ascii="Arial" w:hAnsi="Arial"/>
          <w:strike/>
          <w:sz w:val="20"/>
        </w:rPr>
        <w:t>4</w:t>
      </w:r>
      <w:r>
        <w:rPr>
          <w:rFonts w:ascii="Arial" w:hAnsi="Arial"/>
          <w:sz w:val="20"/>
        </w:rPr>
        <w:t xml:space="preserve"> </w:t>
      </w:r>
      <w:r>
        <w:rPr>
          <w:rFonts w:ascii="Arial" w:hAnsi="Arial"/>
          <w:sz w:val="20"/>
          <w:u w:val="double"/>
        </w:rPr>
        <w:t>Four</w:t>
      </w:r>
      <w:r>
        <w:rPr>
          <w:rFonts w:ascii="Arial" w:hAnsi="Arial"/>
          <w:sz w:val="20"/>
        </w:rPr>
        <w:t xml:space="preserve"> Millbank, Westminster, London SW1P 4ET for itself and on behalf of its group undertakings (as defined by section 259 of </w:t>
      </w:r>
      <w:r>
        <w:rPr>
          <w:rFonts w:ascii="Arial" w:hAnsi="Arial"/>
          <w:strike/>
          <w:sz w:val="20"/>
        </w:rPr>
        <w:t>English</w:t>
      </w:r>
      <w:r>
        <w:rPr>
          <w:rFonts w:ascii="Arial" w:hAnsi="Arial"/>
          <w:sz w:val="20"/>
        </w:rPr>
        <w:t xml:space="preserve"> </w:t>
      </w:r>
      <w:r>
        <w:rPr>
          <w:rFonts w:ascii="Arial" w:hAnsi="Arial"/>
          <w:sz w:val="20"/>
          <w:u w:val="double"/>
        </w:rPr>
        <w:t>the</w:t>
      </w:r>
      <w:r>
        <w:rPr>
          <w:rFonts w:ascii="Arial" w:hAnsi="Arial"/>
          <w:sz w:val="20"/>
        </w:rPr>
        <w:t xml:space="preserv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xml:space="preserve">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w:t>
      </w:r>
      <w:r>
        <w:rPr>
          <w:rFonts w:ascii="Arial" w:hAnsi="Arial"/>
          <w:strike/>
          <w:sz w:val="20"/>
        </w:rPr>
        <w:t>[Master Agreement]</w:t>
      </w:r>
      <w:r>
        <w:rPr>
          <w:rFonts w:ascii="Arial" w:hAnsi="Arial"/>
          <w:sz w:val="20"/>
        </w:rPr>
        <w:t xml:space="preserve"> </w:t>
      </w:r>
      <w:r>
        <w:rPr>
          <w:rFonts w:ascii="Arial" w:hAnsi="Arial"/>
          <w:sz w:val="20"/>
          <w:u w:val="double"/>
        </w:rPr>
        <w:t>master agreement</w:t>
      </w:r>
      <w:r>
        <w:rPr>
          <w:rFonts w:ascii="Arial" w:hAnsi="Arial"/>
          <w:sz w:val="20"/>
        </w:rPr>
        <w: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r>
      <w:r>
        <w:rPr>
          <w:rFonts w:ascii="Arial" w:hAnsi="Arial"/>
          <w:strike/>
          <w:sz w:val="20"/>
        </w:rPr>
        <w:t>3.1</w:t>
      </w:r>
      <w:r>
        <w:rPr>
          <w:rFonts w:ascii="Arial" w:hAnsi="Arial"/>
          <w:sz w:val="20"/>
          <w:u w:val="double"/>
        </w:rPr>
        <w:t>(a)</w:t>
      </w:r>
      <w:r>
        <w:rPr>
          <w:rFonts w:ascii="Arial" w:hAnsi="Arial"/>
          <w:sz w:val="20"/>
        </w:rPr>
        <w:tab/>
        <w:t>Each Transaction executed by Counterparty through the Website shall be subject to the terms and conditions of this Agreement, the Password Application</w:t>
      </w:r>
      <w:r>
        <w:rPr>
          <w:rFonts w:ascii="Arial" w:hAnsi="Arial"/>
          <w:sz w:val="20"/>
          <w:u w:val="double"/>
        </w:rPr>
        <w:t>, the short descriptions and the long definitions stated on the Website in respect of the products which are the subject matter of the relevant Transaction,</w:t>
      </w:r>
      <w:r>
        <w:rPr>
          <w:rFonts w:ascii="Arial" w:hAnsi="Arial"/>
          <w:sz w:val="20"/>
        </w:rPr>
        <w:t xml:space="preserve"> and any master agreement in effect as at the date of execution of Transactions </w:t>
      </w:r>
      <w:r>
        <w:rPr>
          <w:rFonts w:ascii="Arial" w:hAnsi="Arial"/>
          <w:sz w:val="20"/>
          <w:u w:val="double"/>
        </w:rPr>
        <w:t>(</w:t>
      </w:r>
      <w:r>
        <w:rPr>
          <w:rFonts w:ascii="Arial" w:hAnsi="Arial"/>
          <w:sz w:val="20"/>
        </w:rPr>
        <w:t xml:space="preserve">save that Transactions can be executed as specified in clause </w:t>
      </w:r>
      <w:r>
        <w:rPr>
          <w:rFonts w:ascii="Arial" w:hAnsi="Arial"/>
          <w:strike/>
          <w:sz w:val="20"/>
        </w:rPr>
        <w:t>3.2 below</w:t>
      </w:r>
      <w:r>
        <w:rPr>
          <w:rFonts w:ascii="Arial" w:hAnsi="Arial"/>
          <w:sz w:val="20"/>
        </w:rPr>
        <w:t xml:space="preserve"> </w:t>
      </w:r>
      <w:r>
        <w:rPr>
          <w:rFonts w:ascii="Arial" w:hAnsi="Arial"/>
          <w:sz w:val="20"/>
          <w:u w:val="double"/>
        </w:rPr>
        <w:t>3(b) below)</w:t>
      </w:r>
      <w:r>
        <w:rPr>
          <w:rFonts w:ascii="Arial" w:hAnsi="Arial"/>
          <w:sz w:val="20"/>
        </w:rPr>
        <w:t xml:space="preserve"> or if no master agreement is in effect as at the date of the execution of the relevant Transaction, the terms and conditions specified on the Website</w:t>
      </w:r>
      <w:r>
        <w:rPr>
          <w:rFonts w:ascii="Arial" w:hAnsi="Arial"/>
          <w:sz w:val="20"/>
          <w:u w:val="double"/>
        </w:rPr>
        <w:t>, and/or any other written agreement between the parties in respect of the products which are the subject matter of the relevant Transaction from time to time.</w:t>
      </w:r>
      <w:r>
        <w:rPr>
          <w:rFonts w:ascii="Arial" w:hAnsi="Arial"/>
          <w:strike/>
          <w:sz w:val="20"/>
        </w:rPr>
        <w: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r>
      <w:r>
        <w:rPr>
          <w:rFonts w:ascii="Arial" w:hAnsi="Arial"/>
          <w:strike/>
          <w:sz w:val="20"/>
        </w:rPr>
        <w:t>3.2</w:t>
      </w:r>
      <w:r>
        <w:rPr>
          <w:rFonts w:ascii="Arial" w:hAnsi="Arial"/>
          <w:sz w:val="20"/>
          <w:u w:val="double"/>
        </w:rPr>
        <w:t>(b)</w:t>
      </w:r>
      <w:r>
        <w:rPr>
          <w:rFonts w:ascii="Arial" w:hAnsi="Arial"/>
          <w:sz w:val="20"/>
        </w:rPr>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r>
      <w:r>
        <w:rPr>
          <w:rFonts w:ascii="Arial" w:hAnsi="Arial"/>
          <w:strike/>
          <w:sz w:val="20"/>
        </w:rPr>
        <w:t>3.3</w:t>
      </w:r>
      <w:r>
        <w:rPr>
          <w:rFonts w:ascii="Arial" w:hAnsi="Arial"/>
          <w:sz w:val="20"/>
          <w:u w:val="double"/>
        </w:rPr>
        <w:t>(c)</w:t>
      </w:r>
      <w:r>
        <w:rPr>
          <w:rFonts w:ascii="Arial" w:hAnsi="Arial"/>
          <w:sz w:val="20"/>
        </w:rPr>
        <w:tab/>
        <w:t xml:space="preserve">Enron may accept or reject Counterparty's offer at its sole discretion.    A Transaction shall be deemed executed at the time that Enron first signifies its acceptance of Counterparty's offer, accessible on the Enron website </w:t>
      </w:r>
      <w:r>
        <w:rPr>
          <w:rFonts w:ascii="Arial" w:hAnsi="Arial"/>
          <w:strike/>
          <w:sz w:val="20"/>
        </w:rPr>
        <w:t>[host or</w:t>
      </w:r>
      <w:r>
        <w:rPr>
          <w:rFonts w:ascii="Arial" w:hAnsi="Arial"/>
          <w:sz w:val="20"/>
        </w:rPr>
        <w:t xml:space="preserve"> server</w:t>
      </w:r>
      <w:r>
        <w:rPr>
          <w:rFonts w:ascii="Arial" w:hAnsi="Arial"/>
          <w:strike/>
          <w:sz w:val="20"/>
        </w:rPr>
        <w:t>]</w:t>
      </w:r>
      <w:r>
        <w:rPr>
          <w:rFonts w:ascii="Arial" w:hAnsi="Arial"/>
          <w:sz w:val="20"/>
        </w:rPr>
        <w: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r>
      <w:r>
        <w:rPr>
          <w:rFonts w:ascii="Arial" w:hAnsi="Arial"/>
          <w:strike/>
          <w:sz w:val="20"/>
        </w:rPr>
        <w:t>3.4</w:t>
      </w:r>
      <w:r>
        <w:rPr>
          <w:rFonts w:ascii="Arial" w:hAnsi="Arial"/>
          <w:sz w:val="20"/>
          <w:u w:val="double"/>
        </w:rPr>
        <w:t>(d)</w:t>
      </w:r>
      <w:r>
        <w:rPr>
          <w:rFonts w:ascii="Arial" w:hAnsi="Arial"/>
          <w:sz w:val="20"/>
        </w:rPr>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 xml:space="preserve">ENRON AND ITS DIRECTORS, OFFICERS, EMPLOYEES AND AGENTS SHALL, </w:t>
      </w:r>
      <w:r>
        <w:rPr>
          <w:rFonts w:ascii="Arial" w:hAnsi="Arial"/>
          <w:strike/>
          <w:sz w:val="20"/>
        </w:rPr>
        <w:t xml:space="preserve"> TO THE EXTENT PERMITTED BY LAW,</w:t>
      </w:r>
      <w:r>
        <w:rPr>
          <w:rFonts w:ascii="Arial" w:hAnsi="Arial"/>
          <w:sz w:val="20"/>
        </w:rPr>
        <w:t xml:space="preserve"> HAVE NO LIABILITY, CONTINGENT OR OTHERWISE, TO COUNTERPARTY OR TO THIRD PARTIES FOR THE ACCURACY, TIMELINESS, COMPLETENESS, RELIABILITY, PERFORMANCE OR CONTINUED AVAILABILITY OF THE WEBSITE OR FOR DELAYS OR OMISSIONS THEREIN.    </w:t>
      </w:r>
      <w:r>
        <w:rPr>
          <w:rFonts w:ascii="Arial" w:hAnsi="Arial"/>
          <w:sz w:val="20"/>
          <w:u w:val="double"/>
        </w:rPr>
        <w:t>IN NO EVENT WILL</w:t>
      </w:r>
      <w:r>
        <w:rPr>
          <w:rFonts w:ascii="Arial" w:hAnsi="Arial"/>
          <w:sz w:val="20"/>
        </w:rPr>
        <w:t xml:space="preserve"> ENRON </w:t>
      </w:r>
      <w:r>
        <w:rPr>
          <w:rFonts w:ascii="Arial" w:hAnsi="Arial"/>
          <w:strike/>
          <w:sz w:val="20"/>
        </w:rPr>
        <w:t>SHALL NOT</w:t>
      </w:r>
      <w:r>
        <w:rPr>
          <w:rFonts w:ascii="Arial" w:hAnsi="Arial"/>
          <w:sz w:val="20"/>
        </w:rPr>
        <w:t xml:space="preserve"> BE LIABLE</w:t>
      </w:r>
      <w:r>
        <w:rPr>
          <w:rFonts w:ascii="Arial" w:hAnsi="Arial"/>
          <w:strike/>
          <w:sz w:val="20"/>
        </w:rPr>
        <w:t>, TO THE EXTENT PERMITTED BY LAW,</w:t>
      </w:r>
      <w:r>
        <w:rPr>
          <w:rFonts w:ascii="Arial" w:hAnsi="Arial"/>
          <w:sz w:val="20"/>
        </w:rPr>
        <w:t xml:space="preserv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w:t>
      </w:r>
      <w:r>
        <w:rPr>
          <w:rFonts w:ascii="Arial" w:hAnsi="Arial"/>
          <w:sz w:val="20"/>
          <w:u w:val="double"/>
        </w:rPr>
        <w:t xml:space="preserve">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w:t>
      </w:r>
      <w:r>
        <w:rPr>
          <w:rFonts w:ascii="Arial" w:hAnsi="Arial"/>
          <w:sz w:val="20"/>
          <w:u w:val="double"/>
        </w:rPr>
        <w:t>the</w:t>
      </w:r>
      <w:r>
        <w:rPr>
          <w:rFonts w:ascii="Arial" w:hAnsi="Arial"/>
          <w:sz w:val="20"/>
        </w:rPr>
        <w:t xml:space="preserve"> Companies Act 1985) and to their respective officers or employees)    any of the contents of this Agreement</w:t>
      </w:r>
      <w:r>
        <w:rPr>
          <w:rFonts w:ascii="Arial" w:hAnsi="Arial"/>
          <w:sz w:val="20"/>
          <w:u w:val="double"/>
        </w:rPr>
        <w:t>, the Password Application</w:t>
      </w:r>
      <w:r>
        <w:rPr>
          <w:rFonts w:ascii="Arial" w:hAnsi="Arial"/>
          <w:sz w:val="20"/>
        </w:rPr>
        <w:t xml:space="preserve">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w:t>
      </w:r>
      <w:r>
        <w:rPr>
          <w:rFonts w:ascii="Arial" w:hAnsi="Arial"/>
          <w:strike/>
          <w:sz w:val="20"/>
        </w:rPr>
        <w:t>either party upon 30 days prior</w:t>
      </w:r>
      <w:r>
        <w:rPr>
          <w:rFonts w:ascii="Arial" w:hAnsi="Arial"/>
          <w:sz w:val="20"/>
        </w:rPr>
        <w:t xml:space="preserve"> </w:t>
      </w:r>
      <w:r>
        <w:rPr>
          <w:rFonts w:ascii="Arial" w:hAnsi="Arial"/>
          <w:sz w:val="20"/>
          <w:u w:val="double"/>
        </w:rPr>
        <w:t xml:space="preserve">Enron upon </w:t>
      </w:r>
      <w:r>
        <w:rPr>
          <w:rFonts w:ascii="Arial" w:hAnsi="Arial"/>
          <w:sz w:val="20"/>
        </w:rPr>
        <w:t xml:space="preserve">written notice in accordance with clause 6(e)(i) to the other party </w:t>
      </w:r>
      <w:r>
        <w:rPr>
          <w:rFonts w:ascii="Arial" w:hAnsi="Arial"/>
          <w:sz w:val="20"/>
          <w:u w:val="double"/>
        </w:rPr>
        <w:t>to take effect immediately</w:t>
      </w:r>
      <w:r>
        <w:rPr>
          <w:rFonts w:ascii="Arial" w:hAnsi="Arial"/>
          <w:sz w:val="20"/>
        </w:rPr>
        <w:t xml:space="preserve">,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t xml:space="preserve"> </w: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z w:val="20"/>
        </w:rPr>
        <w:t>UK</w:t>
      </w:r>
    </w:p>
    <w:p>
      <w:pPr>
        <w:pStyle w:val="Normal"/>
        <w:widowControl/>
        <w:bidi w:val="0"/>
        <w:ind w:firstLine="1440"/>
        <w:jc w:val="both"/>
        <w:rPr>
          <w:rFonts w:ascii="Arial" w:hAnsi="Arial"/>
          <w:sz w:val="20"/>
        </w:rPr>
      </w:pPr>
      <w:r>
        <w:rPr>
          <w:rFonts w:ascii="Arial" w:hAnsi="Arial"/>
          <w:strike/>
          <w:sz w:val="20"/>
        </w:rPr>
        <w:t>12</w:t>
      </w:r>
      <w:r>
        <w:rPr>
          <w:rFonts w:ascii="Arial" w:hAnsi="Arial"/>
          <w:sz w:val="20"/>
        </w:rPr>
        <w:t xml:space="preserve"> </w:t>
      </w:r>
      <w:r>
        <w:rPr>
          <w:rFonts w:ascii="Arial" w:hAnsi="Arial"/>
          <w:sz w:val="20"/>
          <w:u w:val="double"/>
        </w:rPr>
        <w:t>20</w:t>
      </w:r>
      <w:r>
        <w:rPr>
          <w:rFonts w:ascii="Arial" w:hAnsi="Arial"/>
          <w:sz w:val="20"/>
        </w:rPr>
        <w:t xml:space="preserve"> July 1999 </w:t>
      </w:r>
      <w:r>
        <w:rPr>
          <w:rFonts w:ascii="Arial" w:hAnsi="Arial"/>
          <w:sz w:val="20"/>
          <w:u w:val="double"/>
        </w:rPr>
        <w:t>-</w:t>
      </w:r>
      <w:r>
        <w:rPr>
          <w:rFonts w:ascii="Arial" w:hAnsi="Arial"/>
          <w:sz w:val="20"/>
        </w:rPr>
        <w:t xml:space="preserve"> Version </w:t>
      </w:r>
      <w:r>
        <w:rPr>
          <w:rFonts w:ascii="Arial" w:hAnsi="Arial"/>
          <w:strike/>
          <w:sz w:val="20"/>
        </w:rPr>
        <w:t>3</w:t>
      </w:r>
      <w:r>
        <w:rPr>
          <w:rFonts w:ascii="Arial" w:hAnsi="Arial"/>
          <w:sz w:val="20"/>
        </w:rPr>
        <w:t xml:space="preserve"> </w:t>
      </w:r>
      <w:r>
        <w:rPr>
          <w:rFonts w:ascii="Arial" w:hAnsi="Arial"/>
          <w:sz w:val="20"/>
          <w:u w:val="double"/>
        </w:rPr>
        <w:t>6</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1/377642/06</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 xml:space="preserve">London-1/377642/02- </w:t>
      </w:r>
      <w:r>
        <w:rPr>
          <w:rFonts w:ascii="Arial" w:hAnsi="Arial"/>
          <w:strike/>
          <w:sz w:val="20"/>
        </w:rPr>
        <w:t>5</w:t>
      </w:r>
      <w:r>
        <w:rPr>
          <w:rFonts w:ascii="Arial" w:hAnsi="Arial"/>
          <w:sz w:val="20"/>
        </w:rPr>
        <w:t xml:space="preserve"> </w:t>
      </w:r>
      <w:r>
        <w:rPr>
          <w:rFonts w:ascii="Arial" w:hAnsi="Arial"/>
          <w:sz w:val="20"/>
          <w:u w:val="double"/>
        </w:rPr>
        <w:t>4</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F:\LONDON-1\008786\83#203!.DOC</w:t>
      </w:r>
    </w:p>
    <w:p>
      <w:pPr>
        <w:pStyle w:val="Normal"/>
        <w:widowControl/>
        <w:bidi w:val="0"/>
        <w:ind w:firstLine="1440"/>
        <w:jc w:val="both"/>
        <w:rPr>
          <w:rFonts w:ascii="Arial" w:hAnsi="Arial"/>
          <w:sz w:val="20"/>
        </w:rPr>
      </w:pPr>
      <w:r>
        <w:rPr>
          <w:rFonts w:ascii="Arial" w:hAnsi="Arial"/>
          <w:sz w:val="20"/>
        </w:rPr>
        <w:t>and revised document: F:\LONDON-1\008786\83#206!.DOC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22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London-1/377642/06</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London-1/377642/06</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UK</w:t>
    </w:r>
  </w:p>
  <w:p>
    <w:pPr>
      <w:pStyle w:val="Normal"/>
      <w:bidi w:val="0"/>
      <w:spacing w:lineRule="exact" w:line="241"/>
      <w:jc w:val="end"/>
      <w:rPr>
        <w:rFonts w:ascii="Arial" w:hAnsi="Arial"/>
        <w:b/>
        <w:sz w:val="20"/>
      </w:rPr>
    </w:pPr>
    <w:r>
      <w:rPr>
        <w:rFonts w:ascii="Arial" w:hAnsi="Arial"/>
        <w:b/>
        <w:sz w:val="20"/>
      </w:rPr>
      <w:t>20 July 1999 - Version 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UK</w:t>
    </w:r>
  </w:p>
  <w:p>
    <w:pPr>
      <w:pStyle w:val="Normal"/>
      <w:bidi w:val="0"/>
      <w:spacing w:lineRule="exact" w:line="241"/>
      <w:jc w:val="end"/>
      <w:rPr>
        <w:rFonts w:ascii="Arial" w:hAnsi="Arial"/>
        <w:b/>
        <w:sz w:val="20"/>
      </w:rPr>
    </w:pPr>
    <w:r>
      <w:rPr>
        <w:rFonts w:ascii="Arial" w:hAnsi="Arial"/>
        <w:b/>
        <w:sz w:val="20"/>
      </w:rPr>
      <w:t>20 July 1999 - Version 6</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2104</Words>
  <Characters>14729</Characters>
  <CharactersWithSpaces>11994</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1999-07-20T16:48:00Z</dcterms:created>
  <dc:creator>007504</dc:creator>
  <dc:description/>
  <dc:language>en-US</dc:language>
  <cp:lastModifiedBy/>
  <cp:lastPrinted>1999-07-12T16:08:00Z</cp:lastPrinted>
  <dcterms:modified xsi:type="dcterms:W3CDTF">1999-07-20T16:48:00Z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