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I"/>
        <w:spacing w:before="0" w:after="240"/>
        <w:rPr/>
      </w:pPr>
      <w:r>
        <w:rPr/>
        <w:t>Enron Wholesale Services - Legal Department</w:t>
        <w:br/>
        <w:t>Monthly Report</w:t>
        <w:br/>
        <w:t>July, 2001</w:t>
        <w:br/>
        <w:br/>
        <w:t>Significant Transactions/Matters</w:t>
      </w:r>
    </w:p>
    <w:p>
      <w:pPr>
        <w:pStyle w:val="BodyText3"/>
        <w:rPr/>
      </w:pPr>
      <w:r>
        <w:rPr/>
        <w:t>This report summarizes current significant legal activities of EWS as of July 15, 2001.  The report does not attempt to list all transactions or include reference to on-going projects or maintenance of completed transactions.  Additional and more detailed information is available on request.</w:t>
      </w:r>
    </w:p>
    <w:p>
      <w:pPr>
        <w:pStyle w:val="Normal"/>
        <w:widowControl/>
        <w:tabs>
          <w:tab w:val="clear" w:pos="720"/>
          <w:tab w:val="left" w:pos="1344" w:leader="none"/>
          <w:tab w:val="left" w:pos="5106" w:leader="none"/>
          <w:tab w:val="left" w:pos="7254" w:leader="none"/>
        </w:tabs>
        <w:spacing w:before="240" w:after="0"/>
        <w:rPr>
          <w:rFonts w:ascii="Arial Rounded MT Bold" w:hAnsi="Arial Rounded MT Bold" w:cs="Arial Rounded MT Bold"/>
          <w:sz w:val="22"/>
        </w:rPr>
      </w:pPr>
      <w:r>
        <w:rPr>
          <w:rFonts w:cs="Arial Rounded MT Bold" w:ascii="Arial Rounded MT Bold" w:hAnsi="Arial Rounded MT Bold"/>
          <w:sz w:val="22"/>
        </w:rPr>
        <w:t>TRADING</w:t>
      </w:r>
    </w:p>
    <w:p>
      <w:pPr>
        <w:pStyle w:val="Heading5"/>
        <w:rPr/>
      </w:pPr>
      <w:r>
        <w:rPr/>
        <w:t>Houston</w:t>
      </w:r>
    </w:p>
    <w:p>
      <w:pPr>
        <w:pStyle w:val="Normal"/>
        <w:widowControl/>
        <w:numPr>
          <w:ilvl w:val="0"/>
          <w:numId w:val="4"/>
        </w:numPr>
        <w:tabs>
          <w:tab w:val="clear" w:pos="720"/>
          <w:tab w:val="left" w:pos="1080" w:leader="none"/>
        </w:tabs>
        <w:spacing w:before="120" w:after="0"/>
        <w:ind w:hanging="0" w:start="720" w:end="0"/>
        <w:jc w:val="both"/>
        <w:rPr>
          <w:rFonts w:ascii="Times New Roman" w:hAnsi="Times New Roman" w:cs="Times New Roman"/>
        </w:rPr>
      </w:pPr>
      <w:r>
        <w:rPr>
          <w:rFonts w:cs="Times New Roman" w:ascii="Times New Roman" w:hAnsi="Times New Roman"/>
        </w:rPr>
        <w:t>Power Contract Revision Project</w:t>
      </w:r>
    </w:p>
    <w:p>
      <w:pPr>
        <w:pStyle w:val="Normal"/>
        <w:widowControl/>
        <w:tabs>
          <w:tab w:val="clear" w:pos="720"/>
          <w:tab w:val="left" w:pos="1260" w:leader="none"/>
        </w:tabs>
        <w:ind w:start="1080" w:end="0"/>
        <w:jc w:val="both"/>
        <w:rPr>
          <w:rFonts w:ascii="Times New Roman" w:hAnsi="Times New Roman" w:cs="Times New Roman"/>
        </w:rPr>
      </w:pPr>
      <w:r>
        <w:rPr>
          <w:rFonts w:cs="Times New Roman" w:ascii="Times New Roman" w:hAnsi="Times New Roman"/>
        </w:rPr>
        <w:t>-</w:t>
        <w:tab/>
        <w:t>Kevin Presto/Elizabeth Sager</w:t>
      </w:r>
    </w:p>
    <w:p>
      <w:pPr>
        <w:pStyle w:val="Normal"/>
        <w:widowControl/>
        <w:tabs>
          <w:tab w:val="clear" w:pos="720"/>
          <w:tab w:val="left" w:pos="1260" w:leader="none"/>
        </w:tabs>
        <w:ind w:hanging="1080" w:start="2160" w:end="0"/>
        <w:jc w:val="both"/>
        <w:rPr>
          <w:rFonts w:ascii="Times New Roman" w:hAnsi="Times New Roman" w:cs="Times New Roman"/>
        </w:rPr>
      </w:pPr>
      <w:r>
        <w:rPr>
          <w:rFonts w:cs="Times New Roman" w:ascii="Times New Roman" w:hAnsi="Times New Roman"/>
        </w:rPr>
        <w:t>-</w:t>
        <w:tab/>
        <w:t>Update:</w:t>
        <w:tab/>
        <w:t>EPMI reviewing certain high exposure power contracts for revision and conversion to EEI</w:t>
      </w:r>
    </w:p>
    <w:p>
      <w:pPr>
        <w:pStyle w:val="Normal"/>
        <w:widowControl/>
        <w:numPr>
          <w:ilvl w:val="0"/>
          <w:numId w:val="4"/>
        </w:numPr>
        <w:tabs>
          <w:tab w:val="clear" w:pos="720"/>
          <w:tab w:val="left" w:pos="1080" w:leader="none"/>
        </w:tabs>
        <w:spacing w:before="120" w:after="0"/>
        <w:ind w:hanging="0" w:start="720" w:end="0"/>
        <w:jc w:val="both"/>
        <w:rPr>
          <w:rFonts w:ascii="Times New Roman" w:hAnsi="Times New Roman" w:cs="Times New Roman"/>
        </w:rPr>
      </w:pPr>
      <w:r>
        <w:rPr>
          <w:rFonts w:cs="Times New Roman" w:ascii="Times New Roman" w:hAnsi="Times New Roman"/>
        </w:rPr>
        <w:t>Gas Contract Revision Project</w:t>
      </w:r>
    </w:p>
    <w:p>
      <w:pPr>
        <w:pStyle w:val="Normal"/>
        <w:widowControl/>
        <w:tabs>
          <w:tab w:val="clear" w:pos="720"/>
          <w:tab w:val="left" w:pos="1260" w:leader="none"/>
        </w:tabs>
        <w:ind w:start="1080" w:end="0"/>
        <w:jc w:val="both"/>
        <w:rPr>
          <w:rFonts w:ascii="Times New Roman" w:hAnsi="Times New Roman" w:cs="Times New Roman"/>
        </w:rPr>
      </w:pPr>
      <w:r>
        <w:rPr>
          <w:rFonts w:cs="Times New Roman" w:ascii="Times New Roman" w:hAnsi="Times New Roman"/>
        </w:rPr>
        <w:t>-</w:t>
        <w:tab/>
        <w:t xml:space="preserve">John Lavorato/Jeff Hodge/Stacy Dickson </w:t>
      </w:r>
    </w:p>
    <w:p>
      <w:pPr>
        <w:pStyle w:val="Normal"/>
        <w:widowControl/>
        <w:tabs>
          <w:tab w:val="clear" w:pos="720"/>
          <w:tab w:val="left" w:pos="1260" w:leader="none"/>
          <w:tab w:val="left" w:pos="1440" w:leader="none"/>
        </w:tabs>
        <w:ind w:start="1080" w:end="0"/>
        <w:jc w:val="both"/>
        <w:rPr>
          <w:rFonts w:ascii="Times New Roman" w:hAnsi="Times New Roman" w:cs="Times New Roman"/>
        </w:rPr>
      </w:pPr>
      <w:r>
        <w:rPr>
          <w:rFonts w:cs="Times New Roman" w:ascii="Times New Roman" w:hAnsi="Times New Roman"/>
        </w:rPr>
        <w:t>-</w:t>
        <w:tab/>
        <w:t>Update:</w:t>
        <w:tab/>
        <w:t>ENA reviewing certain high volume trading contracts for possible revision</w:t>
      </w:r>
    </w:p>
    <w:p>
      <w:pPr>
        <w:pStyle w:val="Normal"/>
        <w:widowControl/>
        <w:numPr>
          <w:ilvl w:val="0"/>
          <w:numId w:val="4"/>
        </w:numPr>
        <w:tabs>
          <w:tab w:val="clear" w:pos="720"/>
          <w:tab w:val="left" w:pos="1080" w:leader="none"/>
        </w:tabs>
        <w:spacing w:before="120" w:after="0"/>
        <w:ind w:hanging="0" w:start="720" w:end="0"/>
        <w:jc w:val="both"/>
        <w:rPr>
          <w:rFonts w:ascii="Times New Roman" w:hAnsi="Times New Roman" w:cs="Times New Roman"/>
        </w:rPr>
      </w:pPr>
      <w:r>
        <w:rPr>
          <w:rFonts w:cs="Times New Roman" w:ascii="Times New Roman" w:hAnsi="Times New Roman"/>
        </w:rPr>
        <w:t>Duke Energy LNG Sales, Inc.</w:t>
      </w:r>
    </w:p>
    <w:p>
      <w:pPr>
        <w:pStyle w:val="Normal"/>
        <w:widowControl/>
        <w:tabs>
          <w:tab w:val="clear" w:pos="720"/>
          <w:tab w:val="left" w:pos="1260" w:leader="none"/>
        </w:tabs>
        <w:ind w:start="1080" w:end="0"/>
        <w:jc w:val="both"/>
        <w:rPr>
          <w:rFonts w:ascii="Times New Roman" w:hAnsi="Times New Roman" w:cs="Times New Roman"/>
        </w:rPr>
      </w:pPr>
      <w:r>
        <w:rPr>
          <w:rFonts w:cs="Times New Roman" w:ascii="Times New Roman" w:hAnsi="Times New Roman"/>
        </w:rPr>
        <w:t>-</w:t>
        <w:tab/>
        <w:t>Brian Redmond/Jeff Hodge/Richard Sanders (Susman &amp; Godfrey)</w:t>
      </w:r>
    </w:p>
    <w:p>
      <w:pPr>
        <w:pStyle w:val="Normal"/>
        <w:widowControl/>
        <w:tabs>
          <w:tab w:val="clear" w:pos="720"/>
          <w:tab w:val="left" w:pos="1260" w:leader="none"/>
          <w:tab w:val="left" w:pos="1440" w:leader="none"/>
        </w:tabs>
        <w:ind w:start="1080" w:end="0"/>
        <w:jc w:val="both"/>
        <w:rPr>
          <w:rFonts w:ascii="Times New Roman" w:hAnsi="Times New Roman" w:cs="Times New Roman"/>
        </w:rPr>
      </w:pPr>
      <w:r>
        <w:rPr>
          <w:rFonts w:cs="Times New Roman" w:ascii="Times New Roman" w:hAnsi="Times New Roman"/>
        </w:rPr>
        <w:t>-</w:t>
        <w:tab/>
        <w:t>Update:</w:t>
        <w:tab/>
        <w:t>Arbitration on price redetermination has been scheduled for mid-August</w:t>
      </w:r>
    </w:p>
    <w:p>
      <w:pPr>
        <w:pStyle w:val="Normal"/>
        <w:widowControl/>
        <w:numPr>
          <w:ilvl w:val="0"/>
          <w:numId w:val="4"/>
        </w:numPr>
        <w:tabs>
          <w:tab w:val="clear" w:pos="720"/>
          <w:tab w:val="left" w:pos="1080" w:leader="none"/>
        </w:tabs>
        <w:spacing w:lineRule="exact" w:line="230" w:before="120" w:after="0"/>
        <w:ind w:hanging="0" w:start="720" w:end="0"/>
        <w:jc w:val="both"/>
        <w:rPr>
          <w:rFonts w:ascii="Times New Roman" w:hAnsi="Times New Roman" w:cs="Times New Roman"/>
        </w:rPr>
      </w:pPr>
      <w:r>
        <w:rPr>
          <w:rFonts w:cs="Times New Roman" w:ascii="Times New Roman" w:hAnsi="Times New Roman"/>
        </w:rPr>
        <w:t>Scheduling Services</w:t>
      </w:r>
    </w:p>
    <w:p>
      <w:pPr>
        <w:pStyle w:val="Normal"/>
        <w:widowControl/>
        <w:numPr>
          <w:ilvl w:val="0"/>
          <w:numId w:val="12"/>
        </w:numPr>
        <w:tabs>
          <w:tab w:val="clear" w:pos="720"/>
          <w:tab w:val="left" w:pos="1260" w:leader="none"/>
        </w:tabs>
        <w:spacing w:lineRule="exact" w:line="230"/>
        <w:jc w:val="both"/>
        <w:rPr>
          <w:rFonts w:ascii="Times New Roman" w:hAnsi="Times New Roman" w:cs="Times New Roman"/>
        </w:rPr>
      </w:pPr>
      <w:r>
        <w:rPr>
          <w:rFonts w:cs="Times New Roman" w:ascii="Times New Roman" w:hAnsi="Times New Roman"/>
        </w:rPr>
        <w:t>David Portz</w:t>
      </w:r>
    </w:p>
    <w:p>
      <w:pPr>
        <w:pStyle w:val="Normal"/>
        <w:widowControl/>
        <w:numPr>
          <w:ilvl w:val="0"/>
          <w:numId w:val="12"/>
        </w:numPr>
        <w:tabs>
          <w:tab w:val="clear" w:pos="720"/>
          <w:tab w:val="left" w:pos="1260" w:leader="none"/>
          <w:tab w:val="left" w:pos="2160" w:leader="none"/>
        </w:tabs>
        <w:spacing w:lineRule="exact" w:line="230"/>
        <w:ind w:hanging="1080" w:start="2160" w:end="0"/>
        <w:jc w:val="both"/>
        <w:rPr>
          <w:rFonts w:ascii="Times New Roman" w:hAnsi="Times New Roman" w:cs="Times New Roman"/>
        </w:rPr>
      </w:pPr>
      <w:r>
        <w:rPr>
          <w:rFonts w:cs="Times New Roman" w:ascii="Times New Roman" w:hAnsi="Times New Roman"/>
        </w:rPr>
        <w:t>Update:</w:t>
        <w:tab/>
        <w:t>EPMI is attempting to secure multiple agreements to provide scheduling services in Texas as market opens up</w:t>
      </w:r>
    </w:p>
    <w:p>
      <w:pPr>
        <w:pStyle w:val="Heading5"/>
        <w:keepNext w:val="false"/>
        <w:spacing w:lineRule="exact" w:line="230" w:before="120" w:after="0"/>
        <w:rPr/>
      </w:pPr>
      <w:r>
        <w:rPr/>
        <w:t>Financial</w:t>
      </w:r>
    </w:p>
    <w:p>
      <w:pPr>
        <w:pStyle w:val="Normal"/>
        <w:widowControl/>
        <w:numPr>
          <w:ilvl w:val="0"/>
          <w:numId w:val="11"/>
        </w:numPr>
        <w:tabs>
          <w:tab w:val="clear" w:pos="720"/>
          <w:tab w:val="left" w:pos="1080" w:leader="none"/>
        </w:tabs>
        <w:spacing w:lineRule="exact" w:line="230" w:before="120" w:after="0"/>
        <w:ind w:hanging="0" w:start="720" w:end="0"/>
        <w:jc w:val="both"/>
        <w:rPr>
          <w:rFonts w:ascii="Times New Roman" w:hAnsi="Times New Roman" w:cs="Times New Roman"/>
        </w:rPr>
      </w:pPr>
      <w:r>
        <w:rPr>
          <w:rFonts w:cs="Times New Roman" w:ascii="Times New Roman" w:hAnsi="Times New Roman"/>
        </w:rPr>
        <w:t xml:space="preserve">Trade Credit Exposure </w:t>
      </w:r>
    </w:p>
    <w:p>
      <w:pPr>
        <w:pStyle w:val="Normal"/>
        <w:widowControl/>
        <w:tabs>
          <w:tab w:val="clear" w:pos="720"/>
          <w:tab w:val="left" w:pos="1260" w:leader="none"/>
        </w:tabs>
        <w:spacing w:lineRule="exact" w:line="230"/>
        <w:ind w:hanging="1080" w:start="2160" w:end="0"/>
        <w:rPr>
          <w:rFonts w:ascii="Times New Roman" w:hAnsi="Times New Roman" w:cs="Times New Roman"/>
        </w:rPr>
      </w:pPr>
      <w:r>
        <w:rPr>
          <w:rFonts w:cs="Times New Roman" w:ascii="Times New Roman" w:hAnsi="Times New Roman"/>
        </w:rPr>
        <w:t>-</w:t>
        <w:tab/>
        <w:t>Bill Bradford/Sara Shackleton/Mary Cook (Cadwalder, Wickersham &amp;Taft)</w:t>
      </w:r>
    </w:p>
    <w:p>
      <w:pPr>
        <w:pStyle w:val="EndnoteText"/>
        <w:widowControl/>
        <w:numPr>
          <w:ilvl w:val="1"/>
          <w:numId w:val="11"/>
        </w:numPr>
        <w:tabs>
          <w:tab w:val="clear" w:pos="720"/>
          <w:tab w:val="left" w:pos="1260" w:leader="none"/>
          <w:tab w:val="left" w:pos="2160" w:leader="none"/>
        </w:tabs>
        <w:spacing w:lineRule="exact" w:line="230"/>
        <w:ind w:hanging="1080" w:start="2160" w:end="0"/>
        <w:jc w:val="both"/>
        <w:rPr>
          <w:rFonts w:ascii="Times New Roman" w:hAnsi="Times New Roman" w:cs="Times New Roman"/>
        </w:rPr>
      </w:pPr>
      <w:r>
        <w:rPr>
          <w:rFonts w:cs="Times New Roman" w:ascii="Times New Roman" w:hAnsi="Times New Roman"/>
        </w:rPr>
        <w:t>Update:</w:t>
        <w:tab/>
        <w:t>Research regarding various methods available to minimize credit exposure and margin calls including cross-product, cross-entity and triangular netting and set-off arrangements</w:t>
      </w:r>
    </w:p>
    <w:p>
      <w:pPr>
        <w:pStyle w:val="Normal"/>
        <w:widowControl/>
        <w:numPr>
          <w:ilvl w:val="0"/>
          <w:numId w:val="11"/>
        </w:numPr>
        <w:tabs>
          <w:tab w:val="clear" w:pos="720"/>
          <w:tab w:val="left" w:pos="1080" w:leader="none"/>
        </w:tabs>
        <w:spacing w:before="120" w:after="0"/>
        <w:ind w:hanging="0" w:start="720" w:end="0"/>
        <w:jc w:val="both"/>
        <w:rPr/>
      </w:pPr>
      <w:r>
        <w:rPr>
          <w:rFonts w:cs="Times New Roman" w:ascii="Times New Roman" w:hAnsi="Times New Roman"/>
        </w:rPr>
        <w:t>Commodity Exchange Act/CFTC</w:t>
      </w:r>
    </w:p>
    <w:p>
      <w:pPr>
        <w:pStyle w:val="Normal"/>
        <w:widowControl/>
        <w:tabs>
          <w:tab w:val="clear" w:pos="720"/>
          <w:tab w:val="left" w:pos="1260" w:leader="none"/>
        </w:tabs>
        <w:spacing w:lineRule="exact" w:line="220"/>
        <w:ind w:hanging="1080" w:start="2160" w:end="0"/>
        <w:rPr/>
      </w:pPr>
      <w:r>
        <w:rPr/>
        <w:t>-</w:t>
        <w:tab/>
      </w:r>
      <w:r>
        <w:rPr>
          <w:rFonts w:cs="Times New Roman" w:ascii="Times New Roman" w:hAnsi="Times New Roman"/>
        </w:rPr>
        <w:t>John Lavorato/Mark Haedicke/Mark Taylor (Sullivan &amp; Cromwell)</w:t>
      </w:r>
    </w:p>
    <w:p>
      <w:pPr>
        <w:pStyle w:val="EndnoteText"/>
        <w:widowControl/>
        <w:numPr>
          <w:ilvl w:val="1"/>
          <w:numId w:val="11"/>
        </w:numPr>
        <w:tabs>
          <w:tab w:val="clear" w:pos="720"/>
          <w:tab w:val="left" w:pos="1260" w:leader="none"/>
          <w:tab w:val="left" w:pos="2160" w:leader="none"/>
        </w:tabs>
        <w:spacing w:lineRule="exact" w:line="220"/>
        <w:ind w:hanging="1080" w:start="2160" w:end="0"/>
        <w:jc w:val="both"/>
        <w:rPr>
          <w:rFonts w:ascii="Times New Roman" w:hAnsi="Times New Roman" w:cs="Times New Roman"/>
          <w:sz w:val="24"/>
        </w:rPr>
      </w:pPr>
      <w:r>
        <w:rPr>
          <w:rFonts w:cs="Times New Roman" w:ascii="Times New Roman" w:hAnsi="Times New Roman"/>
        </w:rPr>
        <w:t>Update:</w:t>
        <w:tab/>
        <w:t>Commodity Futures Modernization Act signed into law in December; evaluating provisions of new law which should reduce regulation of OTC derivatives trading</w:t>
      </w:r>
    </w:p>
    <w:p>
      <w:pPr>
        <w:pStyle w:val="Normal"/>
        <w:widowControl/>
        <w:numPr>
          <w:ilvl w:val="0"/>
          <w:numId w:val="11"/>
        </w:numPr>
        <w:tabs>
          <w:tab w:val="clear" w:pos="720"/>
          <w:tab w:val="left" w:pos="1080" w:leader="none"/>
        </w:tabs>
        <w:spacing w:lineRule="exact" w:line="220" w:before="120" w:after="0"/>
        <w:ind w:hanging="360" w:start="1080" w:end="0"/>
        <w:jc w:val="both"/>
        <w:rPr/>
      </w:pPr>
      <w:r>
        <w:rPr/>
        <w:t>Contingent Call Options</w:t>
      </w:r>
    </w:p>
    <w:p>
      <w:pPr>
        <w:pStyle w:val="Normal"/>
        <w:widowControl/>
        <w:tabs>
          <w:tab w:val="clear" w:pos="720"/>
          <w:tab w:val="left" w:pos="1260" w:leader="none"/>
        </w:tabs>
        <w:spacing w:lineRule="exact" w:line="220"/>
        <w:ind w:hanging="1080" w:start="2160" w:end="0"/>
        <w:rPr>
          <w:rFonts w:ascii="Times New Roman" w:hAnsi="Times New Roman" w:cs="Times New Roman"/>
        </w:rPr>
      </w:pPr>
      <w:r>
        <w:rPr>
          <w:rFonts w:cs="Times New Roman" w:ascii="Times New Roman" w:hAnsi="Times New Roman"/>
        </w:rPr>
        <w:t>-</w:t>
        <w:tab/>
        <w:t>Brent Hendry</w:t>
      </w:r>
    </w:p>
    <w:p>
      <w:pPr>
        <w:pStyle w:val="EndnoteText"/>
        <w:widowControl/>
        <w:numPr>
          <w:ilvl w:val="1"/>
          <w:numId w:val="11"/>
        </w:numPr>
        <w:tabs>
          <w:tab w:val="clear" w:pos="720"/>
          <w:tab w:val="left" w:pos="1260" w:leader="none"/>
        </w:tabs>
        <w:spacing w:lineRule="exact" w:line="220"/>
        <w:jc w:val="both"/>
        <w:rPr>
          <w:rFonts w:ascii="Times New Roman" w:hAnsi="Times New Roman" w:cs="Times New Roman"/>
        </w:rPr>
      </w:pPr>
      <w:r>
        <w:rPr>
          <w:rFonts w:cs="Times New Roman" w:ascii="Times New Roman" w:hAnsi="Times New Roman"/>
        </w:rPr>
        <w:t>Update:</w:t>
        <w:tab/>
        <w:t>Documentation of exotic insurance-like options with multiple triggers</w:t>
      </w:r>
    </w:p>
    <w:p>
      <w:pPr>
        <w:pStyle w:val="Normal"/>
        <w:widowControl/>
        <w:numPr>
          <w:ilvl w:val="0"/>
          <w:numId w:val="11"/>
        </w:numPr>
        <w:tabs>
          <w:tab w:val="clear" w:pos="720"/>
          <w:tab w:val="left" w:pos="1080" w:leader="none"/>
        </w:tabs>
        <w:spacing w:lineRule="exact" w:line="220" w:before="120" w:after="0"/>
        <w:ind w:hanging="360" w:start="1080" w:end="0"/>
        <w:jc w:val="both"/>
        <w:rPr>
          <w:rFonts w:ascii="Times New Roman" w:hAnsi="Times New Roman" w:cs="Times New Roman"/>
        </w:rPr>
      </w:pPr>
      <w:r>
        <w:rPr>
          <w:rFonts w:cs="Times New Roman" w:ascii="Times New Roman" w:hAnsi="Times New Roman"/>
        </w:rPr>
        <w:t>Enron Corp. ISDA Master Agreements</w:t>
      </w:r>
    </w:p>
    <w:p>
      <w:pPr>
        <w:pStyle w:val="Normal"/>
        <w:widowControl/>
        <w:tabs>
          <w:tab w:val="clear" w:pos="720"/>
          <w:tab w:val="left" w:pos="1260" w:leader="none"/>
        </w:tabs>
        <w:spacing w:lineRule="exact" w:line="220"/>
        <w:ind w:hanging="1080" w:start="2160" w:end="0"/>
        <w:rPr>
          <w:rFonts w:ascii="Times New Roman" w:hAnsi="Times New Roman" w:cs="Times New Roman"/>
        </w:rPr>
      </w:pPr>
      <w:r>
        <w:rPr>
          <w:rFonts w:cs="Times New Roman" w:ascii="Times New Roman" w:hAnsi="Times New Roman"/>
        </w:rPr>
        <w:t>-</w:t>
        <w:tab/>
        <w:t>Clint Freel/Sara Shackleton</w:t>
      </w:r>
    </w:p>
    <w:p>
      <w:pPr>
        <w:pStyle w:val="EndnoteText"/>
        <w:widowControl/>
        <w:numPr>
          <w:ilvl w:val="0"/>
          <w:numId w:val="0"/>
        </w:numPr>
        <w:tabs>
          <w:tab w:val="clear" w:pos="720"/>
          <w:tab w:val="left" w:pos="1260" w:leader="none"/>
        </w:tabs>
        <w:spacing w:lineRule="exact" w:line="220"/>
        <w:ind w:hanging="1080" w:start="2160" w:end="0"/>
        <w:jc w:val="both"/>
        <w:rPr>
          <w:rFonts w:ascii="Times New Roman" w:hAnsi="Times New Roman" w:cs="Times New Roman"/>
        </w:rPr>
      </w:pPr>
      <w:r>
        <w:rPr>
          <w:rFonts w:cs="Times New Roman" w:ascii="Times New Roman" w:hAnsi="Times New Roman"/>
        </w:rPr>
        <w:t>-</w:t>
        <w:tab/>
        <w:t>Update:</w:t>
        <w:tab/>
        <w:t>Negotiation of ISDA Master Agreements with several counterparties to cover hedge transactions on Enron Corp. stock</w:t>
      </w:r>
    </w:p>
    <w:p>
      <w:pPr>
        <w:pStyle w:val="Heading5"/>
        <w:keepNext w:val="false"/>
        <w:spacing w:before="120" w:after="0"/>
        <w:jc w:val="both"/>
        <w:rPr/>
      </w:pPr>
      <w:r>
        <w:rPr/>
        <w:t>Portland</w:t>
      </w:r>
    </w:p>
    <w:p>
      <w:pPr>
        <w:pStyle w:val="Normal"/>
        <w:widowControl/>
        <w:numPr>
          <w:ilvl w:val="0"/>
          <w:numId w:val="6"/>
        </w:numPr>
        <w:tabs>
          <w:tab w:val="clear" w:pos="720"/>
        </w:tabs>
        <w:spacing w:before="120" w:after="0"/>
        <w:ind w:hanging="360" w:start="1080" w:end="0"/>
        <w:jc w:val="both"/>
        <w:rPr>
          <w:rFonts w:ascii="Times New Roman" w:hAnsi="Times New Roman" w:cs="Times New Roman"/>
        </w:rPr>
      </w:pPr>
      <w:r>
        <w:rPr>
          <w:rFonts w:cs="Times New Roman" w:ascii="Times New Roman" w:hAnsi="Times New Roman"/>
        </w:rPr>
        <w:t>BPA</w:t>
      </w:r>
    </w:p>
    <w:p>
      <w:pPr>
        <w:pStyle w:val="Normal"/>
        <w:widowControl/>
        <w:tabs>
          <w:tab w:val="clear" w:pos="720"/>
          <w:tab w:val="left" w:pos="1260" w:leader="none"/>
        </w:tabs>
        <w:ind w:hanging="540" w:start="1620" w:end="0"/>
        <w:jc w:val="both"/>
        <w:rPr>
          <w:rFonts w:ascii="Times New Roman" w:hAnsi="Times New Roman" w:cs="Times New Roman"/>
        </w:rPr>
      </w:pPr>
      <w:r>
        <w:rPr>
          <w:rFonts w:cs="Times New Roman" w:ascii="Times New Roman" w:hAnsi="Times New Roman"/>
        </w:rPr>
        <w:t>-</w:t>
        <w:tab/>
        <w:t>Christian Yoder//Richard Sanders</w:t>
      </w:r>
    </w:p>
    <w:p>
      <w:pPr>
        <w:pStyle w:val="EndnoteText"/>
        <w:widowControl/>
        <w:numPr>
          <w:ilvl w:val="1"/>
          <w:numId w:val="11"/>
        </w:numPr>
        <w:tabs>
          <w:tab w:val="clear" w:pos="720"/>
          <w:tab w:val="left" w:pos="1260" w:leader="none"/>
        </w:tabs>
        <w:ind w:hanging="1080" w:start="2160" w:end="0"/>
        <w:jc w:val="both"/>
        <w:rPr>
          <w:rFonts w:ascii="Times New Roman" w:hAnsi="Times New Roman" w:cs="Times New Roman"/>
        </w:rPr>
      </w:pPr>
      <w:r>
        <w:rPr>
          <w:rFonts w:cs="Times New Roman" w:ascii="Times New Roman" w:hAnsi="Times New Roman"/>
        </w:rPr>
        <w:t>Update:</w:t>
        <w:tab/>
        <w:t>BPA has indicated that it may not perform on a long-term contract it entered into with EPMI in 1997.  BPA claims the contract was contingent on EPMI serving Fort James (James River), which contract with Fort James has been terminated; received letter from Clatskanie that supports our position.  ENA Legal also reviewing our overall trading position with BPA in order to prepare for possible non-performance by BPA</w:t>
      </w:r>
    </w:p>
    <w:p>
      <w:pPr>
        <w:pStyle w:val="EndnoteText"/>
        <w:widowControl/>
        <w:tabs>
          <w:tab w:val="clear" w:pos="720"/>
          <w:tab w:val="left" w:pos="1260" w:leader="none"/>
        </w:tabs>
        <w:ind w:start="1080" w:end="0"/>
        <w:jc w:val="both"/>
        <w:rPr>
          <w:rFonts w:ascii="Times New Roman" w:hAnsi="Times New Roman" w:cs="Times New Roman"/>
        </w:rPr>
      </w:pPr>
      <w:r>
        <w:rPr>
          <w:rFonts w:cs="Times New Roman" w:ascii="Times New Roman" w:hAnsi="Times New Roman"/>
        </w:rPr>
      </w:r>
    </w:p>
    <w:p>
      <w:pPr>
        <w:pStyle w:val="Normal"/>
        <w:widowControl/>
        <w:numPr>
          <w:ilvl w:val="0"/>
          <w:numId w:val="6"/>
        </w:numPr>
        <w:tabs>
          <w:tab w:val="clear" w:pos="720"/>
        </w:tabs>
        <w:spacing w:before="120" w:after="0"/>
        <w:ind w:hanging="360" w:start="1080" w:end="0"/>
        <w:jc w:val="both"/>
        <w:rPr>
          <w:rFonts w:ascii="Times New Roman" w:hAnsi="Times New Roman" w:cs="Times New Roman"/>
        </w:rPr>
      </w:pPr>
      <w:r>
        <w:rPr>
          <w:rFonts w:cs="Times New Roman" w:ascii="Times New Roman" w:hAnsi="Times New Roman"/>
        </w:rPr>
        <w:t>California Activities</w:t>
      </w:r>
    </w:p>
    <w:p>
      <w:pPr>
        <w:pStyle w:val="Normal"/>
        <w:widowControl/>
        <w:tabs>
          <w:tab w:val="clear" w:pos="720"/>
          <w:tab w:val="left" w:pos="1260" w:leader="none"/>
        </w:tabs>
        <w:ind w:hanging="540" w:start="1620" w:end="0"/>
        <w:jc w:val="both"/>
        <w:rPr>
          <w:rFonts w:ascii="Times New Roman" w:hAnsi="Times New Roman" w:cs="Times New Roman"/>
        </w:rPr>
      </w:pPr>
      <w:r>
        <w:rPr>
          <w:rFonts w:cs="Times New Roman" w:ascii="Times New Roman" w:hAnsi="Times New Roman"/>
        </w:rPr>
        <w:t>-</w:t>
        <w:tab/>
        <w:t>Christian Yoder/Steve Hall/Elizabeth Sager/Richard Sanders</w:t>
      </w:r>
    </w:p>
    <w:p>
      <w:pPr>
        <w:pStyle w:val="EndnoteText"/>
        <w:widowControl/>
        <w:numPr>
          <w:ilvl w:val="1"/>
          <w:numId w:val="11"/>
        </w:numPr>
        <w:tabs>
          <w:tab w:val="clear" w:pos="720"/>
          <w:tab w:val="left" w:pos="1260" w:leader="none"/>
        </w:tabs>
        <w:ind w:hanging="1080" w:start="2160" w:end="0"/>
        <w:jc w:val="both"/>
        <w:rPr>
          <w:rFonts w:ascii="Times New Roman" w:hAnsi="Times New Roman" w:cs="Times New Roman"/>
        </w:rPr>
      </w:pPr>
      <w:r>
        <w:rPr>
          <w:rFonts w:cs="Times New Roman" w:ascii="Times New Roman" w:hAnsi="Times New Roman"/>
        </w:rPr>
        <w:t>Update:</w:t>
        <w:tab/>
        <w:t>Working to review/assess trading activities in California and to minimize exposures with California counterparties</w:t>
      </w:r>
    </w:p>
    <w:p>
      <w:pPr>
        <w:pStyle w:val="EndnoteText"/>
        <w:widowControl/>
        <w:tabs>
          <w:tab w:val="clear" w:pos="720"/>
          <w:tab w:val="left" w:pos="1260" w:leader="none"/>
        </w:tabs>
        <w:ind w:start="720" w:end="0"/>
        <w:jc w:val="both"/>
        <w:rPr>
          <w:rFonts w:ascii="Times New Roman" w:hAnsi="Times New Roman" w:cs="Times New Roman"/>
        </w:rPr>
      </w:pPr>
      <w:r>
        <w:rPr>
          <w:rFonts w:cs="Times New Roman" w:ascii="Times New Roman" w:hAnsi="Times New Roman"/>
        </w:rPr>
      </w:r>
    </w:p>
    <w:p>
      <w:pPr>
        <w:pStyle w:val="EndnoteText"/>
        <w:keepNext w:val="true"/>
        <w:widowControl/>
        <w:tabs>
          <w:tab w:val="clear" w:pos="720"/>
          <w:tab w:val="left" w:pos="1260" w:leader="none"/>
        </w:tabs>
        <w:ind w:hanging="360" w:start="1080" w:end="0"/>
        <w:jc w:val="both"/>
        <w:rPr>
          <w:rFonts w:ascii="Times New Roman" w:hAnsi="Times New Roman" w:cs="Times New Roman"/>
        </w:rPr>
      </w:pPr>
      <w:r>
        <w:rPr>
          <w:rFonts w:cs="Times New Roman" w:ascii="Times New Roman" w:hAnsi="Times New Roman"/>
        </w:rPr>
        <w:t>3.</w:t>
        <w:tab/>
        <w:t>PacifiCorp Physical/Financial Transaction - 33 month option for PacifiCorp to purchase up to 500 MWh at 75% of prompt month index or settle financially at daily index plus premium triggered by 10% or greater outage of PacifiCorp's 4500 MW East Portfolio; EPMI exposure capped at $550MM and 1 MM MWh per year</w:t>
      </w:r>
    </w:p>
    <w:p>
      <w:pPr>
        <w:pStyle w:val="EndnoteText"/>
        <w:widowControl/>
        <w:numPr>
          <w:ilvl w:val="1"/>
          <w:numId w:val="11"/>
        </w:numPr>
        <w:tabs>
          <w:tab w:val="clear" w:pos="720"/>
          <w:tab w:val="left" w:pos="1260" w:leader="none"/>
        </w:tabs>
        <w:jc w:val="both"/>
        <w:rPr>
          <w:rFonts w:ascii="Times New Roman" w:hAnsi="Times New Roman" w:cs="Times New Roman"/>
        </w:rPr>
      </w:pPr>
      <w:r>
        <w:rPr>
          <w:rFonts w:cs="Times New Roman" w:ascii="Times New Roman" w:hAnsi="Times New Roman"/>
        </w:rPr>
        <w:t>Harlan Murphy/ Christian Yoder/Brent Hendry</w:t>
      </w:r>
    </w:p>
    <w:p>
      <w:pPr>
        <w:pStyle w:val="EndnoteText"/>
        <w:widowControl/>
        <w:tabs>
          <w:tab w:val="clear" w:pos="720"/>
          <w:tab w:val="left" w:pos="1260" w:leader="none"/>
          <w:tab w:val="left" w:pos="2160" w:leader="none"/>
        </w:tabs>
        <w:ind w:hanging="1080" w:start="2160" w:end="0"/>
        <w:jc w:val="both"/>
        <w:rPr>
          <w:rFonts w:ascii="Times New Roman" w:hAnsi="Times New Roman" w:cs="Times New Roman"/>
        </w:rPr>
      </w:pPr>
      <w:r>
        <w:rPr>
          <w:rFonts w:cs="Times New Roman" w:ascii="Times New Roman" w:hAnsi="Times New Roman"/>
        </w:rPr>
        <w:t>-</w:t>
        <w:tab/>
        <w:t>Update:</w:t>
        <w:tab/>
        <w:t>Deal is to commence on 7/1/01</w:t>
      </w:r>
    </w:p>
    <w:p>
      <w:pPr>
        <w:pStyle w:val="Normal"/>
        <w:widowControl/>
        <w:tabs>
          <w:tab w:val="clear" w:pos="720"/>
          <w:tab w:val="left" w:pos="1344" w:leader="none"/>
          <w:tab w:val="left" w:pos="5106" w:leader="none"/>
          <w:tab w:val="left" w:pos="7254" w:leader="none"/>
        </w:tabs>
        <w:spacing w:before="240" w:after="0"/>
        <w:rPr>
          <w:rFonts w:ascii="Arial Rounded MT Bold" w:hAnsi="Arial Rounded MT Bold" w:cs="Arial Rounded MT Bold"/>
          <w:sz w:val="22"/>
        </w:rPr>
      </w:pPr>
      <w:r>
        <w:rPr>
          <w:rFonts w:cs="Arial Rounded MT Bold" w:ascii="Arial Rounded MT Bold" w:hAnsi="Arial Rounded MT Bold"/>
          <w:sz w:val="22"/>
        </w:rPr>
        <w:t>NET WORKS</w:t>
      </w:r>
    </w:p>
    <w:p>
      <w:pPr>
        <w:pStyle w:val="BodyText"/>
        <w:widowControl/>
        <w:tabs>
          <w:tab w:val="clear" w:pos="720"/>
          <w:tab w:val="left" w:pos="1260" w:leader="none"/>
        </w:tabs>
        <w:spacing w:before="120" w:after="0"/>
        <w:ind w:hanging="360" w:start="1080" w:end="0"/>
        <w:rPr>
          <w:rFonts w:ascii="Times New Roman" w:hAnsi="Times New Roman" w:cs="Times New Roman"/>
        </w:rPr>
      </w:pPr>
      <w:r>
        <w:rPr>
          <w:rFonts w:cs="Times New Roman" w:ascii="Times New Roman" w:hAnsi="Times New Roman"/>
        </w:rPr>
        <w:t>1.</w:t>
        <w:tab/>
        <w:t>Enron Offline – Potential software sale or joint venture</w:t>
      </w:r>
    </w:p>
    <w:p>
      <w:pPr>
        <w:pStyle w:val="BodyText"/>
        <w:widowControl/>
        <w:numPr>
          <w:ilvl w:val="0"/>
          <w:numId w:val="7"/>
        </w:numPr>
        <w:tabs>
          <w:tab w:val="clear" w:pos="720"/>
          <w:tab w:val="left" w:pos="1260" w:leader="none"/>
        </w:tabs>
        <w:rPr>
          <w:rFonts w:ascii="Times New Roman" w:hAnsi="Times New Roman" w:cs="Times New Roman"/>
        </w:rPr>
      </w:pPr>
      <w:r>
        <w:rPr>
          <w:rFonts w:cs="Times New Roman" w:ascii="Times New Roman" w:hAnsi="Times New Roman"/>
        </w:rPr>
        <w:t>Greg Piper/Travis McCullough (Vinson &amp; Elkins)</w:t>
      </w:r>
    </w:p>
    <w:p>
      <w:pPr>
        <w:pStyle w:val="Normal"/>
        <w:widowControl/>
        <w:tabs>
          <w:tab w:val="clear" w:pos="720"/>
          <w:tab w:val="left" w:pos="1080" w:leader="none"/>
        </w:tabs>
        <w:ind w:hanging="360" w:start="1080" w:end="0"/>
        <w:jc w:val="both"/>
        <w:rPr>
          <w:rFonts w:ascii="Times New Roman" w:hAnsi="Times New Roman" w:cs="Times New Roman"/>
        </w:rPr>
      </w:pPr>
      <w:r>
        <w:rPr>
          <w:rFonts w:cs="Times New Roman" w:ascii="Times New Roman" w:hAnsi="Times New Roman"/>
        </w:rPr>
        <w:tab/>
        <w:t>- Update:</w:t>
        <w:tab/>
        <w:t>Various NDA’s negotiated</w:t>
      </w:r>
    </w:p>
    <w:p>
      <w:pPr>
        <w:pStyle w:val="BodyText"/>
        <w:widowControl/>
        <w:tabs>
          <w:tab w:val="clear" w:pos="720"/>
          <w:tab w:val="left" w:pos="1260" w:leader="none"/>
        </w:tabs>
        <w:spacing w:before="120" w:after="0"/>
        <w:ind w:hanging="360" w:start="1080" w:end="0"/>
        <w:rPr>
          <w:rFonts w:ascii="Times New Roman" w:hAnsi="Times New Roman" w:cs="Times New Roman"/>
        </w:rPr>
      </w:pPr>
      <w:r>
        <w:rPr>
          <w:rFonts w:cs="Times New Roman" w:ascii="Times New Roman" w:hAnsi="Times New Roman"/>
        </w:rPr>
        <w:t>2.</w:t>
        <w:tab/>
        <w:t xml:space="preserve">Back Office Commercialization - </w:t>
      </w:r>
    </w:p>
    <w:p>
      <w:pPr>
        <w:pStyle w:val="BodyText"/>
        <w:widowControl/>
        <w:numPr>
          <w:ilvl w:val="0"/>
          <w:numId w:val="7"/>
        </w:numPr>
        <w:tabs>
          <w:tab w:val="clear" w:pos="720"/>
          <w:tab w:val="left" w:pos="1260" w:leader="none"/>
        </w:tabs>
        <w:rPr>
          <w:rFonts w:ascii="Times New Roman" w:hAnsi="Times New Roman" w:cs="Times New Roman"/>
        </w:rPr>
      </w:pPr>
      <w:r>
        <w:rPr>
          <w:rFonts w:cs="Times New Roman" w:ascii="Times New Roman" w:hAnsi="Times New Roman"/>
        </w:rPr>
        <w:t>Sally Beck/Mark Taylor/Frank Sayre</w:t>
      </w:r>
    </w:p>
    <w:p>
      <w:pPr>
        <w:pStyle w:val="EndnoteText"/>
        <w:widowControl/>
        <w:tabs>
          <w:tab w:val="clear" w:pos="720"/>
          <w:tab w:val="left" w:pos="1260" w:leader="none"/>
        </w:tabs>
        <w:ind w:hanging="1080" w:start="2160" w:end="0"/>
        <w:jc w:val="both"/>
        <w:rPr>
          <w:rFonts w:ascii="Times New Roman" w:hAnsi="Times New Roman" w:cs="Times New Roman"/>
        </w:rPr>
      </w:pPr>
      <w:r>
        <w:rPr>
          <w:rFonts w:cs="Times New Roman" w:ascii="Times New Roman" w:hAnsi="Times New Roman"/>
        </w:rPr>
        <w:t>-</w:t>
        <w:tab/>
        <w:t>Update:</w:t>
        <w:tab/>
        <w:t xml:space="preserve">Preparing Services Agreement, consulting with commercial staff regarding structure </w:t>
      </w:r>
    </w:p>
    <w:p>
      <w:pPr>
        <w:pStyle w:val="Normal"/>
        <w:widowControl/>
        <w:tabs>
          <w:tab w:val="clear" w:pos="720"/>
          <w:tab w:val="left" w:pos="1080" w:leader="none"/>
        </w:tabs>
        <w:spacing w:before="120" w:after="0"/>
        <w:ind w:hanging="360" w:start="1080" w:end="0"/>
        <w:jc w:val="both"/>
        <w:rPr>
          <w:rFonts w:ascii="Times New Roman" w:hAnsi="Times New Roman" w:cs="Times New Roman"/>
        </w:rPr>
      </w:pPr>
      <w:r>
        <w:rPr>
          <w:rFonts w:cs="Times New Roman" w:ascii="Times New Roman" w:hAnsi="Times New Roman"/>
        </w:rPr>
        <w:t>3.</w:t>
        <w:tab/>
        <w:t>Commodity Logic</w:t>
      </w:r>
    </w:p>
    <w:p>
      <w:pPr>
        <w:pStyle w:val="Normal"/>
        <w:widowControl/>
        <w:tabs>
          <w:tab w:val="clear" w:pos="720"/>
          <w:tab w:val="left" w:pos="1260" w:leader="none"/>
        </w:tabs>
        <w:ind w:hanging="1080" w:start="2160" w:end="0"/>
        <w:rPr>
          <w:rFonts w:ascii="Times New Roman" w:hAnsi="Times New Roman" w:cs="Times New Roman"/>
        </w:rPr>
      </w:pPr>
      <w:r>
        <w:rPr>
          <w:rFonts w:cs="Times New Roman" w:ascii="Times New Roman" w:hAnsi="Times New Roman"/>
        </w:rPr>
        <w:t>-</w:t>
        <w:tab/>
        <w:t>Tom Gros/Mark Greenberg/Mark Taylor</w:t>
      </w:r>
    </w:p>
    <w:p>
      <w:pPr>
        <w:pStyle w:val="EndnoteText"/>
        <w:widowControl/>
        <w:tabs>
          <w:tab w:val="clear" w:pos="720"/>
          <w:tab w:val="left" w:pos="1260" w:leader="none"/>
        </w:tabs>
        <w:ind w:hanging="1080" w:start="2160" w:end="0"/>
        <w:jc w:val="both"/>
        <w:rPr>
          <w:rFonts w:ascii="Times New Roman" w:hAnsi="Times New Roman" w:cs="Times New Roman"/>
        </w:rPr>
      </w:pPr>
      <w:r>
        <w:rPr>
          <w:rFonts w:cs="Times New Roman" w:ascii="Times New Roman" w:hAnsi="Times New Roman"/>
        </w:rPr>
        <w:t>-</w:t>
        <w:tab/>
        <w:t>Update:</w:t>
        <w:tab/>
        <w:t>Preparation of agreements for various phases of an internet platform providing confirmation, nomination and invoicing services to third party users</w:t>
      </w:r>
    </w:p>
    <w:p>
      <w:pPr>
        <w:pStyle w:val="Normal"/>
        <w:widowControl/>
        <w:tabs>
          <w:tab w:val="clear" w:pos="720"/>
          <w:tab w:val="left" w:pos="1080" w:leader="none"/>
        </w:tabs>
        <w:spacing w:before="120" w:after="0"/>
        <w:ind w:hanging="360" w:start="1080" w:end="0"/>
        <w:jc w:val="both"/>
        <w:rPr>
          <w:rFonts w:ascii="Times New Roman" w:hAnsi="Times New Roman" w:cs="Times New Roman"/>
        </w:rPr>
      </w:pPr>
      <w:r>
        <w:rPr>
          <w:rFonts w:cs="Times New Roman" w:ascii="Times New Roman" w:hAnsi="Times New Roman"/>
        </w:rPr>
        <w:t>4.</w:t>
        <w:tab/>
        <w:t>EnronOnline – North America</w:t>
      </w:r>
    </w:p>
    <w:p>
      <w:pPr>
        <w:pStyle w:val="Normal"/>
        <w:widowControl/>
        <w:tabs>
          <w:tab w:val="clear" w:pos="720"/>
          <w:tab w:val="left" w:pos="1260" w:leader="none"/>
        </w:tabs>
        <w:ind w:hanging="1080" w:start="2160" w:end="0"/>
        <w:rPr>
          <w:rFonts w:ascii="Times New Roman" w:hAnsi="Times New Roman" w:cs="Times New Roman"/>
        </w:rPr>
      </w:pPr>
      <w:r>
        <w:rPr>
          <w:rFonts w:cs="Times New Roman" w:ascii="Times New Roman" w:hAnsi="Times New Roman"/>
        </w:rPr>
        <w:t>-</w:t>
        <w:tab/>
        <w:t>Andy Zipper/Mark Taylor/Mark Greenberg (Sullivan &amp; Cromwell)</w:t>
      </w:r>
    </w:p>
    <w:p>
      <w:pPr>
        <w:pStyle w:val="Normal"/>
        <w:widowControl/>
        <w:tabs>
          <w:tab w:val="clear" w:pos="720"/>
          <w:tab w:val="left" w:pos="1260" w:leader="none"/>
          <w:tab w:val="left" w:pos="2160" w:leader="none"/>
        </w:tabs>
        <w:ind w:hanging="1080" w:start="2160" w:end="0"/>
        <w:jc w:val="both"/>
        <w:rPr>
          <w:rFonts w:ascii="Times New Roman" w:hAnsi="Times New Roman" w:cs="Times New Roman"/>
        </w:rPr>
      </w:pPr>
      <w:r>
        <w:rPr>
          <w:rFonts w:cs="Times New Roman" w:ascii="Times New Roman" w:hAnsi="Times New Roman"/>
        </w:rPr>
        <w:t>-</w:t>
        <w:tab/>
        <w:t>Update:</w:t>
        <w:tab/>
        <w:t>Preparation of agreements for broker access and posting products offered by non-Enron parties; negotiating exceptions to standard online forms and approving language and documentation for new products; continuing structural and regulatory issues</w:t>
      </w:r>
    </w:p>
    <w:p>
      <w:pPr>
        <w:pStyle w:val="Normal"/>
        <w:widowControl/>
        <w:tabs>
          <w:tab w:val="clear" w:pos="720"/>
          <w:tab w:val="left" w:pos="1080" w:leader="none"/>
        </w:tabs>
        <w:spacing w:before="120" w:after="0"/>
        <w:ind w:hanging="360" w:start="1080" w:end="0"/>
        <w:jc w:val="both"/>
        <w:rPr>
          <w:rFonts w:ascii="Times New Roman" w:hAnsi="Times New Roman" w:cs="Times New Roman"/>
        </w:rPr>
      </w:pPr>
      <w:r>
        <w:rPr>
          <w:rFonts w:cs="Times New Roman" w:ascii="Times New Roman" w:hAnsi="Times New Roman"/>
        </w:rPr>
        <w:t>5.</w:t>
        <w:tab/>
        <w:t>Third Party Trading Platforms</w:t>
      </w:r>
    </w:p>
    <w:p>
      <w:pPr>
        <w:pStyle w:val="Normal"/>
        <w:widowControl/>
        <w:numPr>
          <w:ilvl w:val="1"/>
          <w:numId w:val="11"/>
        </w:numPr>
        <w:tabs>
          <w:tab w:val="clear" w:pos="720"/>
          <w:tab w:val="left" w:pos="1260" w:leader="none"/>
        </w:tabs>
        <w:rPr>
          <w:rFonts w:ascii="Times New Roman" w:hAnsi="Times New Roman" w:cs="Times New Roman"/>
        </w:rPr>
      </w:pPr>
      <w:r>
        <w:rPr>
          <w:rFonts w:cs="Times New Roman" w:ascii="Times New Roman" w:hAnsi="Times New Roman"/>
        </w:rPr>
        <w:t>Mark Taylor/Mark Greenberg</w:t>
      </w:r>
    </w:p>
    <w:p>
      <w:pPr>
        <w:pStyle w:val="Normal"/>
        <w:widowControl/>
        <w:tabs>
          <w:tab w:val="clear" w:pos="720"/>
          <w:tab w:val="left" w:pos="1344" w:leader="none"/>
          <w:tab w:val="left" w:pos="2160" w:leader="none"/>
          <w:tab w:val="left" w:pos="5106" w:leader="none"/>
          <w:tab w:val="left" w:pos="7254" w:leader="none"/>
        </w:tabs>
        <w:ind w:hanging="187" w:start="1267" w:end="0"/>
        <w:rPr/>
      </w:pPr>
      <w:r>
        <w:rPr/>
        <w:t>-</w:t>
        <w:tab/>
        <w:t>Update:</w:t>
        <w:tab/>
        <w:t>Legal and technical work associated with Enron traders trading on third party platforms for Enron’s account</w:t>
      </w:r>
      <w:r>
        <w:rPr>
          <w:rFonts w:cs="Arial Rounded MT Bold" w:ascii="Arial Rounded MT Bold" w:hAnsi="Arial Rounded MT Bold"/>
          <w:sz w:val="22"/>
        </w:rPr>
        <w:t xml:space="preserve"> </w:t>
      </w:r>
    </w:p>
    <w:p>
      <w:pPr>
        <w:pStyle w:val="Normal"/>
        <w:widowControl/>
        <w:tabs>
          <w:tab w:val="clear" w:pos="720"/>
          <w:tab w:val="left" w:pos="1344" w:leader="none"/>
          <w:tab w:val="left" w:pos="5106" w:leader="none"/>
          <w:tab w:val="left" w:pos="7254" w:leader="none"/>
        </w:tabs>
        <w:spacing w:before="240" w:after="0"/>
        <w:rPr>
          <w:rFonts w:ascii="Arial Rounded MT Bold" w:hAnsi="Arial Rounded MT Bold" w:cs="Arial Rounded MT Bold"/>
          <w:sz w:val="22"/>
        </w:rPr>
      </w:pPr>
      <w:r>
        <w:rPr>
          <w:rFonts w:cs="Arial Rounded MT Bold" w:ascii="Arial Rounded MT Bold" w:hAnsi="Arial Rounded MT Bold"/>
          <w:sz w:val="22"/>
        </w:rPr>
        <w:t>EAST ORIGINATION &amp; MEXICO</w:t>
      </w:r>
    </w:p>
    <w:p>
      <w:pPr>
        <w:pStyle w:val="Normal"/>
        <w:widowControl/>
        <w:numPr>
          <w:ilvl w:val="0"/>
          <w:numId w:val="5"/>
        </w:numPr>
        <w:tabs>
          <w:tab w:val="clear" w:pos="720"/>
          <w:tab w:val="left" w:pos="1080" w:leader="none"/>
        </w:tabs>
        <w:spacing w:before="120" w:after="0"/>
        <w:ind w:hanging="360" w:start="1080" w:end="0"/>
        <w:jc w:val="both"/>
        <w:rPr>
          <w:rFonts w:ascii="Times New Roman" w:hAnsi="Times New Roman" w:cs="Times New Roman"/>
        </w:rPr>
      </w:pPr>
      <w:r>
        <w:rPr>
          <w:rFonts w:cs="Times New Roman" w:ascii="Times New Roman" w:hAnsi="Times New Roman"/>
        </w:rPr>
        <w:t>Co Op City – Development of a small power generation facility for a housing complex in New York, with subsequent asset management responsibilities</w:t>
      </w:r>
    </w:p>
    <w:p>
      <w:pPr>
        <w:pStyle w:val="BodyText"/>
        <w:widowControl/>
        <w:numPr>
          <w:ilvl w:val="0"/>
          <w:numId w:val="7"/>
        </w:numPr>
        <w:tabs>
          <w:tab w:val="clear" w:pos="720"/>
          <w:tab w:val="left" w:pos="1260" w:leader="none"/>
        </w:tabs>
        <w:rPr/>
      </w:pPr>
      <w:r>
        <w:rPr>
          <w:rFonts w:cs="Times New Roman" w:ascii="Times New Roman" w:hAnsi="Times New Roman"/>
        </w:rPr>
        <w:t>Kay Mann</w:t>
      </w:r>
    </w:p>
    <w:p>
      <w:pPr>
        <w:pStyle w:val="BodyText"/>
        <w:widowControl/>
        <w:numPr>
          <w:ilvl w:val="0"/>
          <w:numId w:val="7"/>
        </w:numPr>
        <w:tabs>
          <w:tab w:val="clear" w:pos="720"/>
          <w:tab w:val="left" w:pos="1260" w:leader="none"/>
        </w:tabs>
        <w:rPr/>
      </w:pPr>
      <w:r>
        <w:rPr>
          <w:rFonts w:cs="Times New Roman" w:ascii="Times New Roman" w:hAnsi="Times New Roman"/>
        </w:rPr>
        <w:t>Update:</w:t>
        <w:tab/>
        <w:t>Currently negotiating term sheet</w:t>
      </w:r>
    </w:p>
    <w:p>
      <w:pPr>
        <w:pStyle w:val="Normal"/>
        <w:widowControl/>
        <w:numPr>
          <w:ilvl w:val="0"/>
          <w:numId w:val="5"/>
        </w:numPr>
        <w:tabs>
          <w:tab w:val="clear" w:pos="720"/>
          <w:tab w:val="left" w:pos="1080" w:leader="none"/>
        </w:tabs>
        <w:spacing w:before="120" w:after="0"/>
        <w:ind w:hanging="360" w:start="1080" w:end="0"/>
        <w:jc w:val="both"/>
        <w:rPr>
          <w:rFonts w:ascii="Times New Roman" w:hAnsi="Times New Roman" w:cs="Times New Roman"/>
        </w:rPr>
      </w:pPr>
      <w:r>
        <w:rPr>
          <w:rFonts w:cs="Times New Roman" w:ascii="Times New Roman" w:hAnsi="Times New Roman"/>
        </w:rPr>
        <w:t>PSEG – Sale of a development site in Illinois</w:t>
      </w:r>
    </w:p>
    <w:p>
      <w:pPr>
        <w:pStyle w:val="BodyText"/>
        <w:widowControl/>
        <w:numPr>
          <w:ilvl w:val="0"/>
          <w:numId w:val="7"/>
        </w:numPr>
        <w:tabs>
          <w:tab w:val="clear" w:pos="720"/>
          <w:tab w:val="left" w:pos="1260" w:leader="none"/>
        </w:tabs>
        <w:rPr/>
      </w:pPr>
      <w:r>
        <w:rPr>
          <w:rFonts w:cs="Times New Roman" w:ascii="Times New Roman" w:hAnsi="Times New Roman"/>
        </w:rPr>
        <w:t>Carlos Solé</w:t>
      </w:r>
    </w:p>
    <w:p>
      <w:pPr>
        <w:pStyle w:val="BodyText"/>
        <w:widowControl/>
        <w:numPr>
          <w:ilvl w:val="0"/>
          <w:numId w:val="7"/>
        </w:numPr>
        <w:tabs>
          <w:tab w:val="clear" w:pos="720"/>
          <w:tab w:val="left" w:pos="1260" w:leader="none"/>
        </w:tabs>
        <w:rPr/>
      </w:pPr>
      <w:r>
        <w:rPr>
          <w:rFonts w:cs="Times New Roman" w:ascii="Times New Roman" w:hAnsi="Times New Roman"/>
        </w:rPr>
        <w:t>Update:</w:t>
        <w:tab/>
        <w:t>New buyer identified; sale to previous buyer abandoned</w:t>
      </w:r>
    </w:p>
    <w:p>
      <w:pPr>
        <w:pStyle w:val="Normal"/>
        <w:widowControl/>
        <w:numPr>
          <w:ilvl w:val="0"/>
          <w:numId w:val="5"/>
        </w:numPr>
        <w:tabs>
          <w:tab w:val="clear" w:pos="720"/>
          <w:tab w:val="left" w:pos="1080" w:leader="none"/>
        </w:tabs>
        <w:spacing w:before="120" w:after="0"/>
        <w:ind w:hanging="360" w:start="1080" w:end="0"/>
        <w:jc w:val="both"/>
        <w:rPr/>
      </w:pPr>
      <w:r>
        <w:rPr>
          <w:rFonts w:cs="Times New Roman" w:ascii="Times New Roman" w:hAnsi="Times New Roman"/>
        </w:rPr>
        <w:t>Fuel Cell Joint Venture</w:t>
      </w:r>
    </w:p>
    <w:p>
      <w:pPr>
        <w:pStyle w:val="BodyText"/>
        <w:widowControl/>
        <w:numPr>
          <w:ilvl w:val="0"/>
          <w:numId w:val="7"/>
        </w:numPr>
        <w:tabs>
          <w:tab w:val="clear" w:pos="720"/>
          <w:tab w:val="left" w:pos="1260" w:leader="none"/>
        </w:tabs>
        <w:rPr>
          <w:rFonts w:ascii="Times New Roman" w:hAnsi="Times New Roman" w:cs="Times New Roman"/>
        </w:rPr>
      </w:pPr>
      <w:r>
        <w:rPr>
          <w:rFonts w:cs="Times New Roman" w:ascii="Times New Roman" w:hAnsi="Times New Roman"/>
        </w:rPr>
        <w:t>Kay Mann</w:t>
      </w:r>
    </w:p>
    <w:p>
      <w:pPr>
        <w:pStyle w:val="BodyText"/>
        <w:widowControl/>
        <w:numPr>
          <w:ilvl w:val="0"/>
          <w:numId w:val="7"/>
        </w:numPr>
        <w:tabs>
          <w:tab w:val="clear" w:pos="720"/>
          <w:tab w:val="left" w:pos="1260" w:leader="none"/>
        </w:tabs>
        <w:ind w:hanging="990" w:start="2070" w:end="0"/>
        <w:rPr>
          <w:rFonts w:ascii="Times New Roman" w:hAnsi="Times New Roman" w:cs="Times New Roman"/>
        </w:rPr>
      </w:pPr>
      <w:r>
        <w:rPr>
          <w:rFonts w:cs="Times New Roman" w:ascii="Times New Roman" w:hAnsi="Times New Roman"/>
        </w:rPr>
        <w:t>Update:</w:t>
        <w:tab/>
        <w:t xml:space="preserve">LOI with Connecticut Resource Recovery Authority in place; definitive agreements in progress; funding request submitted to State of Connecticut by CRRA </w:t>
      </w:r>
    </w:p>
    <w:p>
      <w:pPr>
        <w:pStyle w:val="Normal"/>
        <w:widowControl/>
        <w:numPr>
          <w:ilvl w:val="0"/>
          <w:numId w:val="5"/>
        </w:numPr>
        <w:tabs>
          <w:tab w:val="clear" w:pos="720"/>
          <w:tab w:val="left" w:pos="1080" w:leader="none"/>
        </w:tabs>
        <w:spacing w:before="120" w:after="0"/>
        <w:ind w:hanging="360" w:start="1080" w:end="0"/>
        <w:jc w:val="both"/>
        <w:rPr/>
      </w:pPr>
      <w:r>
        <w:rPr>
          <w:rFonts w:cs="Times New Roman" w:ascii="Times New Roman" w:hAnsi="Times New Roman"/>
        </w:rPr>
        <w:t>NCPH</w:t>
      </w:r>
      <w:r>
        <w:rPr/>
        <w:t xml:space="preserve"> – $25.5 million disposition of two North Carolina 35W coal-fired power plants recently acquired (1/31/01) via equity sale to AIG/Highstar</w:t>
      </w:r>
    </w:p>
    <w:p>
      <w:pPr>
        <w:pStyle w:val="BodyText"/>
        <w:widowControl/>
        <w:numPr>
          <w:ilvl w:val="0"/>
          <w:numId w:val="7"/>
        </w:numPr>
        <w:tabs>
          <w:tab w:val="clear" w:pos="720"/>
          <w:tab w:val="left" w:pos="1260" w:leader="none"/>
        </w:tabs>
        <w:rPr>
          <w:rFonts w:ascii="Times New Roman" w:hAnsi="Times New Roman" w:cs="Times New Roman"/>
        </w:rPr>
      </w:pPr>
      <w:r>
        <w:rPr>
          <w:rFonts w:cs="Times New Roman" w:ascii="Times New Roman" w:hAnsi="Times New Roman"/>
        </w:rPr>
        <w:t>Steve Van Hooser</w:t>
      </w:r>
    </w:p>
    <w:p>
      <w:pPr>
        <w:pStyle w:val="BodyText"/>
        <w:widowControl/>
        <w:numPr>
          <w:ilvl w:val="0"/>
          <w:numId w:val="7"/>
        </w:numPr>
        <w:tabs>
          <w:tab w:val="clear" w:pos="720"/>
          <w:tab w:val="left" w:pos="1260" w:leader="none"/>
        </w:tabs>
        <w:ind w:hanging="990" w:start="2070" w:end="0"/>
        <w:rPr>
          <w:rFonts w:ascii="Times New Roman" w:hAnsi="Times New Roman" w:cs="Times New Roman"/>
        </w:rPr>
      </w:pPr>
      <w:r>
        <w:rPr>
          <w:rFonts w:cs="Times New Roman" w:ascii="Times New Roman" w:hAnsi="Times New Roman"/>
        </w:rPr>
        <w:t>Update:</w:t>
        <w:tab/>
        <w:t>SPA signed 5/16/01 with closing to occur by 7/31/01</w:t>
      </w:r>
    </w:p>
    <w:p>
      <w:pPr>
        <w:pStyle w:val="Normal"/>
        <w:widowControl/>
        <w:numPr>
          <w:ilvl w:val="0"/>
          <w:numId w:val="5"/>
        </w:numPr>
        <w:tabs>
          <w:tab w:val="clear" w:pos="720"/>
          <w:tab w:val="left" w:pos="1080" w:leader="none"/>
        </w:tabs>
        <w:spacing w:before="120" w:after="0"/>
        <w:ind w:hanging="360" w:start="1080" w:end="0"/>
        <w:jc w:val="both"/>
        <w:rPr>
          <w:rFonts w:ascii="Times New Roman" w:hAnsi="Times New Roman" w:cs="Times New Roman"/>
        </w:rPr>
      </w:pPr>
      <w:r>
        <w:rPr>
          <w:rFonts w:cs="Times New Roman" w:ascii="Times New Roman" w:hAnsi="Times New Roman"/>
        </w:rPr>
        <w:t>Delta Power-Sale of four GE turbines currently in Turbopark</w:t>
      </w:r>
    </w:p>
    <w:p>
      <w:pPr>
        <w:pStyle w:val="BodyText"/>
        <w:widowControl/>
        <w:numPr>
          <w:ilvl w:val="0"/>
          <w:numId w:val="7"/>
        </w:numPr>
        <w:tabs>
          <w:tab w:val="clear" w:pos="720"/>
          <w:tab w:val="left" w:pos="1260" w:leader="none"/>
        </w:tabs>
        <w:rPr>
          <w:rFonts w:ascii="Times New Roman" w:hAnsi="Times New Roman" w:cs="Times New Roman"/>
        </w:rPr>
      </w:pPr>
      <w:r>
        <w:rPr>
          <w:rFonts w:cs="Times New Roman" w:ascii="Times New Roman" w:hAnsi="Times New Roman"/>
        </w:rPr>
        <w:t>Carlos Solé /Kay Mann</w:t>
      </w:r>
    </w:p>
    <w:p>
      <w:pPr>
        <w:pStyle w:val="BodyText"/>
        <w:widowControl/>
        <w:numPr>
          <w:ilvl w:val="0"/>
          <w:numId w:val="7"/>
        </w:numPr>
        <w:tabs>
          <w:tab w:val="clear" w:pos="720"/>
          <w:tab w:val="left" w:pos="1260" w:leader="none"/>
        </w:tabs>
        <w:ind w:hanging="990" w:start="2070" w:end="0"/>
        <w:rPr>
          <w:rFonts w:ascii="Times New Roman" w:hAnsi="Times New Roman" w:cs="Times New Roman"/>
        </w:rPr>
      </w:pPr>
      <w:r>
        <w:rPr>
          <w:rFonts w:cs="Times New Roman" w:ascii="Times New Roman" w:hAnsi="Times New Roman"/>
        </w:rPr>
        <w:t>Update:</w:t>
        <w:tab/>
        <w:t>Executed initial definitive agreement with potential buyer and finalizing closing documents</w:t>
      </w:r>
    </w:p>
    <w:p>
      <w:pPr>
        <w:pStyle w:val="Normal"/>
        <w:widowControl/>
        <w:numPr>
          <w:ilvl w:val="0"/>
          <w:numId w:val="5"/>
        </w:numPr>
        <w:tabs>
          <w:tab w:val="clear" w:pos="720"/>
          <w:tab w:val="left" w:pos="1080" w:leader="none"/>
        </w:tabs>
        <w:spacing w:before="120" w:after="0"/>
        <w:ind w:hanging="360" w:start="1080" w:end="0"/>
        <w:jc w:val="both"/>
        <w:rPr>
          <w:rFonts w:ascii="Times New Roman" w:hAnsi="Times New Roman" w:cs="Times New Roman"/>
        </w:rPr>
      </w:pPr>
      <w:r>
        <w:rPr>
          <w:rFonts w:cs="Times New Roman" w:ascii="Times New Roman" w:hAnsi="Times New Roman"/>
        </w:rPr>
        <w:t xml:space="preserve">City of Clarksdale &amp; Yazoo City, Mississippi </w:t>
      </w:r>
    </w:p>
    <w:p>
      <w:pPr>
        <w:pStyle w:val="BodyText"/>
        <w:widowControl/>
        <w:numPr>
          <w:ilvl w:val="0"/>
          <w:numId w:val="7"/>
        </w:numPr>
        <w:tabs>
          <w:tab w:val="clear" w:pos="720"/>
          <w:tab w:val="left" w:pos="1260" w:leader="none"/>
        </w:tabs>
        <w:rPr>
          <w:rFonts w:ascii="Times New Roman" w:hAnsi="Times New Roman" w:cs="Times New Roman"/>
        </w:rPr>
      </w:pPr>
      <w:r>
        <w:rPr>
          <w:rFonts w:cs="Times New Roman" w:ascii="Times New Roman" w:hAnsi="Times New Roman"/>
        </w:rPr>
        <w:t>Kay Mann</w:t>
      </w:r>
    </w:p>
    <w:p>
      <w:pPr>
        <w:pStyle w:val="BodyText"/>
        <w:widowControl/>
        <w:numPr>
          <w:ilvl w:val="0"/>
          <w:numId w:val="7"/>
        </w:numPr>
        <w:tabs>
          <w:tab w:val="clear" w:pos="720"/>
          <w:tab w:val="left" w:pos="1260" w:leader="none"/>
        </w:tabs>
        <w:ind w:hanging="990" w:start="2070" w:end="0"/>
        <w:rPr>
          <w:rFonts w:ascii="Times New Roman" w:hAnsi="Times New Roman" w:cs="Times New Roman"/>
        </w:rPr>
      </w:pPr>
      <w:r>
        <w:rPr>
          <w:rFonts w:cs="Times New Roman" w:ascii="Times New Roman" w:hAnsi="Times New Roman"/>
        </w:rPr>
        <w:t>Update:</w:t>
        <w:tab/>
        <w:t xml:space="preserve">Asset management agreement circulated for negotiation </w:t>
      </w:r>
    </w:p>
    <w:p>
      <w:pPr>
        <w:pStyle w:val="Normal"/>
        <w:widowControl/>
        <w:numPr>
          <w:ilvl w:val="0"/>
          <w:numId w:val="5"/>
        </w:numPr>
        <w:tabs>
          <w:tab w:val="clear" w:pos="720"/>
          <w:tab w:val="left" w:pos="1080" w:leader="none"/>
        </w:tabs>
        <w:spacing w:before="120" w:after="0"/>
        <w:ind w:hanging="360" w:start="1080" w:end="0"/>
        <w:jc w:val="both"/>
        <w:rPr>
          <w:rFonts w:ascii="Times New Roman" w:hAnsi="Times New Roman" w:cs="Times New Roman"/>
        </w:rPr>
      </w:pPr>
      <w:r>
        <w:rPr>
          <w:rFonts w:cs="Times New Roman" w:ascii="Times New Roman" w:hAnsi="Times New Roman"/>
        </w:rPr>
        <w:t>New Jersey Resources-project development agreements for fuel cell projects</w:t>
      </w:r>
    </w:p>
    <w:p>
      <w:pPr>
        <w:pStyle w:val="BodyText"/>
        <w:widowControl/>
        <w:numPr>
          <w:ilvl w:val="0"/>
          <w:numId w:val="7"/>
        </w:numPr>
        <w:tabs>
          <w:tab w:val="clear" w:pos="720"/>
          <w:tab w:val="left" w:pos="1260" w:leader="none"/>
        </w:tabs>
        <w:rPr>
          <w:rFonts w:ascii="Times New Roman" w:hAnsi="Times New Roman" w:cs="Times New Roman"/>
        </w:rPr>
      </w:pPr>
      <w:r>
        <w:rPr>
          <w:rFonts w:cs="Times New Roman" w:ascii="Times New Roman" w:hAnsi="Times New Roman"/>
        </w:rPr>
        <w:t>Kay Mann</w:t>
      </w:r>
    </w:p>
    <w:p>
      <w:pPr>
        <w:pStyle w:val="BodyText"/>
        <w:widowControl/>
        <w:numPr>
          <w:ilvl w:val="0"/>
          <w:numId w:val="7"/>
        </w:numPr>
        <w:tabs>
          <w:tab w:val="clear" w:pos="720"/>
          <w:tab w:val="left" w:pos="1260" w:leader="none"/>
        </w:tabs>
        <w:ind w:hanging="990" w:start="2070" w:end="0"/>
        <w:rPr>
          <w:rFonts w:ascii="Times New Roman" w:hAnsi="Times New Roman" w:cs="Times New Roman"/>
        </w:rPr>
      </w:pPr>
      <w:r>
        <w:rPr>
          <w:rFonts w:cs="Times New Roman" w:ascii="Times New Roman" w:hAnsi="Times New Roman"/>
        </w:rPr>
        <w:t>Update:</w:t>
        <w:tab/>
        <w:t>LOI signed</w:t>
      </w:r>
    </w:p>
    <w:p>
      <w:pPr>
        <w:pStyle w:val="Normal"/>
        <w:keepNext w:val="true"/>
        <w:widowControl/>
        <w:numPr>
          <w:ilvl w:val="0"/>
          <w:numId w:val="5"/>
        </w:numPr>
        <w:tabs>
          <w:tab w:val="clear" w:pos="720"/>
          <w:tab w:val="left" w:pos="1080" w:leader="none"/>
        </w:tabs>
        <w:spacing w:before="120" w:after="0"/>
        <w:ind w:hanging="360" w:start="1080" w:end="0"/>
        <w:jc w:val="both"/>
        <w:rPr>
          <w:rFonts w:ascii="Times New Roman" w:hAnsi="Times New Roman" w:cs="Times New Roman"/>
        </w:rPr>
      </w:pPr>
      <w:r>
        <w:rPr>
          <w:rFonts w:cs="Times New Roman" w:ascii="Times New Roman" w:hAnsi="Times New Roman"/>
        </w:rPr>
        <w:t>Northwestern – Sale of GE turbines in Turbopark</w:t>
      </w:r>
    </w:p>
    <w:p>
      <w:pPr>
        <w:pStyle w:val="BodyText"/>
        <w:widowControl/>
        <w:numPr>
          <w:ilvl w:val="0"/>
          <w:numId w:val="7"/>
        </w:numPr>
        <w:tabs>
          <w:tab w:val="clear" w:pos="720"/>
          <w:tab w:val="left" w:pos="1260" w:leader="none"/>
        </w:tabs>
        <w:rPr>
          <w:rFonts w:ascii="Times New Roman" w:hAnsi="Times New Roman" w:cs="Times New Roman"/>
        </w:rPr>
      </w:pPr>
      <w:r>
        <w:rPr>
          <w:rFonts w:cs="Times New Roman" w:ascii="Times New Roman" w:hAnsi="Times New Roman"/>
        </w:rPr>
        <w:t>Kay Mann</w:t>
      </w:r>
    </w:p>
    <w:p>
      <w:pPr>
        <w:pStyle w:val="BodyText"/>
        <w:widowControl/>
        <w:numPr>
          <w:ilvl w:val="0"/>
          <w:numId w:val="7"/>
        </w:numPr>
        <w:tabs>
          <w:tab w:val="clear" w:pos="720"/>
          <w:tab w:val="left" w:pos="1260" w:leader="none"/>
        </w:tabs>
        <w:ind w:hanging="990" w:start="2070" w:end="0"/>
        <w:rPr>
          <w:rFonts w:ascii="Times New Roman" w:hAnsi="Times New Roman" w:cs="Times New Roman"/>
        </w:rPr>
      </w:pPr>
      <w:r>
        <w:rPr>
          <w:rFonts w:cs="Times New Roman" w:ascii="Times New Roman" w:hAnsi="Times New Roman"/>
        </w:rPr>
        <w:t>Update:</w:t>
        <w:tab/>
        <w:t>Definitive documents being negotiated</w:t>
      </w:r>
    </w:p>
    <w:p>
      <w:pPr>
        <w:pStyle w:val="Normal"/>
        <w:widowControl/>
        <w:numPr>
          <w:ilvl w:val="0"/>
          <w:numId w:val="5"/>
        </w:numPr>
        <w:tabs>
          <w:tab w:val="clear" w:pos="720"/>
          <w:tab w:val="left" w:pos="1080" w:leader="none"/>
        </w:tabs>
        <w:spacing w:before="120" w:after="0"/>
        <w:ind w:hanging="360" w:start="1080" w:end="0"/>
        <w:jc w:val="both"/>
        <w:rPr>
          <w:rFonts w:ascii="Times New Roman" w:hAnsi="Times New Roman" w:cs="Times New Roman"/>
        </w:rPr>
      </w:pPr>
      <w:r>
        <w:rPr>
          <w:rFonts w:cs="Times New Roman" w:ascii="Times New Roman" w:hAnsi="Times New Roman"/>
        </w:rPr>
        <w:t>Brownsville Public Utility Board – Development of coal-fueled power plant in Brownsville, Texas</w:t>
      </w:r>
    </w:p>
    <w:p>
      <w:pPr>
        <w:pStyle w:val="BodyText"/>
        <w:widowControl/>
        <w:numPr>
          <w:ilvl w:val="0"/>
          <w:numId w:val="7"/>
        </w:numPr>
        <w:tabs>
          <w:tab w:val="clear" w:pos="720"/>
          <w:tab w:val="left" w:pos="1260" w:leader="none"/>
        </w:tabs>
        <w:rPr>
          <w:rFonts w:ascii="Times New Roman" w:hAnsi="Times New Roman" w:cs="Times New Roman"/>
        </w:rPr>
      </w:pPr>
      <w:r>
        <w:rPr>
          <w:rFonts w:cs="Times New Roman" w:ascii="Times New Roman" w:hAnsi="Times New Roman"/>
        </w:rPr>
        <w:t>Carlos Solé</w:t>
      </w:r>
    </w:p>
    <w:p>
      <w:pPr>
        <w:pStyle w:val="BodyText"/>
        <w:widowControl/>
        <w:numPr>
          <w:ilvl w:val="0"/>
          <w:numId w:val="7"/>
        </w:numPr>
        <w:tabs>
          <w:tab w:val="clear" w:pos="720"/>
          <w:tab w:val="left" w:pos="1260" w:leader="none"/>
        </w:tabs>
        <w:ind w:hanging="990" w:start="2070" w:end="0"/>
        <w:rPr>
          <w:rFonts w:ascii="Times New Roman" w:hAnsi="Times New Roman" w:cs="Times New Roman"/>
        </w:rPr>
      </w:pPr>
      <w:r>
        <w:rPr>
          <w:rFonts w:cs="Times New Roman" w:ascii="Times New Roman" w:hAnsi="Times New Roman"/>
        </w:rPr>
        <w:t>Update:</w:t>
        <w:tab/>
        <w:t>Letter of intent executed and negotiating site acquisition documents with Port of Brownsville</w:t>
      </w:r>
    </w:p>
    <w:p>
      <w:pPr>
        <w:pStyle w:val="Normal"/>
        <w:widowControl/>
        <w:numPr>
          <w:ilvl w:val="0"/>
          <w:numId w:val="5"/>
        </w:numPr>
        <w:tabs>
          <w:tab w:val="clear" w:pos="720"/>
          <w:tab w:val="left" w:pos="1080" w:leader="none"/>
        </w:tabs>
        <w:spacing w:before="120" w:after="0"/>
        <w:ind w:hanging="360" w:start="1080" w:end="0"/>
        <w:jc w:val="both"/>
        <w:rPr>
          <w:rFonts w:ascii="Times New Roman" w:hAnsi="Times New Roman" w:cs="Times New Roman"/>
        </w:rPr>
      </w:pPr>
      <w:r>
        <w:rPr>
          <w:rFonts w:cs="Times New Roman" w:ascii="Times New Roman" w:hAnsi="Times New Roman"/>
        </w:rPr>
        <w:t xml:space="preserve">Tex-Mex – Development of cross-border transformer facility for export of power into Mexico </w:t>
      </w:r>
    </w:p>
    <w:p>
      <w:pPr>
        <w:pStyle w:val="BodyText"/>
        <w:widowControl/>
        <w:numPr>
          <w:ilvl w:val="0"/>
          <w:numId w:val="7"/>
        </w:numPr>
        <w:tabs>
          <w:tab w:val="clear" w:pos="720"/>
          <w:tab w:val="left" w:pos="1260" w:leader="none"/>
        </w:tabs>
        <w:rPr>
          <w:rFonts w:ascii="Times New Roman" w:hAnsi="Times New Roman" w:cs="Times New Roman"/>
        </w:rPr>
      </w:pPr>
      <w:r>
        <w:rPr>
          <w:rFonts w:cs="Times New Roman" w:ascii="Times New Roman" w:hAnsi="Times New Roman"/>
        </w:rPr>
        <w:t>Carlos Solé</w:t>
      </w:r>
    </w:p>
    <w:p>
      <w:pPr>
        <w:pStyle w:val="BodyText"/>
        <w:widowControl/>
        <w:numPr>
          <w:ilvl w:val="0"/>
          <w:numId w:val="7"/>
        </w:numPr>
        <w:tabs>
          <w:tab w:val="clear" w:pos="720"/>
          <w:tab w:val="left" w:pos="1260" w:leader="none"/>
        </w:tabs>
        <w:ind w:hanging="990" w:start="2070" w:end="0"/>
        <w:rPr>
          <w:rFonts w:ascii="Times New Roman" w:hAnsi="Times New Roman" w:cs="Times New Roman"/>
        </w:rPr>
      </w:pPr>
      <w:r>
        <w:rPr>
          <w:rFonts w:cs="Times New Roman" w:ascii="Times New Roman" w:hAnsi="Times New Roman"/>
        </w:rPr>
        <w:t>Update:</w:t>
        <w:tab/>
        <w:t>EPC contract with ABB being reinstated, but Notice to Proceed will be subject to granting of certain Mexican regulatory approvals on the import of power into Mexico</w:t>
      </w:r>
    </w:p>
    <w:p>
      <w:pPr>
        <w:pStyle w:val="BodyText"/>
        <w:widowControl/>
        <w:tabs>
          <w:tab w:val="clear" w:pos="720"/>
          <w:tab w:val="left" w:pos="1260" w:leader="none"/>
        </w:tabs>
        <w:spacing w:before="120" w:after="0"/>
        <w:ind w:start="360" w:end="0"/>
        <w:rPr>
          <w:rFonts w:ascii="Times New Roman" w:hAnsi="Times New Roman" w:cs="Times New Roman"/>
          <w:b/>
          <w:bCs/>
          <w:u w:val="single"/>
        </w:rPr>
      </w:pPr>
      <w:r>
        <w:rPr>
          <w:rFonts w:cs="Times New Roman" w:ascii="Times New Roman" w:hAnsi="Times New Roman"/>
          <w:b/>
          <w:bCs/>
          <w:u w:val="single"/>
        </w:rPr>
        <w:t>Mexico</w:t>
      </w:r>
    </w:p>
    <w:p>
      <w:pPr>
        <w:pStyle w:val="Normal"/>
        <w:widowControl/>
        <w:numPr>
          <w:ilvl w:val="0"/>
          <w:numId w:val="14"/>
        </w:numPr>
        <w:tabs>
          <w:tab w:val="clear" w:pos="720"/>
        </w:tabs>
        <w:spacing w:before="120" w:after="0"/>
        <w:ind w:hanging="360" w:start="1080" w:end="0"/>
        <w:jc w:val="both"/>
        <w:rPr>
          <w:rFonts w:ascii="Times New Roman" w:hAnsi="Times New Roman" w:cs="Times New Roman"/>
        </w:rPr>
      </w:pPr>
      <w:r>
        <w:rPr>
          <w:rFonts w:cs="Times New Roman" w:ascii="Times New Roman" w:hAnsi="Times New Roman"/>
        </w:rPr>
        <w:t>Project Stealth – Development of several small power generation facilities - to be packaged for sale by ENA</w:t>
      </w:r>
    </w:p>
    <w:p>
      <w:pPr>
        <w:pStyle w:val="Normal"/>
        <w:widowControl/>
        <w:tabs>
          <w:tab w:val="clear" w:pos="720"/>
          <w:tab w:val="left" w:pos="1260" w:leader="none"/>
        </w:tabs>
        <w:ind w:hanging="360" w:start="1440" w:end="0"/>
        <w:jc w:val="both"/>
        <w:rPr>
          <w:rFonts w:ascii="Times New Roman" w:hAnsi="Times New Roman" w:cs="Times New Roman"/>
        </w:rPr>
      </w:pPr>
      <w:r>
        <w:rPr>
          <w:rFonts w:cs="Times New Roman" w:ascii="Times New Roman" w:hAnsi="Times New Roman"/>
        </w:rPr>
        <w:t>-</w:t>
        <w:tab/>
        <w:t>Carlos Solé</w:t>
      </w:r>
    </w:p>
    <w:p>
      <w:pPr>
        <w:pStyle w:val="BodyText"/>
        <w:widowControl/>
        <w:numPr>
          <w:ilvl w:val="0"/>
          <w:numId w:val="7"/>
        </w:numPr>
        <w:tabs>
          <w:tab w:val="clear" w:pos="720"/>
          <w:tab w:val="left" w:pos="1260" w:leader="none"/>
        </w:tabs>
        <w:ind w:hanging="990" w:start="2070" w:end="0"/>
        <w:rPr>
          <w:rFonts w:ascii="Times New Roman" w:hAnsi="Times New Roman" w:cs="Times New Roman"/>
        </w:rPr>
      </w:pPr>
      <w:r>
        <w:rPr>
          <w:rFonts w:cs="Times New Roman" w:ascii="Times New Roman" w:hAnsi="Times New Roman"/>
        </w:rPr>
        <w:t>Update:</w:t>
        <w:tab/>
        <w:t>PPA was presented to FAPSA and FAPSA’s comments are anticipated soon; discussions with Fersinsa on terms of PPA are ongoing but PPA format has not yet been given to Fersinsa; discussions are ongoing with Aroucia Corn Products, Hilaturas Parras and Parras de la Laguna</w:t>
      </w:r>
    </w:p>
    <w:p>
      <w:pPr>
        <w:pStyle w:val="Normal"/>
        <w:widowControl/>
        <w:tabs>
          <w:tab w:val="clear" w:pos="720"/>
          <w:tab w:val="left" w:pos="1344" w:leader="none"/>
          <w:tab w:val="left" w:pos="5106" w:leader="none"/>
          <w:tab w:val="left" w:pos="7254" w:leader="none"/>
        </w:tabs>
        <w:spacing w:before="240" w:after="0"/>
        <w:rPr>
          <w:rFonts w:ascii="Arial Rounded MT Bold" w:hAnsi="Arial Rounded MT Bold" w:cs="Arial Rounded MT Bold"/>
          <w:sz w:val="22"/>
        </w:rPr>
      </w:pPr>
      <w:r>
        <w:rPr>
          <w:rFonts w:cs="Arial Rounded MT Bold" w:ascii="Arial Rounded MT Bold" w:hAnsi="Arial Rounded MT Bold"/>
          <w:sz w:val="22"/>
        </w:rPr>
        <w:t>WEST ORIGINATION</w:t>
      </w:r>
    </w:p>
    <w:p>
      <w:pPr>
        <w:pStyle w:val="Normal"/>
        <w:widowControl/>
        <w:numPr>
          <w:ilvl w:val="0"/>
          <w:numId w:val="2"/>
        </w:numPr>
        <w:tabs>
          <w:tab w:val="clear" w:pos="720"/>
          <w:tab w:val="left" w:pos="1260" w:leader="none"/>
        </w:tabs>
        <w:spacing w:before="120" w:after="0"/>
        <w:jc w:val="both"/>
        <w:rPr>
          <w:rFonts w:ascii="Times New Roman" w:hAnsi="Times New Roman" w:cs="Times New Roman"/>
        </w:rPr>
      </w:pPr>
      <w:r>
        <w:rPr>
          <w:rFonts w:cs="Times New Roman" w:ascii="Times New Roman" w:hAnsi="Times New Roman"/>
        </w:rPr>
        <w:t>Development of expansion of LV Cogen II, tolling agreement and equity sell-down of LV Cogen I and LV Cogen II</w:t>
      </w:r>
    </w:p>
    <w:p>
      <w:pPr>
        <w:pStyle w:val="Normal"/>
        <w:widowControl/>
        <w:tabs>
          <w:tab w:val="clear" w:pos="720"/>
          <w:tab w:val="left" w:pos="1260" w:leader="none"/>
        </w:tabs>
        <w:ind w:hanging="360" w:start="1440" w:end="0"/>
        <w:jc w:val="both"/>
        <w:rPr>
          <w:rFonts w:ascii="Times New Roman" w:hAnsi="Times New Roman" w:cs="Times New Roman"/>
        </w:rPr>
      </w:pPr>
      <w:r>
        <w:rPr>
          <w:rFonts w:cs="Times New Roman" w:ascii="Times New Roman" w:hAnsi="Times New Roman"/>
        </w:rPr>
        <w:t>-</w:t>
        <w:tab/>
        <w:t>Dale Rasmussen (LeBouef )</w:t>
      </w:r>
    </w:p>
    <w:p>
      <w:pPr>
        <w:pStyle w:val="Normal"/>
        <w:widowControl/>
        <w:numPr>
          <w:ilvl w:val="0"/>
          <w:numId w:val="7"/>
        </w:numPr>
        <w:tabs>
          <w:tab w:val="clear" w:pos="720"/>
          <w:tab w:val="left" w:pos="1260" w:leader="none"/>
        </w:tabs>
        <w:ind w:hanging="1080" w:start="2160" w:end="0"/>
        <w:jc w:val="both"/>
        <w:rPr>
          <w:rFonts w:ascii="Times New Roman" w:hAnsi="Times New Roman" w:cs="Times New Roman"/>
        </w:rPr>
      </w:pPr>
      <w:r>
        <w:rPr>
          <w:rFonts w:cs="Times New Roman" w:ascii="Times New Roman" w:hAnsi="Times New Roman"/>
        </w:rPr>
        <w:t>Update:</w:t>
        <w:tab/>
        <w:t>Closing on equity sale contemplated 8/31/01</w:t>
      </w:r>
    </w:p>
    <w:p>
      <w:pPr>
        <w:pStyle w:val="Normal"/>
        <w:widowControl/>
        <w:numPr>
          <w:ilvl w:val="0"/>
          <w:numId w:val="2"/>
        </w:numPr>
        <w:tabs>
          <w:tab w:val="clear" w:pos="720"/>
          <w:tab w:val="left" w:pos="1260" w:leader="none"/>
        </w:tabs>
        <w:spacing w:before="120" w:after="0"/>
        <w:jc w:val="both"/>
        <w:rPr>
          <w:rFonts w:ascii="Times New Roman" w:hAnsi="Times New Roman" w:cs="Times New Roman"/>
        </w:rPr>
      </w:pPr>
      <w:r>
        <w:rPr>
          <w:rFonts w:cs="Times New Roman" w:ascii="Times New Roman" w:hAnsi="Times New Roman"/>
        </w:rPr>
        <w:t>Development of combined cycle plant at Roseville, CA</w:t>
      </w:r>
    </w:p>
    <w:p>
      <w:pPr>
        <w:pStyle w:val="BodyText"/>
        <w:widowControl/>
        <w:numPr>
          <w:ilvl w:val="0"/>
          <w:numId w:val="7"/>
        </w:numPr>
        <w:tabs>
          <w:tab w:val="clear" w:pos="720"/>
          <w:tab w:val="left" w:pos="1260" w:leader="none"/>
        </w:tabs>
        <w:rPr>
          <w:rFonts w:ascii="Times New Roman" w:hAnsi="Times New Roman" w:cs="Times New Roman"/>
        </w:rPr>
      </w:pPr>
      <w:r>
        <w:rPr>
          <w:rFonts w:cs="Times New Roman" w:ascii="Times New Roman" w:hAnsi="Times New Roman"/>
        </w:rPr>
        <w:t>Karen Jones (Crosby, Heaffy)</w:t>
      </w:r>
    </w:p>
    <w:p>
      <w:pPr>
        <w:pStyle w:val="BodyText"/>
        <w:widowControl/>
        <w:numPr>
          <w:ilvl w:val="0"/>
          <w:numId w:val="7"/>
        </w:numPr>
        <w:tabs>
          <w:tab w:val="clear" w:pos="720"/>
          <w:tab w:val="left" w:pos="1260" w:leader="none"/>
        </w:tabs>
        <w:ind w:hanging="1080" w:start="2160" w:end="0"/>
        <w:rPr>
          <w:rFonts w:ascii="Times New Roman" w:hAnsi="Times New Roman" w:cs="Times New Roman"/>
        </w:rPr>
      </w:pPr>
      <w:r>
        <w:rPr>
          <w:rFonts w:cs="Times New Roman" w:ascii="Times New Roman" w:hAnsi="Times New Roman"/>
        </w:rPr>
        <w:t>Update:</w:t>
        <w:tab/>
        <w:t>Acquiring site and equipment; emission reduction credits have been purchased; CEC application to be filed by 7/31/01</w:t>
      </w:r>
    </w:p>
    <w:p>
      <w:pPr>
        <w:pStyle w:val="Normal"/>
        <w:widowControl/>
        <w:numPr>
          <w:ilvl w:val="0"/>
          <w:numId w:val="2"/>
        </w:numPr>
        <w:tabs>
          <w:tab w:val="clear" w:pos="720"/>
          <w:tab w:val="left" w:pos="1260" w:leader="none"/>
        </w:tabs>
        <w:spacing w:lineRule="exact" w:line="220" w:before="120" w:after="0"/>
        <w:jc w:val="both"/>
        <w:rPr>
          <w:rFonts w:ascii="Times New Roman" w:hAnsi="Times New Roman" w:cs="Times New Roman"/>
        </w:rPr>
      </w:pPr>
      <w:r>
        <w:rPr>
          <w:rFonts w:cs="Times New Roman" w:ascii="Times New Roman" w:hAnsi="Times New Roman"/>
        </w:rPr>
        <w:t>Development of combined cycle plant at Port of Longview, Washington and sale</w:t>
      </w:r>
    </w:p>
    <w:p>
      <w:pPr>
        <w:pStyle w:val="BodyText"/>
        <w:widowControl/>
        <w:numPr>
          <w:ilvl w:val="0"/>
          <w:numId w:val="7"/>
        </w:numPr>
        <w:tabs>
          <w:tab w:val="clear" w:pos="720"/>
          <w:tab w:val="left" w:pos="1080" w:leader="none"/>
          <w:tab w:val="left" w:pos="1260" w:leader="none"/>
        </w:tabs>
        <w:spacing w:lineRule="exact" w:line="220"/>
        <w:rPr>
          <w:rFonts w:ascii="Times New Roman" w:hAnsi="Times New Roman" w:cs="Times New Roman"/>
        </w:rPr>
      </w:pPr>
      <w:r>
        <w:rPr>
          <w:rFonts w:cs="Times New Roman" w:ascii="Times New Roman" w:hAnsi="Times New Roman"/>
        </w:rPr>
        <w:t>Dale Rasmussen/Sheila Tweed (Stoel Rives)</w:t>
      </w:r>
    </w:p>
    <w:p>
      <w:pPr>
        <w:pStyle w:val="BodyText"/>
        <w:widowControl/>
        <w:numPr>
          <w:ilvl w:val="0"/>
          <w:numId w:val="7"/>
        </w:numPr>
        <w:tabs>
          <w:tab w:val="clear" w:pos="720"/>
          <w:tab w:val="left" w:pos="1260" w:leader="none"/>
        </w:tabs>
        <w:spacing w:lineRule="exact" w:line="220"/>
        <w:ind w:hanging="1080" w:start="2160" w:end="0"/>
        <w:rPr>
          <w:rFonts w:ascii="Times New Roman" w:hAnsi="Times New Roman" w:cs="Times New Roman"/>
        </w:rPr>
      </w:pPr>
      <w:r>
        <w:rPr>
          <w:rFonts w:cs="Times New Roman" w:ascii="Times New Roman" w:hAnsi="Times New Roman"/>
        </w:rPr>
        <w:t>Update:</w:t>
        <w:tab/>
        <w:t>Permitting site and acquiring equipment; sale of equity to McCook Metals in negotiation; auction of toll and/or equity has commenced</w:t>
      </w:r>
    </w:p>
    <w:p>
      <w:pPr>
        <w:pStyle w:val="Normal"/>
        <w:widowControl/>
        <w:numPr>
          <w:ilvl w:val="0"/>
          <w:numId w:val="2"/>
        </w:numPr>
        <w:tabs>
          <w:tab w:val="clear" w:pos="720"/>
          <w:tab w:val="left" w:pos="1260" w:leader="none"/>
        </w:tabs>
        <w:spacing w:lineRule="exact" w:line="220" w:before="120" w:after="0"/>
        <w:jc w:val="both"/>
        <w:rPr>
          <w:rFonts w:ascii="Times New Roman" w:hAnsi="Times New Roman" w:cs="Times New Roman"/>
        </w:rPr>
      </w:pPr>
      <w:r>
        <w:rPr>
          <w:rFonts w:cs="Times New Roman" w:ascii="Times New Roman" w:hAnsi="Times New Roman"/>
        </w:rPr>
        <w:t>Joint power plant development with Hansen Cement</w:t>
      </w:r>
    </w:p>
    <w:p>
      <w:pPr>
        <w:pStyle w:val="BodyText"/>
        <w:widowControl/>
        <w:numPr>
          <w:ilvl w:val="0"/>
          <w:numId w:val="7"/>
        </w:numPr>
        <w:tabs>
          <w:tab w:val="clear" w:pos="720"/>
          <w:tab w:val="left" w:pos="1260" w:leader="none"/>
        </w:tabs>
        <w:spacing w:lineRule="exact" w:line="220"/>
        <w:rPr>
          <w:rFonts w:ascii="Times New Roman" w:hAnsi="Times New Roman" w:cs="Times New Roman"/>
        </w:rPr>
      </w:pPr>
      <w:r>
        <w:rPr>
          <w:rFonts w:cs="Times New Roman" w:ascii="Times New Roman" w:hAnsi="Times New Roman"/>
        </w:rPr>
        <w:t>Karen Jones</w:t>
      </w:r>
    </w:p>
    <w:p>
      <w:pPr>
        <w:pStyle w:val="BodyText"/>
        <w:widowControl/>
        <w:numPr>
          <w:ilvl w:val="0"/>
          <w:numId w:val="7"/>
        </w:numPr>
        <w:tabs>
          <w:tab w:val="clear" w:pos="720"/>
          <w:tab w:val="left" w:pos="1260" w:leader="none"/>
        </w:tabs>
        <w:spacing w:lineRule="exact" w:line="220"/>
        <w:ind w:hanging="1080" w:start="2160" w:end="0"/>
        <w:rPr>
          <w:rFonts w:ascii="Times New Roman" w:hAnsi="Times New Roman" w:cs="Times New Roman"/>
        </w:rPr>
      </w:pPr>
      <w:r>
        <w:rPr>
          <w:rFonts w:cs="Times New Roman" w:ascii="Times New Roman" w:hAnsi="Times New Roman"/>
        </w:rPr>
        <w:t>Update:</w:t>
        <w:tab/>
        <w:t>Negotiating definitive agreements</w:t>
      </w:r>
    </w:p>
    <w:p>
      <w:pPr>
        <w:pStyle w:val="Normal"/>
        <w:widowControl/>
        <w:numPr>
          <w:ilvl w:val="0"/>
          <w:numId w:val="2"/>
        </w:numPr>
        <w:tabs>
          <w:tab w:val="clear" w:pos="720"/>
          <w:tab w:val="left" w:pos="1260" w:leader="none"/>
        </w:tabs>
        <w:spacing w:lineRule="exact" w:line="220" w:before="120" w:after="0"/>
        <w:jc w:val="both"/>
        <w:rPr>
          <w:rFonts w:ascii="Times New Roman" w:hAnsi="Times New Roman" w:cs="Times New Roman"/>
        </w:rPr>
      </w:pPr>
      <w:r>
        <w:rPr>
          <w:rFonts w:cs="Times New Roman" w:ascii="Times New Roman" w:hAnsi="Times New Roman"/>
        </w:rPr>
        <w:t>Ft. Pierce Project – Construction financing through TurboPark and final documentation for power plant development and steam sales to City of Ft. Pierce Utility</w:t>
      </w:r>
    </w:p>
    <w:p>
      <w:pPr>
        <w:pStyle w:val="BodyText"/>
        <w:widowControl/>
        <w:numPr>
          <w:ilvl w:val="0"/>
          <w:numId w:val="7"/>
        </w:numPr>
        <w:tabs>
          <w:tab w:val="clear" w:pos="720"/>
          <w:tab w:val="left" w:pos="1260" w:leader="none"/>
        </w:tabs>
        <w:spacing w:lineRule="exact" w:line="220"/>
        <w:rPr>
          <w:rFonts w:ascii="Times New Roman" w:hAnsi="Times New Roman" w:cs="Times New Roman"/>
        </w:rPr>
      </w:pPr>
      <w:r>
        <w:rPr>
          <w:rFonts w:cs="Times New Roman" w:ascii="Times New Roman" w:hAnsi="Times New Roman"/>
        </w:rPr>
        <w:t>Bart Clark</w:t>
      </w:r>
    </w:p>
    <w:p>
      <w:pPr>
        <w:pStyle w:val="BodyText"/>
        <w:widowControl/>
        <w:numPr>
          <w:ilvl w:val="0"/>
          <w:numId w:val="7"/>
        </w:numPr>
        <w:tabs>
          <w:tab w:val="clear" w:pos="720"/>
          <w:tab w:val="left" w:pos="1260" w:leader="none"/>
        </w:tabs>
        <w:spacing w:lineRule="exact" w:line="220"/>
        <w:ind w:hanging="1080" w:start="2160" w:end="0"/>
        <w:rPr>
          <w:rFonts w:ascii="Times New Roman" w:hAnsi="Times New Roman" w:cs="Times New Roman"/>
        </w:rPr>
      </w:pPr>
      <w:r>
        <w:rPr>
          <w:rFonts w:cs="Times New Roman" w:ascii="Times New Roman" w:hAnsi="Times New Roman"/>
        </w:rPr>
        <w:t>Update:</w:t>
        <w:tab/>
        <w:t>Finalizing construction documents and financing</w:t>
      </w:r>
    </w:p>
    <w:p>
      <w:pPr>
        <w:pStyle w:val="Normal"/>
        <w:widowControl/>
        <w:tabs>
          <w:tab w:val="clear" w:pos="720"/>
          <w:tab w:val="left" w:pos="1344" w:leader="none"/>
          <w:tab w:val="left" w:pos="5106" w:leader="none"/>
          <w:tab w:val="left" w:pos="7254" w:leader="none"/>
        </w:tabs>
        <w:spacing w:lineRule="exact" w:line="220" w:before="240" w:after="240"/>
        <w:rPr>
          <w:rFonts w:ascii="Arial Rounded MT Bold" w:hAnsi="Arial Rounded MT Bold" w:cs="Arial Rounded MT Bold"/>
          <w:sz w:val="22"/>
        </w:rPr>
      </w:pPr>
      <w:r>
        <w:rPr>
          <w:rFonts w:cs="Arial Rounded MT Bold" w:ascii="Arial Rounded MT Bold" w:hAnsi="Arial Rounded MT Bold"/>
          <w:sz w:val="22"/>
        </w:rPr>
        <w:t>UPSTREAM ORIGINATION</w:t>
      </w:r>
    </w:p>
    <w:p>
      <w:pPr>
        <w:pStyle w:val="Normal"/>
        <w:widowControl/>
        <w:tabs>
          <w:tab w:val="clear" w:pos="720"/>
          <w:tab w:val="left" w:pos="1344" w:leader="none"/>
          <w:tab w:val="left" w:pos="5106" w:leader="none"/>
          <w:tab w:val="left" w:pos="7254" w:leader="none"/>
        </w:tabs>
        <w:spacing w:lineRule="exact" w:line="220" w:before="240" w:after="0"/>
        <w:rPr>
          <w:rFonts w:ascii="Arial Rounded MT Bold" w:hAnsi="Arial Rounded MT Bold" w:cs="Arial Rounded MT Bold"/>
          <w:sz w:val="22"/>
        </w:rPr>
      </w:pPr>
      <w:r>
        <w:rPr>
          <w:rFonts w:cs="Arial Rounded MT Bold" w:ascii="Arial Rounded MT Bold" w:hAnsi="Arial Rounded MT Bold"/>
          <w:sz w:val="22"/>
        </w:rPr>
        <w:t>FINANCE/M&amp;A/ENERGY INVESTMENTS</w:t>
      </w:r>
    </w:p>
    <w:p>
      <w:pPr>
        <w:pStyle w:val="Normal"/>
        <w:widowControl/>
        <w:numPr>
          <w:ilvl w:val="0"/>
          <w:numId w:val="3"/>
        </w:numPr>
        <w:tabs>
          <w:tab w:val="clear" w:pos="720"/>
          <w:tab w:val="left" w:pos="1260" w:leader="none"/>
        </w:tabs>
        <w:spacing w:lineRule="exact" w:line="220" w:before="120" w:after="0"/>
        <w:jc w:val="both"/>
        <w:rPr>
          <w:rFonts w:ascii="Times New Roman" w:hAnsi="Times New Roman" w:cs="Times New Roman"/>
        </w:rPr>
      </w:pPr>
      <w:r>
        <w:rPr>
          <w:rFonts w:cs="Times New Roman" w:ascii="Times New Roman" w:hAnsi="Times New Roman"/>
        </w:rPr>
        <w:t>Brooklyn Navy Yard – Possible purchase of equity interests in partnership owning 50% of Brooklyn Navy Yard power project</w:t>
      </w:r>
    </w:p>
    <w:p>
      <w:pPr>
        <w:pStyle w:val="BodyText"/>
        <w:widowControl/>
        <w:numPr>
          <w:ilvl w:val="0"/>
          <w:numId w:val="7"/>
        </w:numPr>
        <w:tabs>
          <w:tab w:val="clear" w:pos="720"/>
          <w:tab w:val="left" w:pos="1260" w:leader="none"/>
        </w:tabs>
        <w:spacing w:lineRule="exact" w:line="220"/>
        <w:rPr>
          <w:rFonts w:ascii="Times New Roman" w:hAnsi="Times New Roman" w:cs="Times New Roman"/>
        </w:rPr>
      </w:pPr>
      <w:r>
        <w:rPr>
          <w:rFonts w:cs="Times New Roman" w:ascii="Times New Roman" w:hAnsi="Times New Roman"/>
        </w:rPr>
        <w:t>Angela Davis</w:t>
      </w:r>
    </w:p>
    <w:p>
      <w:pPr>
        <w:pStyle w:val="BodyText"/>
        <w:widowControl/>
        <w:numPr>
          <w:ilvl w:val="0"/>
          <w:numId w:val="7"/>
        </w:numPr>
        <w:tabs>
          <w:tab w:val="clear" w:pos="720"/>
          <w:tab w:val="left" w:pos="1260" w:leader="none"/>
          <w:tab w:val="left" w:pos="2160" w:leader="none"/>
        </w:tabs>
        <w:spacing w:lineRule="exact" w:line="220"/>
        <w:rPr>
          <w:rFonts w:ascii="Times New Roman" w:hAnsi="Times New Roman" w:cs="Times New Roman"/>
        </w:rPr>
      </w:pPr>
      <w:r>
        <w:rPr>
          <w:rFonts w:cs="Times New Roman" w:ascii="Times New Roman" w:hAnsi="Times New Roman"/>
        </w:rPr>
        <w:t>Update</w:t>
        <w:tab/>
        <w:t>Agreements under final negotiations</w:t>
      </w:r>
    </w:p>
    <w:p>
      <w:pPr>
        <w:pStyle w:val="Normal"/>
        <w:widowControl/>
        <w:numPr>
          <w:ilvl w:val="0"/>
          <w:numId w:val="3"/>
        </w:numPr>
        <w:tabs>
          <w:tab w:val="clear" w:pos="720"/>
          <w:tab w:val="left" w:pos="1260" w:leader="none"/>
        </w:tabs>
        <w:spacing w:lineRule="exact" w:line="220" w:before="120" w:after="0"/>
        <w:jc w:val="both"/>
        <w:rPr>
          <w:rFonts w:ascii="Times New Roman" w:hAnsi="Times New Roman" w:cs="Times New Roman"/>
        </w:rPr>
      </w:pPr>
      <w:r>
        <w:rPr>
          <w:rFonts w:cs="Times New Roman" w:ascii="Times New Roman" w:hAnsi="Times New Roman"/>
        </w:rPr>
        <w:t>Acquisition and Disposition Transactions:</w:t>
      </w:r>
    </w:p>
    <w:p>
      <w:pPr>
        <w:pStyle w:val="BodyText"/>
        <w:widowControl/>
        <w:tabs>
          <w:tab w:val="clear" w:pos="720"/>
          <w:tab w:val="left" w:pos="1080" w:leader="none"/>
          <w:tab w:val="left" w:pos="1260" w:leader="none"/>
        </w:tabs>
        <w:spacing w:lineRule="exact" w:line="220" w:before="120" w:after="0"/>
        <w:ind w:start="1080" w:end="0"/>
        <w:rPr>
          <w:rFonts w:ascii="Times New Roman" w:hAnsi="Times New Roman" w:cs="Times New Roman"/>
        </w:rPr>
      </w:pPr>
      <w:r>
        <w:rPr>
          <w:rFonts w:cs="Times New Roman" w:ascii="Times New Roman" w:hAnsi="Times New Roman"/>
        </w:rPr>
        <w:t>Utiliquest – $63MM sale of company in which Enron/JEDI II own 75% interest</w:t>
      </w:r>
    </w:p>
    <w:p>
      <w:pPr>
        <w:pStyle w:val="BodyText"/>
        <w:widowControl/>
        <w:numPr>
          <w:ilvl w:val="0"/>
          <w:numId w:val="7"/>
        </w:numPr>
        <w:tabs>
          <w:tab w:val="clear" w:pos="720"/>
          <w:tab w:val="left" w:pos="1260" w:leader="none"/>
        </w:tabs>
        <w:spacing w:lineRule="exact" w:line="220"/>
        <w:rPr>
          <w:rFonts w:ascii="Times New Roman" w:hAnsi="Times New Roman" w:cs="Times New Roman"/>
        </w:rPr>
      </w:pPr>
      <w:r>
        <w:rPr>
          <w:rFonts w:cs="Times New Roman" w:ascii="Times New Roman" w:hAnsi="Times New Roman"/>
        </w:rPr>
        <w:t>Travis McCullough/Robert George</w:t>
      </w:r>
    </w:p>
    <w:p>
      <w:pPr>
        <w:pStyle w:val="BodyText"/>
        <w:widowControl/>
        <w:numPr>
          <w:ilvl w:val="0"/>
          <w:numId w:val="7"/>
        </w:numPr>
        <w:tabs>
          <w:tab w:val="clear" w:pos="720"/>
          <w:tab w:val="left" w:pos="1260" w:leader="none"/>
        </w:tabs>
        <w:spacing w:lineRule="exact" w:line="220"/>
        <w:rPr>
          <w:rFonts w:ascii="Times New Roman" w:hAnsi="Times New Roman" w:cs="Times New Roman"/>
        </w:rPr>
      </w:pPr>
      <w:r>
        <w:rPr>
          <w:rFonts w:cs="Times New Roman" w:ascii="Times New Roman" w:hAnsi="Times New Roman"/>
        </w:rPr>
        <w:t>Update:</w:t>
        <w:tab/>
        <w:t>Negotiating purchase agreement with buyer</w:t>
      </w:r>
    </w:p>
    <w:p>
      <w:pPr>
        <w:pStyle w:val="BodyText"/>
        <w:widowControl/>
        <w:tabs>
          <w:tab w:val="clear" w:pos="720"/>
          <w:tab w:val="left" w:pos="1080" w:leader="none"/>
          <w:tab w:val="left" w:pos="1260" w:leader="none"/>
        </w:tabs>
        <w:spacing w:lineRule="exact" w:line="220" w:before="120" w:after="0"/>
        <w:ind w:start="1080" w:end="0"/>
        <w:rPr>
          <w:rFonts w:ascii="Times New Roman" w:hAnsi="Times New Roman" w:cs="Times New Roman"/>
        </w:rPr>
      </w:pPr>
      <w:r>
        <w:rPr>
          <w:rFonts w:cs="Times New Roman" w:ascii="Times New Roman" w:hAnsi="Times New Roman"/>
        </w:rPr>
        <w:t>CGas – $52.5MM sale of company</w:t>
      </w:r>
    </w:p>
    <w:p>
      <w:pPr>
        <w:pStyle w:val="BodyText"/>
        <w:widowControl/>
        <w:numPr>
          <w:ilvl w:val="0"/>
          <w:numId w:val="7"/>
        </w:numPr>
        <w:tabs>
          <w:tab w:val="clear" w:pos="720"/>
          <w:tab w:val="left" w:pos="1260" w:leader="none"/>
        </w:tabs>
        <w:spacing w:lineRule="exact" w:line="220"/>
        <w:rPr>
          <w:rFonts w:ascii="Times New Roman" w:hAnsi="Times New Roman" w:cs="Times New Roman"/>
        </w:rPr>
      </w:pPr>
      <w:r>
        <w:rPr>
          <w:rFonts w:cs="Times New Roman" w:ascii="Times New Roman" w:hAnsi="Times New Roman"/>
        </w:rPr>
        <w:t>Teresa Bushman</w:t>
      </w:r>
    </w:p>
    <w:p>
      <w:pPr>
        <w:pStyle w:val="BodyText"/>
        <w:widowControl/>
        <w:numPr>
          <w:ilvl w:val="0"/>
          <w:numId w:val="7"/>
        </w:numPr>
        <w:tabs>
          <w:tab w:val="clear" w:pos="720"/>
          <w:tab w:val="left" w:pos="1260" w:leader="none"/>
        </w:tabs>
        <w:spacing w:lineRule="exact" w:line="220"/>
        <w:rPr>
          <w:rFonts w:ascii="Times New Roman" w:hAnsi="Times New Roman" w:cs="Times New Roman"/>
        </w:rPr>
      </w:pPr>
      <w:r>
        <w:rPr>
          <w:rFonts w:cs="Times New Roman" w:ascii="Times New Roman" w:hAnsi="Times New Roman"/>
        </w:rPr>
        <w:t xml:space="preserve">Update: </w:t>
        <w:tab/>
        <w:t>Negotiating purchase price with buyer</w:t>
      </w:r>
    </w:p>
    <w:p>
      <w:pPr>
        <w:pStyle w:val="BodyText"/>
        <w:keepNext w:val="true"/>
        <w:widowControl/>
        <w:tabs>
          <w:tab w:val="clear" w:pos="720"/>
          <w:tab w:val="left" w:pos="1080" w:leader="none"/>
          <w:tab w:val="left" w:pos="1260" w:leader="none"/>
        </w:tabs>
        <w:spacing w:lineRule="exact" w:line="220" w:before="120" w:after="0"/>
        <w:ind w:start="1080" w:end="0"/>
        <w:rPr/>
      </w:pPr>
      <w:r>
        <w:rPr>
          <w:rFonts w:cs="Times New Roman" w:ascii="Times New Roman" w:hAnsi="Times New Roman"/>
        </w:rPr>
        <w:t xml:space="preserve">Juniper - </w:t>
      </w:r>
      <w:r>
        <w:rPr/>
        <w:t xml:space="preserve"> - $28 - $32 MM sale of properties</w:t>
      </w:r>
    </w:p>
    <w:p>
      <w:pPr>
        <w:pStyle w:val="BodyText"/>
        <w:keepNext w:val="true"/>
        <w:widowControl/>
        <w:numPr>
          <w:ilvl w:val="0"/>
          <w:numId w:val="7"/>
        </w:numPr>
        <w:tabs>
          <w:tab w:val="clear" w:pos="720"/>
          <w:tab w:val="left" w:pos="1260" w:leader="none"/>
        </w:tabs>
        <w:spacing w:lineRule="exact" w:line="220"/>
        <w:rPr/>
      </w:pPr>
      <w:r>
        <w:rPr/>
        <w:t>Teresa Bushman</w:t>
      </w:r>
    </w:p>
    <w:p>
      <w:pPr>
        <w:pStyle w:val="BodyText"/>
        <w:widowControl/>
        <w:numPr>
          <w:ilvl w:val="0"/>
          <w:numId w:val="7"/>
        </w:numPr>
        <w:tabs>
          <w:tab w:val="clear" w:pos="720"/>
          <w:tab w:val="left" w:pos="1260" w:leader="none"/>
        </w:tabs>
        <w:spacing w:lineRule="exact" w:line="220"/>
        <w:rPr>
          <w:rFonts w:ascii="Times New Roman" w:hAnsi="Times New Roman" w:cs="Times New Roman"/>
        </w:rPr>
      </w:pPr>
      <w:r>
        <w:rPr/>
        <w:t>Update:</w:t>
        <w:tab/>
        <w:t>Data room established</w:t>
      </w:r>
    </w:p>
    <w:p>
      <w:pPr>
        <w:pStyle w:val="BodyText"/>
        <w:keepNext w:val="true"/>
        <w:widowControl/>
        <w:tabs>
          <w:tab w:val="clear" w:pos="720"/>
          <w:tab w:val="left" w:pos="1260" w:leader="none"/>
        </w:tabs>
        <w:spacing w:lineRule="exact" w:line="220" w:before="120" w:after="0"/>
        <w:ind w:start="1080" w:end="0"/>
        <w:rPr>
          <w:rFonts w:ascii="Times New Roman" w:hAnsi="Times New Roman" w:cs="Times New Roman"/>
        </w:rPr>
      </w:pPr>
      <w:r>
        <w:rPr>
          <w:rFonts w:cs="Times New Roman" w:ascii="Times New Roman" w:hAnsi="Times New Roman"/>
        </w:rPr>
        <w:t>Vitro – Sale of 80% of Enron’s interest in 245 MW power plant under construction in Monterrey, Mexico</w:t>
      </w:r>
    </w:p>
    <w:p>
      <w:pPr>
        <w:pStyle w:val="BodyText"/>
        <w:keepNext w:val="true"/>
        <w:widowControl/>
        <w:numPr>
          <w:ilvl w:val="0"/>
          <w:numId w:val="7"/>
        </w:numPr>
        <w:tabs>
          <w:tab w:val="clear" w:pos="720"/>
          <w:tab w:val="left" w:pos="1080" w:leader="none"/>
          <w:tab w:val="left" w:pos="1260" w:leader="none"/>
        </w:tabs>
        <w:spacing w:lineRule="exact" w:line="220"/>
        <w:rPr>
          <w:rFonts w:ascii="Times New Roman" w:hAnsi="Times New Roman" w:cs="Times New Roman"/>
        </w:rPr>
      </w:pPr>
      <w:r>
        <w:rPr>
          <w:rFonts w:cs="Times New Roman" w:ascii="Times New Roman" w:hAnsi="Times New Roman"/>
        </w:rPr>
        <w:t>Robert George</w:t>
      </w:r>
    </w:p>
    <w:p>
      <w:pPr>
        <w:pStyle w:val="BodyText"/>
        <w:widowControl/>
        <w:numPr>
          <w:ilvl w:val="0"/>
          <w:numId w:val="7"/>
        </w:numPr>
        <w:tabs>
          <w:tab w:val="clear" w:pos="720"/>
          <w:tab w:val="left" w:pos="1080" w:leader="none"/>
          <w:tab w:val="left" w:pos="1260" w:leader="none"/>
        </w:tabs>
        <w:spacing w:lineRule="exact" w:line="220"/>
        <w:rPr>
          <w:rFonts w:ascii="Times New Roman" w:hAnsi="Times New Roman" w:cs="Times New Roman"/>
        </w:rPr>
      </w:pPr>
      <w:r>
        <w:rPr>
          <w:rFonts w:cs="Times New Roman" w:ascii="Times New Roman" w:hAnsi="Times New Roman"/>
        </w:rPr>
        <w:t>Update:</w:t>
        <w:tab/>
        <w:t>Contract executed and pending close awaiting IDB documentation and Mexican regulatory approval</w:t>
      </w:r>
    </w:p>
    <w:p>
      <w:pPr>
        <w:pStyle w:val="BodyText"/>
        <w:keepNext w:val="true"/>
        <w:widowControl/>
        <w:tabs>
          <w:tab w:val="clear" w:pos="720"/>
          <w:tab w:val="left" w:pos="1260" w:leader="none"/>
        </w:tabs>
        <w:spacing w:lineRule="exact" w:line="220" w:before="120" w:after="0"/>
        <w:ind w:start="1080" w:end="0"/>
        <w:rPr>
          <w:rFonts w:ascii="Times New Roman" w:hAnsi="Times New Roman" w:cs="Times New Roman"/>
        </w:rPr>
      </w:pPr>
      <w:r>
        <w:rPr>
          <w:rFonts w:cs="Times New Roman" w:ascii="Times New Roman" w:hAnsi="Times New Roman"/>
        </w:rPr>
        <w:t>New Albany – Sale of peaker plant in Mississippi to Duke</w:t>
      </w:r>
    </w:p>
    <w:p>
      <w:pPr>
        <w:pStyle w:val="BodyText"/>
        <w:keepNext w:val="true"/>
        <w:widowControl/>
        <w:numPr>
          <w:ilvl w:val="0"/>
          <w:numId w:val="7"/>
        </w:numPr>
        <w:tabs>
          <w:tab w:val="clear" w:pos="720"/>
          <w:tab w:val="left" w:pos="1080" w:leader="none"/>
          <w:tab w:val="left" w:pos="1260" w:leader="none"/>
        </w:tabs>
        <w:spacing w:lineRule="exact" w:line="220"/>
        <w:rPr>
          <w:rFonts w:ascii="Times New Roman" w:hAnsi="Times New Roman" w:cs="Times New Roman"/>
        </w:rPr>
      </w:pPr>
      <w:r>
        <w:rPr>
          <w:rFonts w:cs="Times New Roman" w:ascii="Times New Roman" w:hAnsi="Times New Roman"/>
        </w:rPr>
        <w:t>Robert George</w:t>
      </w:r>
    </w:p>
    <w:p>
      <w:pPr>
        <w:pStyle w:val="BodyText"/>
        <w:widowControl/>
        <w:numPr>
          <w:ilvl w:val="0"/>
          <w:numId w:val="7"/>
        </w:numPr>
        <w:tabs>
          <w:tab w:val="clear" w:pos="720"/>
          <w:tab w:val="left" w:pos="1080" w:leader="none"/>
          <w:tab w:val="left" w:pos="1260" w:leader="none"/>
        </w:tabs>
        <w:spacing w:lineRule="exact" w:line="220"/>
        <w:rPr>
          <w:rFonts w:ascii="Times New Roman" w:hAnsi="Times New Roman" w:cs="Times New Roman"/>
        </w:rPr>
      </w:pPr>
      <w:r>
        <w:rPr>
          <w:rFonts w:cs="Times New Roman" w:ascii="Times New Roman" w:hAnsi="Times New Roman"/>
        </w:rPr>
        <w:t>Update:</w:t>
        <w:tab/>
        <w:t>Contract executed and pending close awaiting FERC and HSR approvals</w:t>
      </w:r>
    </w:p>
    <w:p>
      <w:pPr>
        <w:pStyle w:val="BodyText"/>
        <w:keepNext w:val="true"/>
        <w:widowControl/>
        <w:numPr>
          <w:ilvl w:val="0"/>
          <w:numId w:val="3"/>
        </w:numPr>
        <w:tabs>
          <w:tab w:val="clear" w:pos="720"/>
          <w:tab w:val="left" w:pos="1260" w:leader="none"/>
        </w:tabs>
        <w:spacing w:lineRule="exact" w:line="220" w:before="120" w:after="0"/>
        <w:rPr>
          <w:rFonts w:ascii="Times New Roman" w:hAnsi="Times New Roman" w:cs="Times New Roman"/>
        </w:rPr>
      </w:pPr>
      <w:r>
        <w:rPr>
          <w:rFonts w:cs="Times New Roman" w:ascii="Times New Roman" w:hAnsi="Times New Roman"/>
        </w:rPr>
        <w:t>HEOF II Matters – Investments in minority-owned businesses; ongoing maintenance including:</w:t>
      </w:r>
    </w:p>
    <w:p>
      <w:pPr>
        <w:pStyle w:val="BodyText"/>
        <w:widowControl/>
        <w:tabs>
          <w:tab w:val="clear" w:pos="720"/>
          <w:tab w:val="left" w:pos="1260" w:leader="none"/>
        </w:tabs>
        <w:spacing w:lineRule="exact" w:line="220" w:before="120" w:after="0"/>
        <w:ind w:start="1080" w:end="0"/>
        <w:rPr>
          <w:rFonts w:ascii="Times New Roman" w:hAnsi="Times New Roman" w:cs="Times New Roman"/>
        </w:rPr>
      </w:pPr>
      <w:r>
        <w:rPr>
          <w:rFonts w:cs="Times New Roman" w:ascii="Times New Roman" w:hAnsi="Times New Roman"/>
        </w:rPr>
        <w:t>Restructuring of Visual Bridge – Debt to equity conversion with control of a majority of the stock</w:t>
      </w:r>
    </w:p>
    <w:p>
      <w:pPr>
        <w:pStyle w:val="BodyText"/>
        <w:widowControl/>
        <w:numPr>
          <w:ilvl w:val="0"/>
          <w:numId w:val="7"/>
        </w:numPr>
        <w:tabs>
          <w:tab w:val="clear" w:pos="720"/>
          <w:tab w:val="left" w:pos="1260" w:leader="none"/>
        </w:tabs>
        <w:spacing w:lineRule="exact" w:line="220"/>
        <w:rPr>
          <w:rFonts w:ascii="Times New Roman" w:hAnsi="Times New Roman" w:cs="Times New Roman"/>
        </w:rPr>
      </w:pPr>
      <w:r>
        <w:rPr>
          <w:rFonts w:cs="Times New Roman" w:ascii="Times New Roman" w:hAnsi="Times New Roman"/>
        </w:rPr>
        <w:t>Robert George</w:t>
      </w:r>
    </w:p>
    <w:p>
      <w:pPr>
        <w:pStyle w:val="Normal"/>
        <w:keepNext w:val="true"/>
        <w:widowControl/>
        <w:numPr>
          <w:ilvl w:val="0"/>
          <w:numId w:val="3"/>
        </w:numPr>
        <w:tabs>
          <w:tab w:val="clear" w:pos="720"/>
          <w:tab w:val="left" w:pos="1260" w:leader="none"/>
        </w:tabs>
        <w:spacing w:lineRule="exact" w:line="220" w:before="120" w:after="0"/>
        <w:jc w:val="both"/>
        <w:rPr>
          <w:rFonts w:ascii="Times New Roman" w:hAnsi="Times New Roman" w:cs="Times New Roman"/>
        </w:rPr>
      </w:pPr>
      <w:r>
        <w:rPr>
          <w:rFonts w:cs="Times New Roman" w:ascii="Times New Roman" w:hAnsi="Times New Roman"/>
        </w:rPr>
        <w:t>Production Payments – Variety of transactions involving production payments including:</w:t>
      </w:r>
    </w:p>
    <w:p>
      <w:pPr>
        <w:pStyle w:val="BodyText"/>
        <w:keepNext w:val="true"/>
        <w:widowControl/>
        <w:tabs>
          <w:tab w:val="clear" w:pos="720"/>
          <w:tab w:val="left" w:pos="1260" w:leader="none"/>
        </w:tabs>
        <w:spacing w:lineRule="exact" w:line="220" w:before="120" w:after="0"/>
        <w:ind w:hanging="1080" w:start="2160" w:end="0"/>
        <w:rPr>
          <w:rFonts w:ascii="Times New Roman" w:hAnsi="Times New Roman" w:cs="Times New Roman"/>
        </w:rPr>
      </w:pPr>
      <w:r>
        <w:rPr>
          <w:rFonts w:cs="Times New Roman" w:ascii="Times New Roman" w:hAnsi="Times New Roman"/>
        </w:rPr>
        <w:t>Andex – Purchase of $33 MM production payment; $15MM equity investment</w:t>
      </w:r>
    </w:p>
    <w:p>
      <w:pPr>
        <w:pStyle w:val="BodyText"/>
        <w:widowControl/>
        <w:numPr>
          <w:ilvl w:val="0"/>
          <w:numId w:val="7"/>
        </w:numPr>
        <w:tabs>
          <w:tab w:val="clear" w:pos="720"/>
          <w:tab w:val="left" w:pos="1260" w:leader="none"/>
        </w:tabs>
        <w:spacing w:lineRule="exact" w:line="220"/>
        <w:rPr>
          <w:rFonts w:ascii="Times New Roman" w:hAnsi="Times New Roman" w:cs="Times New Roman"/>
        </w:rPr>
      </w:pPr>
      <w:r>
        <w:rPr>
          <w:rFonts w:cs="Times New Roman" w:ascii="Times New Roman" w:hAnsi="Times New Roman"/>
        </w:rPr>
        <w:t>Nancy Corbet</w:t>
      </w:r>
    </w:p>
    <w:p>
      <w:pPr>
        <w:pStyle w:val="BodyText"/>
        <w:widowControl/>
        <w:numPr>
          <w:ilvl w:val="0"/>
          <w:numId w:val="7"/>
        </w:numPr>
        <w:tabs>
          <w:tab w:val="clear" w:pos="720"/>
          <w:tab w:val="left" w:pos="1260" w:leader="none"/>
        </w:tabs>
        <w:spacing w:lineRule="exact" w:line="220"/>
        <w:rPr>
          <w:rFonts w:ascii="Times New Roman" w:hAnsi="Times New Roman" w:cs="Times New Roman"/>
        </w:rPr>
      </w:pPr>
      <w:r>
        <w:rPr>
          <w:rFonts w:cs="Times New Roman" w:ascii="Times New Roman" w:hAnsi="Times New Roman"/>
        </w:rPr>
        <w:t>Update:</w:t>
        <w:tab/>
        <w:t>Documentation substantially complete</w:t>
      </w:r>
    </w:p>
    <w:p>
      <w:pPr>
        <w:pStyle w:val="BodyText"/>
        <w:widowControl/>
        <w:tabs>
          <w:tab w:val="clear" w:pos="720"/>
          <w:tab w:val="left" w:pos="1260" w:leader="none"/>
        </w:tabs>
        <w:spacing w:lineRule="exact" w:line="220" w:before="120" w:after="0"/>
        <w:ind w:start="1080" w:end="0"/>
        <w:rPr>
          <w:rFonts w:ascii="Times New Roman" w:hAnsi="Times New Roman" w:cs="Times New Roman"/>
        </w:rPr>
      </w:pPr>
      <w:r>
        <w:rPr>
          <w:rFonts w:cs="Times New Roman" w:ascii="Times New Roman" w:hAnsi="Times New Roman"/>
        </w:rPr>
        <w:t>KStar – New funding vehicle for two KCS production payments established 6/01</w:t>
      </w:r>
    </w:p>
    <w:p>
      <w:pPr>
        <w:pStyle w:val="BodyText"/>
        <w:widowControl/>
        <w:numPr>
          <w:ilvl w:val="0"/>
          <w:numId w:val="7"/>
        </w:numPr>
        <w:tabs>
          <w:tab w:val="clear" w:pos="720"/>
          <w:tab w:val="left" w:pos="1260" w:leader="none"/>
        </w:tabs>
        <w:spacing w:lineRule="exact" w:line="220"/>
        <w:rPr>
          <w:rFonts w:ascii="Times New Roman" w:hAnsi="Times New Roman" w:cs="Times New Roman"/>
        </w:rPr>
      </w:pPr>
      <w:r>
        <w:rPr>
          <w:rFonts w:cs="Times New Roman" w:ascii="Times New Roman" w:hAnsi="Times New Roman"/>
        </w:rPr>
        <w:t>Teresa Bushman</w:t>
      </w:r>
    </w:p>
    <w:p>
      <w:pPr>
        <w:pStyle w:val="BodyText"/>
        <w:widowControl/>
        <w:numPr>
          <w:ilvl w:val="0"/>
          <w:numId w:val="7"/>
        </w:numPr>
        <w:tabs>
          <w:tab w:val="clear" w:pos="720"/>
          <w:tab w:val="left" w:pos="1260" w:leader="none"/>
        </w:tabs>
        <w:spacing w:lineRule="exact" w:line="220"/>
        <w:rPr>
          <w:rFonts w:ascii="Times New Roman" w:hAnsi="Times New Roman" w:cs="Times New Roman"/>
        </w:rPr>
      </w:pPr>
      <w:r>
        <w:rPr>
          <w:rFonts w:cs="Times New Roman" w:ascii="Times New Roman" w:hAnsi="Times New Roman"/>
        </w:rPr>
        <w:t>Update:</w:t>
        <w:tab/>
        <w:t>Structuring insurance wrap underway</w:t>
      </w:r>
    </w:p>
    <w:p>
      <w:pPr>
        <w:pStyle w:val="Normal"/>
        <w:widowControl/>
        <w:numPr>
          <w:ilvl w:val="0"/>
          <w:numId w:val="3"/>
        </w:numPr>
        <w:tabs>
          <w:tab w:val="clear" w:pos="720"/>
          <w:tab w:val="left" w:pos="1260" w:leader="none"/>
        </w:tabs>
        <w:spacing w:lineRule="exact" w:line="220" w:before="120" w:after="0"/>
        <w:jc w:val="both"/>
        <w:rPr>
          <w:rFonts w:ascii="Times New Roman" w:hAnsi="Times New Roman" w:cs="Times New Roman"/>
        </w:rPr>
      </w:pPr>
      <w:r>
        <w:rPr>
          <w:rFonts w:cs="Times New Roman" w:ascii="Times New Roman" w:hAnsi="Times New Roman"/>
        </w:rPr>
        <w:t>Merchant Portfolio Matters – Continued dispositions and monetizations of the ENA merchant portfolio; maintenance of investments in various vehicles</w:t>
      </w:r>
    </w:p>
    <w:p>
      <w:pPr>
        <w:pStyle w:val="Normal"/>
        <w:widowControl/>
        <w:tabs>
          <w:tab w:val="clear" w:pos="720"/>
          <w:tab w:val="left" w:pos="1080" w:leader="none"/>
          <w:tab w:val="left" w:pos="1260" w:leader="none"/>
        </w:tabs>
        <w:spacing w:lineRule="exact" w:line="220"/>
        <w:ind w:start="1080" w:end="0"/>
        <w:jc w:val="both"/>
        <w:rPr>
          <w:rFonts w:ascii="Times New Roman" w:hAnsi="Times New Roman" w:cs="Times New Roman"/>
        </w:rPr>
      </w:pPr>
      <w:r>
        <w:rPr>
          <w:rFonts w:cs="Times New Roman" w:ascii="Times New Roman" w:hAnsi="Times New Roman"/>
        </w:rPr>
        <w:t>-</w:t>
        <w:tab/>
        <w:t>Lisa Mellencamp/Angela Davis/Eddy Daniels/Robert George</w:t>
      </w:r>
    </w:p>
    <w:p>
      <w:pPr>
        <w:pStyle w:val="Normal"/>
        <w:widowControl/>
        <w:numPr>
          <w:ilvl w:val="0"/>
          <w:numId w:val="3"/>
        </w:numPr>
        <w:tabs>
          <w:tab w:val="clear" w:pos="720"/>
          <w:tab w:val="left" w:pos="1260" w:leader="none"/>
        </w:tabs>
        <w:spacing w:lineRule="exact" w:line="220" w:before="120" w:after="0"/>
        <w:jc w:val="both"/>
        <w:rPr>
          <w:rFonts w:ascii="Times New Roman" w:hAnsi="Times New Roman" w:cs="Times New Roman"/>
        </w:rPr>
      </w:pPr>
      <w:r>
        <w:rPr>
          <w:rFonts w:cs="Times New Roman" w:ascii="Times New Roman" w:hAnsi="Times New Roman"/>
        </w:rPr>
        <w:t>East Coast Power – Sale of power generation assets to El Paso Energy</w:t>
      </w:r>
    </w:p>
    <w:p>
      <w:pPr>
        <w:pStyle w:val="BodyText"/>
        <w:widowControl/>
        <w:numPr>
          <w:ilvl w:val="0"/>
          <w:numId w:val="7"/>
        </w:numPr>
        <w:tabs>
          <w:tab w:val="clear" w:pos="720"/>
          <w:tab w:val="left" w:pos="1080" w:leader="none"/>
          <w:tab w:val="left" w:pos="1260" w:leader="none"/>
        </w:tabs>
        <w:spacing w:lineRule="exact" w:line="220"/>
        <w:rPr>
          <w:rFonts w:ascii="Times New Roman" w:hAnsi="Times New Roman" w:cs="Times New Roman"/>
        </w:rPr>
      </w:pPr>
      <w:r>
        <w:rPr>
          <w:rFonts w:cs="Times New Roman" w:ascii="Times New Roman" w:hAnsi="Times New Roman"/>
        </w:rPr>
        <w:t>Lisa Mellencamp</w:t>
      </w:r>
    </w:p>
    <w:p>
      <w:pPr>
        <w:pStyle w:val="BodyText"/>
        <w:widowControl/>
        <w:numPr>
          <w:ilvl w:val="0"/>
          <w:numId w:val="7"/>
        </w:numPr>
        <w:tabs>
          <w:tab w:val="clear" w:pos="720"/>
          <w:tab w:val="left" w:pos="1080" w:leader="none"/>
          <w:tab w:val="left" w:pos="1260" w:leader="none"/>
        </w:tabs>
        <w:spacing w:lineRule="exact" w:line="220"/>
        <w:rPr>
          <w:rFonts w:ascii="Times New Roman" w:hAnsi="Times New Roman" w:cs="Times New Roman"/>
        </w:rPr>
      </w:pPr>
      <w:r>
        <w:rPr>
          <w:rFonts w:cs="Times New Roman" w:ascii="Times New Roman" w:hAnsi="Times New Roman"/>
        </w:rPr>
        <w:t xml:space="preserve">Update: </w:t>
        <w:tab/>
        <w:t>Sale closed 2/23/01; efforts underway to monetize contractual cash flows received in sale</w:t>
      </w:r>
    </w:p>
    <w:p>
      <w:pPr>
        <w:pStyle w:val="Normal"/>
        <w:widowControl/>
        <w:numPr>
          <w:ilvl w:val="0"/>
          <w:numId w:val="3"/>
        </w:numPr>
        <w:tabs>
          <w:tab w:val="clear" w:pos="720"/>
          <w:tab w:val="left" w:pos="1260" w:leader="none"/>
        </w:tabs>
        <w:spacing w:lineRule="exact" w:line="220" w:before="120" w:after="0"/>
        <w:jc w:val="both"/>
        <w:rPr>
          <w:rFonts w:ascii="Times New Roman" w:hAnsi="Times New Roman" w:cs="Times New Roman"/>
        </w:rPr>
      </w:pPr>
      <w:r>
        <w:rPr>
          <w:rFonts w:cs="Times New Roman" w:ascii="Times New Roman" w:hAnsi="Times New Roman"/>
        </w:rPr>
        <w:t>Sithe – Restructure of gas sales agreement, equity purchase and negotiation of 15-year tolling agreement</w:t>
      </w:r>
    </w:p>
    <w:p>
      <w:pPr>
        <w:pStyle w:val="BodyText"/>
        <w:widowControl/>
        <w:numPr>
          <w:ilvl w:val="0"/>
          <w:numId w:val="7"/>
        </w:numPr>
        <w:tabs>
          <w:tab w:val="clear" w:pos="720"/>
          <w:tab w:val="left" w:pos="1080" w:leader="none"/>
          <w:tab w:val="left" w:pos="1260" w:leader="none"/>
        </w:tabs>
        <w:spacing w:lineRule="exact" w:line="220"/>
        <w:rPr>
          <w:rFonts w:ascii="Times New Roman" w:hAnsi="Times New Roman" w:cs="Times New Roman"/>
        </w:rPr>
      </w:pPr>
      <w:r>
        <w:rPr>
          <w:rFonts w:cs="Times New Roman" w:ascii="Times New Roman" w:hAnsi="Times New Roman"/>
        </w:rPr>
        <w:t>Sheila Tweed/Lisa Mellencamp (LeBoeuf Lamb)</w:t>
      </w:r>
    </w:p>
    <w:p>
      <w:pPr>
        <w:pStyle w:val="BodyText"/>
        <w:widowControl/>
        <w:numPr>
          <w:ilvl w:val="0"/>
          <w:numId w:val="7"/>
        </w:numPr>
        <w:tabs>
          <w:tab w:val="clear" w:pos="720"/>
          <w:tab w:val="left" w:pos="1080" w:leader="none"/>
          <w:tab w:val="left" w:pos="1260" w:leader="none"/>
        </w:tabs>
        <w:spacing w:lineRule="exact" w:line="220"/>
        <w:rPr>
          <w:rFonts w:ascii="Times New Roman" w:hAnsi="Times New Roman" w:cs="Times New Roman"/>
        </w:rPr>
      </w:pPr>
      <w:r>
        <w:rPr>
          <w:rFonts w:cs="Times New Roman" w:ascii="Times New Roman" w:hAnsi="Times New Roman"/>
        </w:rPr>
        <w:t>Update:</w:t>
        <w:tab/>
        <w:t>Restructure including termination of gas sales agreement closed on 6/29/01</w:t>
      </w:r>
    </w:p>
    <w:p>
      <w:pPr>
        <w:pStyle w:val="Normal"/>
        <w:widowControl/>
        <w:tabs>
          <w:tab w:val="clear" w:pos="720"/>
          <w:tab w:val="left" w:pos="1344" w:leader="none"/>
          <w:tab w:val="left" w:pos="5106" w:leader="none"/>
          <w:tab w:val="left" w:pos="7254" w:leader="none"/>
        </w:tabs>
        <w:spacing w:lineRule="exact" w:line="220" w:before="240" w:after="0"/>
        <w:rPr>
          <w:rFonts w:ascii="Arial Rounded MT Bold" w:hAnsi="Arial Rounded MT Bold" w:cs="Arial Rounded MT Bold"/>
          <w:sz w:val="22"/>
        </w:rPr>
      </w:pPr>
      <w:r>
        <w:rPr>
          <w:rFonts w:cs="Arial Rounded MT Bold" w:ascii="Arial Rounded MT Bold" w:hAnsi="Arial Rounded MT Bold"/>
          <w:sz w:val="22"/>
        </w:rPr>
        <w:t>LITIGATION</w:t>
      </w:r>
    </w:p>
    <w:p>
      <w:pPr>
        <w:pStyle w:val="Normal"/>
        <w:widowControl/>
        <w:tabs>
          <w:tab w:val="clear" w:pos="720"/>
          <w:tab w:val="left" w:pos="1344" w:leader="none"/>
          <w:tab w:val="left" w:pos="5106" w:leader="none"/>
          <w:tab w:val="left" w:pos="7254" w:leader="none"/>
        </w:tabs>
        <w:spacing w:lineRule="exact" w:line="220" w:before="0" w:after="220"/>
        <w:rPr>
          <w:rFonts w:ascii="Times New Roman" w:hAnsi="Times New Roman" w:cs="Times New Roman"/>
        </w:rPr>
      </w:pPr>
      <w:r>
        <w:rPr>
          <w:rFonts w:cs="Times New Roman" w:ascii="Times New Roman" w:hAnsi="Times New Roman"/>
        </w:rPr>
        <w:t>(Text of “Status of ENA Litigation” Report from Richard Sanders to Mark Haedicke dated July 13, 2001)</w:t>
      </w:r>
    </w:p>
    <w:p>
      <w:pPr>
        <w:pStyle w:val="Body"/>
        <w:spacing w:before="0" w:after="200"/>
        <w:ind w:start="0" w:end="0"/>
        <w:rPr>
          <w:b/>
          <w:color w:val="000000"/>
          <w:sz w:val="22"/>
        </w:rPr>
      </w:pPr>
      <w:r>
        <w:rPr>
          <w:b/>
          <w:color w:val="000000"/>
          <w:sz w:val="22"/>
        </w:rPr>
        <w:t>ACTIVE LITIGATION</w:t>
      </w:r>
    </w:p>
    <w:p>
      <w:pPr>
        <w:pStyle w:val="Heading7"/>
        <w:widowControl/>
        <w:ind w:hanging="0" w:start="0"/>
        <w:rPr/>
      </w:pPr>
      <w:r>
        <w:rPr/>
        <w:t>Berry Group, Ltd v. Enron North America</w:t>
      </w:r>
    </w:p>
    <w:p>
      <w:pPr>
        <w:pStyle w:val="Body"/>
        <w:spacing w:before="0" w:after="160"/>
        <w:ind w:start="0" w:end="0"/>
        <w:rPr>
          <w:rFonts w:ascii="Times New Roman" w:hAnsi="Times New Roman" w:cs="Times New Roman"/>
          <w:bCs/>
          <w:color w:val="000000"/>
        </w:rPr>
      </w:pPr>
      <w:r>
        <w:rPr>
          <w:rFonts w:cs="Times New Roman" w:ascii="Times New Roman" w:hAnsi="Times New Roman"/>
          <w:bCs/>
          <w:color w:val="000000"/>
        </w:rPr>
        <w:t>(Corpus Christi State District Court) (Bracewell &amp; Patterson/Cliff Gunter)</w:t>
      </w:r>
    </w:p>
    <w:p>
      <w:pPr>
        <w:pStyle w:val="Normal"/>
        <w:widowControl/>
        <w:numPr>
          <w:ilvl w:val="0"/>
          <w:numId w:val="15"/>
        </w:numPr>
        <w:jc w:val="both"/>
        <w:rPr>
          <w:bCs/>
        </w:rPr>
      </w:pPr>
      <w:r>
        <w:rPr>
          <w:bCs/>
        </w:rPr>
        <w:t>Berry Group is a Corpus Christi based company that lost over $6 million in the Qualitech bankruptcy.</w:t>
      </w:r>
    </w:p>
    <w:p>
      <w:pPr>
        <w:pStyle w:val="Normal"/>
        <w:widowControl/>
        <w:numPr>
          <w:ilvl w:val="0"/>
          <w:numId w:val="15"/>
        </w:numPr>
        <w:jc w:val="both"/>
        <w:rPr>
          <w:bCs/>
        </w:rPr>
      </w:pPr>
      <w:r>
        <w:rPr>
          <w:bCs/>
        </w:rPr>
        <w:t>Berry alleges that Enron, through Kevin McConville, represented to the Berrys that Enron would pay for any losses the Berry’s incurred as a result of Qualitech bankruptcy.</w:t>
      </w:r>
    </w:p>
    <w:p>
      <w:pPr>
        <w:pStyle w:val="Normal"/>
        <w:widowControl/>
        <w:numPr>
          <w:ilvl w:val="0"/>
          <w:numId w:val="15"/>
        </w:numPr>
        <w:spacing w:before="0" w:after="160"/>
        <w:jc w:val="both"/>
        <w:rPr>
          <w:bCs/>
        </w:rPr>
      </w:pPr>
      <w:r>
        <w:rPr>
          <w:bCs/>
        </w:rPr>
        <w:t>Discovery is proceeding.</w:t>
      </w:r>
    </w:p>
    <w:p>
      <w:pPr>
        <w:pStyle w:val="Heading7"/>
        <w:widowControl/>
        <w:ind w:hanging="0" w:start="0"/>
        <w:rPr/>
      </w:pPr>
      <w:r>
        <w:rPr/>
        <w:t>Citrus v. Duke LNG Sales Dispute</w:t>
      </w:r>
    </w:p>
    <w:p>
      <w:pPr>
        <w:pStyle w:val="BodyText"/>
        <w:widowControl/>
        <w:spacing w:before="0" w:after="160"/>
        <w:rPr>
          <w:bCs/>
        </w:rPr>
      </w:pPr>
      <w:r>
        <w:rPr>
          <w:bCs/>
        </w:rPr>
        <w:t>(AAA Arbitration) (Susman Godfrey/Neal Manne)</w:t>
      </w:r>
    </w:p>
    <w:p>
      <w:pPr>
        <w:pStyle w:val="Normal"/>
        <w:widowControl/>
        <w:numPr>
          <w:ilvl w:val="0"/>
          <w:numId w:val="15"/>
        </w:numPr>
        <w:jc w:val="both"/>
        <w:rPr>
          <w:bCs/>
        </w:rPr>
      </w:pPr>
      <w:r>
        <w:rPr>
          <w:bCs/>
        </w:rPr>
        <w:t>Duke has initiated the price renegotiation provision of the long term LNG sales agreement between Duke and Citrus.  Because the parties could not agree on a new price under the contract, the new price will be decided by a three-person arbitration panel.</w:t>
      </w:r>
    </w:p>
    <w:p>
      <w:pPr>
        <w:pStyle w:val="Normal"/>
        <w:widowControl/>
        <w:numPr>
          <w:ilvl w:val="0"/>
          <w:numId w:val="15"/>
        </w:numPr>
        <w:jc w:val="both"/>
        <w:rPr>
          <w:bCs/>
        </w:rPr>
      </w:pPr>
      <w:r>
        <w:rPr>
          <w:bCs/>
        </w:rPr>
        <w:t>Duke’s position in arbitration is that the price cap provisions in the contract are void (because Citrus has allegedly violated the use provision of the contract) and that Duke is entitled to either receive a market price or cancel the contract.  Citrus filed a motion in the arbitration arguing that Duke’s position was not within the jurisdiction of the arbitration panel and should be struck.  The arbitration panel deferred its decision on Citrus’ motion until after the arbitration.</w:t>
      </w:r>
    </w:p>
    <w:p>
      <w:pPr>
        <w:pStyle w:val="Normal"/>
        <w:widowControl/>
        <w:numPr>
          <w:ilvl w:val="0"/>
          <w:numId w:val="15"/>
        </w:numPr>
        <w:jc w:val="both"/>
        <w:rPr>
          <w:bCs/>
        </w:rPr>
      </w:pPr>
      <w:r>
        <w:rPr>
          <w:bCs/>
        </w:rPr>
        <w:t>The market-to-market value of the contract to Enron is over $250 million.</w:t>
      </w:r>
    </w:p>
    <w:p>
      <w:pPr>
        <w:pStyle w:val="Normal"/>
        <w:widowControl/>
        <w:numPr>
          <w:ilvl w:val="0"/>
          <w:numId w:val="15"/>
        </w:numPr>
        <w:jc w:val="both"/>
        <w:rPr>
          <w:bCs/>
        </w:rPr>
      </w:pPr>
      <w:r>
        <w:rPr>
          <w:bCs/>
        </w:rPr>
        <w:t>Both sides have chosen arbitrators.  Enron chose Mike Beatty.  The neutral arbitrator is Joe Morris, former Federal District Judge and General Counsel of Shell.</w:t>
      </w:r>
    </w:p>
    <w:p>
      <w:pPr>
        <w:pStyle w:val="Normal"/>
        <w:widowControl/>
        <w:numPr>
          <w:ilvl w:val="0"/>
          <w:numId w:val="15"/>
        </w:numPr>
        <w:spacing w:before="0" w:after="200"/>
        <w:jc w:val="both"/>
        <w:rPr>
          <w:b/>
        </w:rPr>
      </w:pPr>
      <w:r>
        <w:rPr>
          <w:bCs/>
        </w:rPr>
        <w:t>The arbitration is scheduled in August 2001.  Discovery is proceeding.</w:t>
      </w:r>
    </w:p>
    <w:p>
      <w:pPr>
        <w:pStyle w:val="Heading1"/>
        <w:widowControl/>
        <w:tabs>
          <w:tab w:val="clear" w:pos="720"/>
          <w:tab w:val="left" w:pos="5106" w:leader="none"/>
          <w:tab w:val="left" w:pos="7254" w:leader="none"/>
        </w:tabs>
        <w:ind w:start="0" w:end="0"/>
        <w:rPr>
          <w:i/>
          <w:i/>
          <w:iCs/>
          <w:sz w:val="20"/>
        </w:rPr>
      </w:pPr>
      <w:r>
        <w:rPr>
          <w:i/>
          <w:iCs/>
          <w:sz w:val="20"/>
        </w:rPr>
        <w:t>Columbia and Enron v. TDC Energy Corporation</w:t>
      </w:r>
    </w:p>
    <w:p>
      <w:pPr>
        <w:pStyle w:val="BodyText"/>
        <w:keepNext w:val="true"/>
        <w:widowControl/>
        <w:spacing w:before="0" w:after="200"/>
        <w:rPr/>
      </w:pPr>
      <w:r>
        <w:rPr/>
        <w:t>(Federal District Court New Orleans) (Simon, Peragine, Smith and Redfearn, L.L.P./Robert L. Redfearn, Jr.)</w:t>
      </w:r>
    </w:p>
    <w:p>
      <w:pPr>
        <w:pStyle w:val="Normal"/>
        <w:widowControl/>
        <w:numPr>
          <w:ilvl w:val="0"/>
          <w:numId w:val="15"/>
        </w:numPr>
        <w:jc w:val="both"/>
        <w:rPr/>
      </w:pPr>
      <w:r>
        <w:rPr/>
        <w:t>Enron and Columbia Energy Services Corp. (“Columbia”) have sued TDC Energy Corporation (“TDC”) for breach of a hedge contract.  Enron and Columbia seek approximately $4.5 million damages.</w:t>
      </w:r>
    </w:p>
    <w:p>
      <w:pPr>
        <w:pStyle w:val="Normal"/>
        <w:widowControl/>
        <w:numPr>
          <w:ilvl w:val="0"/>
          <w:numId w:val="15"/>
        </w:numPr>
        <w:jc w:val="both"/>
        <w:rPr/>
      </w:pPr>
      <w:r>
        <w:rPr/>
        <w:t>The hedge contract was an oral agreement reached by TDC and Columbia.  Enron purchased the contract from Columbia beginning in January 2000.</w:t>
      </w:r>
    </w:p>
    <w:p>
      <w:pPr>
        <w:pStyle w:val="Normal"/>
        <w:keepNext w:val="true"/>
        <w:widowControl/>
        <w:numPr>
          <w:ilvl w:val="0"/>
          <w:numId w:val="15"/>
        </w:numPr>
        <w:jc w:val="both"/>
        <w:rPr/>
      </w:pPr>
      <w:r>
        <w:rPr/>
        <w:t>In the course of settlement negotiations, TDC has not disputed that the parties reached an oral agreement.  Rather, TDC’s defense is simply that the Statute of Frauds prevents enforcement of the oral agreement.</w:t>
      </w:r>
    </w:p>
    <w:p>
      <w:pPr>
        <w:pStyle w:val="Normal"/>
        <w:widowControl/>
        <w:numPr>
          <w:ilvl w:val="0"/>
          <w:numId w:val="15"/>
        </w:numPr>
        <w:jc w:val="both"/>
        <w:rPr/>
      </w:pPr>
      <w:r>
        <w:rPr/>
        <w:t>TDC has requested that the case be dismissed, arguing that the Gas Industry Standards Board contract already in effect between the parties contains a forum selection clause choosing Harris County as the exclusive forum.</w:t>
      </w:r>
    </w:p>
    <w:p>
      <w:pPr>
        <w:pStyle w:val="Normal"/>
        <w:widowControl/>
        <w:numPr>
          <w:ilvl w:val="0"/>
          <w:numId w:val="15"/>
        </w:numPr>
        <w:spacing w:before="0" w:after="200"/>
        <w:jc w:val="both"/>
        <w:rPr/>
      </w:pPr>
      <w:r>
        <w:rPr/>
        <w:t>In the event a judge or jury determines that the hedge contract is not a legally enforceable obligation, Enron has reserved the right to seek contractual indemnification from Columbia.</w:t>
      </w:r>
    </w:p>
    <w:p>
      <w:pPr>
        <w:pStyle w:val="Heading7"/>
        <w:widowControl/>
        <w:ind w:hanging="0" w:start="0"/>
        <w:rPr/>
      </w:pPr>
      <w:r>
        <w:rPr/>
        <w:t>Dennis McKenna v. ECT</w:t>
      </w:r>
    </w:p>
    <w:p>
      <w:pPr>
        <w:pStyle w:val="Normal"/>
        <w:widowControl/>
        <w:spacing w:before="0" w:after="240"/>
        <w:jc w:val="both"/>
        <w:rPr>
          <w:bCs/>
        </w:rPr>
      </w:pPr>
      <w:r>
        <w:rPr>
          <w:bCs/>
        </w:rPr>
        <w:t>(AAA Arbitration in Harris County) (</w:t>
      </w:r>
      <w:r>
        <w:rPr>
          <w:rFonts w:cs="Arial"/>
          <w:bCs/>
          <w:color w:val="000000"/>
          <w:szCs w:val="18"/>
        </w:rPr>
        <w:t>Bracewell &amp; Patterson/Cliff Gunter and Ileana Blanco)</w:t>
      </w:r>
    </w:p>
    <w:p>
      <w:pPr>
        <w:pStyle w:val="Normal"/>
        <w:widowControl/>
        <w:numPr>
          <w:ilvl w:val="0"/>
          <w:numId w:val="9"/>
        </w:numPr>
        <w:tabs>
          <w:tab w:val="clear" w:pos="720"/>
          <w:tab w:val="left" w:pos="1080" w:leader="none"/>
        </w:tabs>
        <w:ind w:hanging="360" w:start="1080" w:end="0"/>
        <w:jc w:val="both"/>
        <w:rPr>
          <w:bCs/>
        </w:rPr>
      </w:pPr>
      <w:r>
        <w:rPr>
          <w:bCs/>
        </w:rPr>
        <w:t>ECT entered into a Consulting Agreement with McKenna in 1997 in which McKenna was to provide consulting services in connection with a proposed power plant in Mexico.  The contract called for McKenna to earn a success fee of approximately $3 million.</w:t>
      </w:r>
    </w:p>
    <w:p>
      <w:pPr>
        <w:pStyle w:val="Normal"/>
        <w:widowControl/>
        <w:numPr>
          <w:ilvl w:val="0"/>
          <w:numId w:val="9"/>
        </w:numPr>
        <w:tabs>
          <w:tab w:val="clear" w:pos="720"/>
          <w:tab w:val="left" w:pos="1080" w:leader="none"/>
        </w:tabs>
        <w:ind w:hanging="360" w:start="1080" w:end="0"/>
        <w:jc w:val="both"/>
        <w:rPr>
          <w:bCs/>
        </w:rPr>
      </w:pPr>
      <w:r>
        <w:rPr>
          <w:bCs/>
        </w:rPr>
        <w:t>ECT and McKenna parted ways in 1998.  When McKenna heard about the Vitro project, he requested that ECT pay him the success fee, although the Vitro project is separate and distinct from the project referenced in the consulting agreement.  ECT refused and McKenna has filed for arbitration</w:t>
      </w:r>
    </w:p>
    <w:p>
      <w:pPr>
        <w:pStyle w:val="Normal"/>
        <w:widowControl/>
        <w:numPr>
          <w:ilvl w:val="0"/>
          <w:numId w:val="9"/>
        </w:numPr>
        <w:tabs>
          <w:tab w:val="clear" w:pos="720"/>
          <w:tab w:val="left" w:pos="1080" w:leader="none"/>
        </w:tabs>
        <w:ind w:hanging="360" w:start="1080" w:end="0"/>
        <w:jc w:val="both"/>
        <w:rPr>
          <w:bCs/>
        </w:rPr>
      </w:pPr>
      <w:r>
        <w:rPr>
          <w:bCs/>
        </w:rPr>
        <w:t>ECT has named Tom McDade as its party designate arbitrator.  The neutral arbitrator is Finus Cowen.</w:t>
      </w:r>
    </w:p>
    <w:p>
      <w:pPr>
        <w:pStyle w:val="BodyTextIndent"/>
        <w:numPr>
          <w:ilvl w:val="0"/>
          <w:numId w:val="9"/>
        </w:numPr>
        <w:spacing w:before="0" w:after="240"/>
        <w:ind w:hanging="360" w:start="1080" w:end="0"/>
        <w:rPr>
          <w:rFonts w:ascii="Tms Rmn;Times New Roman" w:hAnsi="Tms Rmn;Times New Roman" w:cs="Tms Rmn;Times New Roman"/>
          <w:bCs/>
        </w:rPr>
      </w:pPr>
      <w:r>
        <w:rPr>
          <w:rFonts w:cs="Tms Rmn;Times New Roman" w:ascii="Tms Rmn;Times New Roman" w:hAnsi="Tms Rmn;Times New Roman"/>
          <w:bCs/>
        </w:rPr>
        <w:t>The arbitration is scheduled for August 20, 2001.</w:t>
      </w:r>
    </w:p>
    <w:p>
      <w:pPr>
        <w:pStyle w:val="Heading7"/>
        <w:widowControl/>
        <w:ind w:hanging="0" w:start="0"/>
        <w:rPr>
          <w:bCs/>
        </w:rPr>
      </w:pPr>
      <w:r>
        <w:rPr>
          <w:bCs/>
        </w:rPr>
        <w:t>Dow Waiver Litigation</w:t>
      </w:r>
    </w:p>
    <w:p>
      <w:pPr>
        <w:pStyle w:val="BodyText"/>
        <w:widowControl/>
        <w:spacing w:before="0" w:after="240"/>
        <w:rPr/>
      </w:pPr>
      <w:r>
        <w:rPr/>
        <w:t>(Harris County State District Court) (Susman Godfrey/Bracewell &amp; Patterson/Vinson &amp; Elkins)</w:t>
      </w:r>
    </w:p>
    <w:p>
      <w:pPr>
        <w:pStyle w:val="Normal"/>
        <w:widowControl/>
        <w:numPr>
          <w:ilvl w:val="0"/>
          <w:numId w:val="17"/>
        </w:numPr>
        <w:jc w:val="both"/>
        <w:rPr/>
      </w:pPr>
      <w:r>
        <w:rPr/>
        <w:t>Plaintiffs have filed a class action alleging that Houston Pipeline failed to take ratably from gas wells in West Texas.</w:t>
      </w:r>
    </w:p>
    <w:p>
      <w:pPr>
        <w:pStyle w:val="Normal"/>
        <w:widowControl/>
        <w:numPr>
          <w:ilvl w:val="0"/>
          <w:numId w:val="17"/>
        </w:numPr>
        <w:jc w:val="both"/>
        <w:rPr/>
      </w:pPr>
      <w:r>
        <w:rPr/>
        <w:t>Plaintiffs allege $466 million in damages</w:t>
      </w:r>
    </w:p>
    <w:p>
      <w:pPr>
        <w:pStyle w:val="Normal"/>
        <w:widowControl/>
        <w:numPr>
          <w:ilvl w:val="0"/>
          <w:numId w:val="17"/>
        </w:numPr>
        <w:jc w:val="both"/>
        <w:rPr/>
      </w:pPr>
      <w:r>
        <w:rPr/>
        <w:t>Our preliminary damage model indicates damages of $60 - $160 million if Plaintiffs recover on their claim.</w:t>
      </w:r>
    </w:p>
    <w:p>
      <w:pPr>
        <w:pStyle w:val="Normal"/>
        <w:widowControl/>
        <w:numPr>
          <w:ilvl w:val="0"/>
          <w:numId w:val="17"/>
        </w:numPr>
        <w:jc w:val="both"/>
        <w:rPr/>
      </w:pPr>
      <w:r>
        <w:rPr/>
        <w:t>On March 10, 2000 the Texas Supreme Court reversed the Court of Appeals decision in favor of the plaintiffs. The Texas Supreme Court found that the trial court’s certification of the plaintiff’s class action was improper and remanded the case back to the trial court.</w:t>
      </w:r>
    </w:p>
    <w:p>
      <w:pPr>
        <w:pStyle w:val="Normal"/>
        <w:widowControl/>
        <w:numPr>
          <w:ilvl w:val="0"/>
          <w:numId w:val="17"/>
        </w:numPr>
        <w:jc w:val="both"/>
        <w:rPr/>
      </w:pPr>
      <w:r>
        <w:rPr/>
        <w:t>The trial is expected within 12-24 months.</w:t>
      </w:r>
    </w:p>
    <w:p>
      <w:pPr>
        <w:pStyle w:val="Normal"/>
        <w:widowControl/>
        <w:numPr>
          <w:ilvl w:val="0"/>
          <w:numId w:val="17"/>
        </w:numPr>
        <w:jc w:val="both"/>
        <w:rPr/>
      </w:pPr>
      <w:r>
        <w:rPr/>
        <w:t>On August 24, 2000 the trial court issued a preliminary ruling that the new class requested by the Plaintiffs could not be certified.  The court also granted Enron’s motion for summary judgment on the Plaintiff’s Dow Waiver claim.  The court denied Enron’s motion for summary judgment on the statute of limitations defense.</w:t>
      </w:r>
    </w:p>
    <w:p>
      <w:pPr>
        <w:pStyle w:val="Normal"/>
        <w:widowControl/>
        <w:numPr>
          <w:ilvl w:val="0"/>
          <w:numId w:val="17"/>
        </w:numPr>
        <w:jc w:val="both"/>
        <w:rPr/>
      </w:pPr>
      <w:r>
        <w:rPr/>
        <w:t>The Plaintiffs filed a motion for a rehearing of the trial court’s rulings.  On January 18</w:t>
      </w:r>
      <w:r>
        <w:rPr>
          <w:vertAlign w:val="superscript"/>
        </w:rPr>
        <w:t>th</w:t>
      </w:r>
      <w:r>
        <w:rPr/>
        <w:t>, the Court denied the motion for rehearing.</w:t>
      </w:r>
    </w:p>
    <w:p>
      <w:pPr>
        <w:pStyle w:val="Normal"/>
        <w:widowControl/>
        <w:numPr>
          <w:ilvl w:val="0"/>
          <w:numId w:val="17"/>
        </w:numPr>
        <w:spacing w:before="0" w:after="200"/>
        <w:jc w:val="both"/>
        <w:rPr>
          <w:b/>
          <w:bCs/>
        </w:rPr>
      </w:pPr>
      <w:r>
        <w:rPr/>
        <w:t>Plaintiffs have appealed.</w:t>
      </w:r>
    </w:p>
    <w:p>
      <w:pPr>
        <w:pStyle w:val="Heading7"/>
        <w:widowControl/>
        <w:ind w:hanging="0" w:start="0"/>
        <w:rPr/>
      </w:pPr>
      <w:r>
        <w:rPr/>
        <w:t>El Paso</w:t>
      </w:r>
    </w:p>
    <w:p>
      <w:pPr>
        <w:pStyle w:val="BodyText"/>
        <w:widowControl/>
        <w:spacing w:before="0" w:after="200"/>
        <w:rPr/>
      </w:pPr>
      <w:r>
        <w:rPr/>
        <w:t>(Jim Maloney, Baker Botts)</w:t>
      </w:r>
    </w:p>
    <w:p>
      <w:pPr>
        <w:pStyle w:val="Normal"/>
        <w:widowControl/>
        <w:numPr>
          <w:ilvl w:val="0"/>
          <w:numId w:val="10"/>
        </w:numPr>
        <w:jc w:val="both"/>
        <w:rPr/>
      </w:pPr>
      <w:r>
        <w:rPr/>
        <w:t>Two Enron affiliates – ECTMI Trutta Holdings, L.P. and East Coast Power Holding Company L.L.C. – sold their interests in certain cogeneration facilities owned by East Coast Power L.L.C. to El Paso.  Payment for the transaction was structured as two “Swap Agreements” between Enron and El Paso entities.</w:t>
      </w:r>
    </w:p>
    <w:p>
      <w:pPr>
        <w:pStyle w:val="Normal"/>
        <w:widowControl/>
        <w:numPr>
          <w:ilvl w:val="0"/>
          <w:numId w:val="10"/>
        </w:numPr>
        <w:jc w:val="both"/>
        <w:rPr/>
      </w:pPr>
      <w:r>
        <w:rPr/>
        <w:t>Enron’s affiliates intended to maximize the immediate cash value of the sale by monetizing its interest in the two Swap Agreements.  El Paso knew this was Enron’s intent.</w:t>
      </w:r>
    </w:p>
    <w:p>
      <w:pPr>
        <w:pStyle w:val="Normal"/>
        <w:widowControl/>
        <w:numPr>
          <w:ilvl w:val="0"/>
          <w:numId w:val="10"/>
        </w:numPr>
        <w:jc w:val="both"/>
        <w:rPr/>
      </w:pPr>
      <w:r>
        <w:rPr/>
        <w:t>El Paso now contends that a confidentiality provision in the Swap Agreements impairs any transfer or assignments required in the course of monetization.</w:t>
      </w:r>
    </w:p>
    <w:p>
      <w:pPr>
        <w:pStyle w:val="Normal"/>
        <w:widowControl/>
        <w:numPr>
          <w:ilvl w:val="0"/>
          <w:numId w:val="10"/>
        </w:numPr>
        <w:jc w:val="both"/>
        <w:rPr/>
      </w:pPr>
      <w:r>
        <w:rPr/>
        <w:t xml:space="preserve">Additionally, El Paso executed a guaranty by which El Paso “irrevocably and unconditionally” guaranteed its affiliate’s obligation to make a stream of payments called for under the Swap Agreements.  El Paso now claims that the guarantee does not travel with the assignment of the El Paso affiliate’s rights under the Swap Agreements.  </w:t>
      </w:r>
    </w:p>
    <w:p>
      <w:pPr>
        <w:pStyle w:val="Normal"/>
        <w:widowControl/>
        <w:numPr>
          <w:ilvl w:val="0"/>
          <w:numId w:val="10"/>
        </w:numPr>
        <w:jc w:val="both"/>
        <w:rPr/>
      </w:pPr>
      <w:r>
        <w:rPr/>
        <w:t>Enron has filed a demand for arbitration, seeking a declaration (a) that the Guaranty Agreements would, as the parties intended, travel with any assignment of the El Paso affiliates’ rights under the Swap Agreements; and (b) that the confidentiality provisions did not impair any transfers or assignments required in the course of monetization.</w:t>
      </w:r>
    </w:p>
    <w:p>
      <w:pPr>
        <w:pStyle w:val="BodyText"/>
        <w:widowControl/>
        <w:numPr>
          <w:ilvl w:val="0"/>
          <w:numId w:val="10"/>
        </w:numPr>
        <w:spacing w:before="0" w:after="200"/>
        <w:rPr/>
      </w:pPr>
      <w:r>
        <w:rPr>
          <w:b/>
          <w:bCs/>
        </w:rPr>
        <w:t xml:space="preserve">El Paso has filed an action in New York state court seeking to stop the arbitration from proceeding as far as it relates to the guaranty issue.  El Paso claims there is no contractual obligation to arbitrate such issue.  At the same time, El Paso recognizes that it is obligated to arbitrate the issue concerning the confidentiality provision.  </w:t>
      </w:r>
    </w:p>
    <w:p>
      <w:pPr>
        <w:pStyle w:val="Heading7"/>
        <w:widowControl/>
        <w:ind w:hanging="0" w:start="0"/>
        <w:rPr/>
      </w:pPr>
      <w:r>
        <w:rPr/>
        <w:t>Enron v. Antarra Resources</w:t>
      </w:r>
    </w:p>
    <w:p>
      <w:pPr>
        <w:pStyle w:val="BodyText"/>
        <w:keepNext w:val="true"/>
        <w:widowControl/>
        <w:spacing w:before="0" w:after="200"/>
        <w:rPr/>
      </w:pPr>
      <w:r>
        <w:rPr/>
        <w:t xml:space="preserve">(Harris County State District Court) (Buck, Keenan &amp; Gage/Jim Keenan) </w:t>
      </w:r>
    </w:p>
    <w:p>
      <w:pPr>
        <w:pStyle w:val="Normal"/>
        <w:keepNext w:val="true"/>
        <w:widowControl/>
        <w:numPr>
          <w:ilvl w:val="0"/>
          <w:numId w:val="15"/>
        </w:numPr>
        <w:jc w:val="both"/>
        <w:rPr/>
      </w:pPr>
      <w:r>
        <w:rPr/>
        <w:t>Badak Resources, a subsidiary of Antarra, defaulted on a gas sales agreement with ENA.</w:t>
      </w:r>
    </w:p>
    <w:p>
      <w:pPr>
        <w:pStyle w:val="Normal"/>
        <w:widowControl/>
        <w:numPr>
          <w:ilvl w:val="0"/>
          <w:numId w:val="15"/>
        </w:numPr>
        <w:jc w:val="both"/>
        <w:rPr/>
      </w:pPr>
      <w:r>
        <w:rPr/>
        <w:t xml:space="preserve">ENA’s damages are approximately $8.4 million.  </w:t>
      </w:r>
      <w:r>
        <w:rPr>
          <w:b/>
          <w:bCs/>
        </w:rPr>
        <w:t>Antarra claims ENA’s damages are approximately $2.5 million.</w:t>
      </w:r>
    </w:p>
    <w:p>
      <w:pPr>
        <w:pStyle w:val="Normal"/>
        <w:widowControl/>
        <w:numPr>
          <w:ilvl w:val="0"/>
          <w:numId w:val="15"/>
        </w:numPr>
        <w:jc w:val="both"/>
        <w:rPr/>
      </w:pPr>
      <w:r>
        <w:rPr/>
        <w:t>Antarra was sued under a corporate guaranty.</w:t>
      </w:r>
    </w:p>
    <w:p>
      <w:pPr>
        <w:pStyle w:val="Normal"/>
        <w:widowControl/>
        <w:numPr>
          <w:ilvl w:val="0"/>
          <w:numId w:val="15"/>
        </w:numPr>
        <w:jc w:val="both"/>
        <w:rPr/>
      </w:pPr>
      <w:r>
        <w:rPr/>
        <w:t>ENA filed a motion for summary judgment on the issue of liability under the gas sales contract.  On December 12, 2000, the Court granted Enron’s motion.</w:t>
      </w:r>
    </w:p>
    <w:p>
      <w:pPr>
        <w:pStyle w:val="Normal"/>
        <w:widowControl/>
        <w:numPr>
          <w:ilvl w:val="0"/>
          <w:numId w:val="15"/>
        </w:numPr>
        <w:jc w:val="both"/>
        <w:rPr/>
      </w:pPr>
      <w:r>
        <w:rPr/>
        <w:t>Discovery is proceeding on the issue of damages.  Trial is set for September, 2001.</w:t>
      </w:r>
    </w:p>
    <w:p>
      <w:pPr>
        <w:pStyle w:val="Normal"/>
        <w:widowControl/>
        <w:numPr>
          <w:ilvl w:val="0"/>
          <w:numId w:val="15"/>
        </w:numPr>
        <w:spacing w:before="0" w:after="240"/>
        <w:jc w:val="both"/>
        <w:rPr/>
      </w:pPr>
      <w:r>
        <w:rPr/>
        <w:t xml:space="preserve">Antarra has filed a counterclaim alleging breach of a confidentiality agreement and fraud.  </w:t>
      </w:r>
      <w:r>
        <w:rPr>
          <w:b/>
          <w:bCs/>
        </w:rPr>
        <w:t>Antarra has produced an expert report, claiming $16.6 million in damages.</w:t>
      </w:r>
    </w:p>
    <w:p>
      <w:pPr>
        <w:pStyle w:val="Heading1"/>
        <w:widowControl/>
        <w:numPr>
          <w:ilvl w:val="0"/>
          <w:numId w:val="0"/>
        </w:numPr>
        <w:ind w:hanging="0" w:start="0"/>
        <w:rPr>
          <w:i/>
          <w:i/>
          <w:iCs/>
          <w:sz w:val="20"/>
        </w:rPr>
      </w:pPr>
      <w:r>
        <w:rPr>
          <w:i/>
          <w:iCs/>
          <w:sz w:val="20"/>
        </w:rPr>
        <w:t>Enron Power Marketing, Inc. v. California Power Exchange</w:t>
      </w:r>
    </w:p>
    <w:p>
      <w:pPr>
        <w:pStyle w:val="BodyText"/>
        <w:keepNext w:val="true"/>
        <w:widowControl/>
        <w:numPr>
          <w:ilvl w:val="0"/>
          <w:numId w:val="0"/>
        </w:numPr>
        <w:spacing w:before="0" w:after="200"/>
        <w:ind w:hanging="0" w:start="0"/>
        <w:rPr/>
      </w:pPr>
      <w:r>
        <w:rPr/>
        <w:t>(Los Angeles Federal District Court – Quinn Emanuel) (Federal Energy Regulatory Commission – Bracewell &amp; Patterson)</w:t>
      </w:r>
    </w:p>
    <w:p>
      <w:pPr>
        <w:pStyle w:val="Normal"/>
        <w:widowControl/>
        <w:numPr>
          <w:ilvl w:val="0"/>
          <w:numId w:val="18"/>
        </w:numPr>
        <w:jc w:val="both"/>
        <w:rPr/>
      </w:pPr>
      <w:r>
        <w:rPr/>
        <w:t>On January 31, 2001, the CalPx drew down on $36.5 million of EPMI’s collateral as a result of EMPI’s alleged breach of the CalPx tariff.</w:t>
      </w:r>
    </w:p>
    <w:p>
      <w:pPr>
        <w:pStyle w:val="Normal"/>
        <w:widowControl/>
        <w:numPr>
          <w:ilvl w:val="0"/>
          <w:numId w:val="18"/>
        </w:numPr>
        <w:jc w:val="both"/>
        <w:rPr/>
      </w:pPr>
      <w:r>
        <w:rPr/>
        <w:t>CalPx also threatened to draw down on an additional $110 million of EPMI’s collateral if EPMI did not pay its proportional share of the “charge backs” resulting from SCE and PG&amp;E defaults in the ISO Market.</w:t>
      </w:r>
    </w:p>
    <w:p>
      <w:pPr>
        <w:pStyle w:val="Normal"/>
        <w:widowControl/>
        <w:numPr>
          <w:ilvl w:val="0"/>
          <w:numId w:val="18"/>
        </w:numPr>
        <w:jc w:val="both"/>
        <w:rPr/>
      </w:pPr>
      <w:r>
        <w:rPr/>
        <w:t>EPMI filed suit in Los Angeles Federal District Court requesting that the Court: (1) grant a temporary injunction placing the $36.5 million in escrow pending resolution of the CalPx breach of tariff claim, and (2) enjoin any assessment of “charge backs” until the issue can be resolved at FERC.</w:t>
      </w:r>
    </w:p>
    <w:p>
      <w:pPr>
        <w:pStyle w:val="Normal"/>
        <w:widowControl/>
        <w:numPr>
          <w:ilvl w:val="0"/>
          <w:numId w:val="18"/>
        </w:numPr>
        <w:jc w:val="both"/>
        <w:rPr/>
      </w:pPr>
      <w:r>
        <w:rPr/>
        <w:t>On February 9, 2001, the District Court granted EPMI’s request for a temporary restraining order.  EPMI and CalPx have now entered into a stipulated injunction granting all of EPMI’s requested relief.</w:t>
      </w:r>
    </w:p>
    <w:p>
      <w:pPr>
        <w:pStyle w:val="Normal"/>
        <w:widowControl/>
        <w:numPr>
          <w:ilvl w:val="0"/>
          <w:numId w:val="18"/>
        </w:numPr>
        <w:jc w:val="both"/>
        <w:rPr/>
      </w:pPr>
      <w:r>
        <w:rPr/>
        <w:t>EMPI also filed a FERC action requesting that FERC interpret the CalPx charge back provisions of the CalPx tariff.</w:t>
      </w:r>
    </w:p>
    <w:p>
      <w:pPr>
        <w:pStyle w:val="Normal"/>
        <w:widowControl/>
        <w:numPr>
          <w:ilvl w:val="0"/>
          <w:numId w:val="18"/>
        </w:numPr>
        <w:spacing w:before="0" w:after="200"/>
        <w:jc w:val="both"/>
        <w:rPr/>
      </w:pPr>
      <w:r>
        <w:rPr/>
        <w:t>FERC issued a ruling that the Px charge back methodology was unjust and unreasonable.  Notwithstanding, the Px refuses to refund the collateral.  EPMI has filed a request for clarification with FERC of its previous order.</w:t>
      </w:r>
    </w:p>
    <w:p>
      <w:pPr>
        <w:pStyle w:val="Normal"/>
        <w:keepNext w:val="true"/>
        <w:widowControl/>
        <w:jc w:val="both"/>
        <w:rPr>
          <w:b/>
          <w:bCs/>
        </w:rPr>
      </w:pPr>
      <w:r>
        <w:rPr>
          <w:b/>
          <w:bCs/>
          <w:i/>
          <w:u w:val="single"/>
        </w:rPr>
        <w:t>EnSerCo, L.L.C.v. Drilling Rig Noram 253 and SAM Offshore, Ltd.</w:t>
      </w:r>
    </w:p>
    <w:p>
      <w:pPr>
        <w:pStyle w:val="BodyText"/>
        <w:keepNext w:val="true"/>
        <w:widowControl/>
        <w:spacing w:before="0" w:after="200"/>
        <w:rPr/>
      </w:pPr>
      <w:r>
        <w:rPr/>
        <w:t>(Southern District, Galveston Division) (Gardere Wynne Sewell &amp; Riggs)</w:t>
      </w:r>
    </w:p>
    <w:p>
      <w:pPr>
        <w:pStyle w:val="Normal"/>
        <w:widowControl/>
        <w:numPr>
          <w:ilvl w:val="0"/>
          <w:numId w:val="19"/>
        </w:numPr>
        <w:jc w:val="both"/>
        <w:rPr/>
      </w:pPr>
      <w:r>
        <w:rPr/>
        <w:t>Sam Offshore defaulted on $15,500,000 Promissory Note</w:t>
      </w:r>
    </w:p>
    <w:p>
      <w:pPr>
        <w:pStyle w:val="Normal"/>
        <w:widowControl/>
        <w:numPr>
          <w:ilvl w:val="0"/>
          <w:numId w:val="19"/>
        </w:numPr>
        <w:jc w:val="both"/>
        <w:rPr/>
      </w:pPr>
      <w:r>
        <w:rPr/>
        <w:t>Enserco seized the vessel on October 15, 1999.  The rig is located in Galveston</w:t>
      </w:r>
    </w:p>
    <w:p>
      <w:pPr>
        <w:pStyle w:val="Normal"/>
        <w:widowControl/>
        <w:numPr>
          <w:ilvl w:val="0"/>
          <w:numId w:val="19"/>
        </w:numPr>
        <w:jc w:val="both"/>
        <w:rPr/>
      </w:pPr>
      <w:r>
        <w:rPr/>
        <w:t>Enserco filed suit against the guarantors of the Sam Offshore loan.  The guarantors are foreign companies.</w:t>
      </w:r>
    </w:p>
    <w:p>
      <w:pPr>
        <w:pStyle w:val="Normal"/>
        <w:widowControl/>
        <w:numPr>
          <w:ilvl w:val="0"/>
          <w:numId w:val="19"/>
        </w:numPr>
        <w:jc w:val="both"/>
        <w:rPr/>
      </w:pPr>
      <w:r>
        <w:rPr/>
        <w:t>Enserco purchased the rig in a judicial foreclosure sale for $1 million.  We are attempting to sell this rig.</w:t>
      </w:r>
    </w:p>
    <w:p>
      <w:pPr>
        <w:pStyle w:val="Normal"/>
        <w:widowControl/>
        <w:numPr>
          <w:ilvl w:val="0"/>
          <w:numId w:val="19"/>
        </w:numPr>
        <w:jc w:val="both"/>
        <w:rPr/>
      </w:pPr>
      <w:r>
        <w:rPr/>
        <w:t>Prior to the trial, the defendants agreed to a deficiency judgment in favor of Enserco.  Enserco agreed to dismiss fraudulent transfer claims against two defendants.</w:t>
      </w:r>
    </w:p>
    <w:p>
      <w:pPr>
        <w:pStyle w:val="Normal"/>
        <w:widowControl/>
        <w:numPr>
          <w:ilvl w:val="0"/>
          <w:numId w:val="19"/>
        </w:numPr>
        <w:jc w:val="both"/>
        <w:rPr>
          <w:b/>
          <w:bCs/>
        </w:rPr>
      </w:pPr>
      <w:r>
        <w:rPr/>
        <w:t>Discovery is proceeding concerning the amount of the deficiency.</w:t>
      </w:r>
    </w:p>
    <w:p>
      <w:pPr>
        <w:pStyle w:val="Normal"/>
        <w:widowControl/>
        <w:numPr>
          <w:ilvl w:val="0"/>
          <w:numId w:val="19"/>
        </w:numPr>
        <w:spacing w:before="0" w:after="200"/>
        <w:jc w:val="both"/>
        <w:rPr/>
      </w:pPr>
      <w:r>
        <w:rPr/>
        <w:t xml:space="preserve">Judge Sam Kent has agreed to take the matter under advisement.  </w:t>
      </w:r>
      <w:r>
        <w:rPr>
          <w:b/>
          <w:bCs/>
        </w:rPr>
        <w:t>A ruling is expected any day.</w:t>
      </w:r>
    </w:p>
    <w:p>
      <w:pPr>
        <w:pStyle w:val="Heading7"/>
        <w:widowControl/>
        <w:spacing w:before="0" w:after="200"/>
        <w:ind w:hanging="0" w:start="0"/>
        <w:rPr/>
      </w:pPr>
      <w:r>
        <w:rPr/>
        <w:t>Garden State Paper Personal Injury Cases</w:t>
      </w:r>
    </w:p>
    <w:p>
      <w:pPr>
        <w:pStyle w:val="Normal"/>
        <w:widowControl/>
        <w:numPr>
          <w:ilvl w:val="0"/>
          <w:numId w:val="19"/>
        </w:numPr>
        <w:jc w:val="both"/>
        <w:rPr/>
      </w:pPr>
      <w:r>
        <w:rPr/>
        <w:t>In the last few months, Garden State Paper (“GSP”) has faced four serious personal injury cases.</w:t>
      </w:r>
    </w:p>
    <w:p>
      <w:pPr>
        <w:pStyle w:val="Normal"/>
        <w:widowControl/>
        <w:numPr>
          <w:ilvl w:val="0"/>
          <w:numId w:val="19"/>
        </w:numPr>
        <w:jc w:val="both"/>
        <w:rPr/>
      </w:pPr>
      <w:r>
        <w:rPr>
          <w:u w:val="single"/>
        </w:rPr>
        <w:t>The Philip Buffalo matter</w:t>
      </w:r>
      <w:r>
        <w:rPr/>
        <w:t>:  Mr. Buffalo was an employee of Penske, another contractor at GSP.  Mr. Buffalo was hit by a forklift operated by a GSP employee, resulting in serious leg and thigh injuries.  Mr. Buffalo has retained counsel, but no lawsuit has been filed.  OSHA has leveled a fine and serious citation against GSP for its employee’s actions.</w:t>
      </w:r>
    </w:p>
    <w:p>
      <w:pPr>
        <w:pStyle w:val="Normal"/>
        <w:widowControl/>
        <w:numPr>
          <w:ilvl w:val="0"/>
          <w:numId w:val="19"/>
        </w:numPr>
        <w:jc w:val="both"/>
        <w:rPr/>
      </w:pPr>
      <w:r>
        <w:rPr>
          <w:u w:val="single"/>
        </w:rPr>
        <w:t>The Julio DeLeon matter</w:t>
      </w:r>
      <w:r>
        <w:rPr/>
        <w:t>:  Mr. DeLeon, an employee of New Jersey Wire (another subcontractor), sustained head injuries while attempting to remove heavy wire rolls from a wire rack.  As of this date, we do not believe Mr. DeLeon has hired counsel.</w:t>
      </w:r>
    </w:p>
    <w:p>
      <w:pPr>
        <w:pStyle w:val="Normal"/>
        <w:widowControl/>
        <w:numPr>
          <w:ilvl w:val="0"/>
          <w:numId w:val="19"/>
        </w:numPr>
        <w:jc w:val="both"/>
        <w:rPr>
          <w:b/>
          <w:bCs/>
        </w:rPr>
      </w:pPr>
      <w:r>
        <w:rPr>
          <w:u w:val="single"/>
        </w:rPr>
        <w:t>The Carlos Gines matter</w:t>
      </w:r>
      <w:r>
        <w:rPr/>
        <w:t>:  Mr. Gines was an employee of Sistec, a contractor at GSP hired to perform various maintenance duties.  Mr. Gines was trying to move some equipment when a 4,000 pound blade assembly fell on his upper thigh almost severing his leg.  Medical expenses are expected to approach $400,000.00.  Mr. Gines has hired counsel, but no lawsuit has been filed.</w:t>
      </w:r>
    </w:p>
    <w:p>
      <w:pPr>
        <w:pStyle w:val="Normal"/>
        <w:widowControl/>
        <w:numPr>
          <w:ilvl w:val="0"/>
          <w:numId w:val="19"/>
        </w:numPr>
        <w:spacing w:before="0" w:after="200"/>
        <w:jc w:val="both"/>
        <w:rPr/>
      </w:pPr>
      <w:r>
        <w:rPr>
          <w:u w:val="single"/>
        </w:rPr>
        <w:t>The Olvasky matter</w:t>
      </w:r>
      <w:r>
        <w:rPr/>
        <w:t>:  Mr. Olvasky, an employee of Allen Electric, fell at the Garden State Paper plant, struck his head and later died.  This is a wrongful death lawsuit filed in May 2001.</w:t>
      </w:r>
    </w:p>
    <w:p>
      <w:pPr>
        <w:pStyle w:val="Heading7"/>
        <w:widowControl/>
        <w:ind w:hanging="0" w:start="0"/>
        <w:rPr/>
      </w:pPr>
      <w:r>
        <w:rPr/>
        <w:t>Glatzer v. Enron Corp. and Enron Finance Corp.</w:t>
      </w:r>
    </w:p>
    <w:p>
      <w:pPr>
        <w:pStyle w:val="BodyText"/>
        <w:keepNext w:val="true"/>
        <w:widowControl/>
        <w:numPr>
          <w:ilvl w:val="0"/>
          <w:numId w:val="0"/>
        </w:numPr>
        <w:spacing w:before="0" w:after="200"/>
        <w:ind w:hanging="0" w:start="0"/>
        <w:rPr/>
      </w:pPr>
      <w:r>
        <w:rPr/>
        <w:t>(New York state court) (Susman Godfrey)</w:t>
      </w:r>
    </w:p>
    <w:p>
      <w:pPr>
        <w:pStyle w:val="Normal"/>
        <w:widowControl/>
        <w:numPr>
          <w:ilvl w:val="0"/>
          <w:numId w:val="16"/>
        </w:numPr>
        <w:jc w:val="both"/>
        <w:rPr/>
      </w:pPr>
      <w:r>
        <w:rPr/>
        <w:t>Plaintiff claims that ECT misappropriated trade secrets.  The alleged trade secret was Plaintiff’s idea to monetize production payments.  Plaintiff gave his idea to Bear Stearns who then allegedly relayed the idea to ECT.</w:t>
      </w:r>
    </w:p>
    <w:p>
      <w:pPr>
        <w:pStyle w:val="Normal"/>
        <w:widowControl/>
        <w:numPr>
          <w:ilvl w:val="0"/>
          <w:numId w:val="16"/>
        </w:numPr>
        <w:jc w:val="both"/>
        <w:rPr/>
      </w:pPr>
      <w:r>
        <w:rPr/>
        <w:t>Plaintiff’s damages are unspecified, but he has offered to settle for $1 million</w:t>
      </w:r>
    </w:p>
    <w:p>
      <w:pPr>
        <w:pStyle w:val="Normal"/>
        <w:widowControl/>
        <w:numPr>
          <w:ilvl w:val="0"/>
          <w:numId w:val="16"/>
        </w:numPr>
        <w:jc w:val="both"/>
        <w:rPr/>
      </w:pPr>
      <w:r>
        <w:rPr/>
        <w:t xml:space="preserve">ECT filed a motion for summary judgment and on July 14, 1999, the Court granted ECT’s motion for summary judgment. </w:t>
      </w:r>
    </w:p>
    <w:p>
      <w:pPr>
        <w:pStyle w:val="Normal"/>
        <w:widowControl/>
        <w:numPr>
          <w:ilvl w:val="0"/>
          <w:numId w:val="16"/>
        </w:numPr>
        <w:jc w:val="both"/>
        <w:rPr>
          <w:i/>
          <w:i/>
          <w:u w:val="single"/>
        </w:rPr>
      </w:pPr>
      <w:r>
        <w:rPr/>
        <w:t>The plaintiff appealed the granting of the motion for summary judgment.  On December 10, 2001, the Court of Appeals affirmed the trial court’s decision granting summary judgment.</w:t>
      </w:r>
    </w:p>
    <w:p>
      <w:pPr>
        <w:pStyle w:val="Normal"/>
        <w:widowControl/>
        <w:numPr>
          <w:ilvl w:val="0"/>
          <w:numId w:val="16"/>
        </w:numPr>
        <w:spacing w:before="0" w:after="200"/>
        <w:jc w:val="both"/>
        <w:rPr>
          <w:i/>
          <w:i/>
          <w:u w:val="single"/>
        </w:rPr>
      </w:pPr>
      <w:r>
        <w:rPr/>
        <w:t>Plaintiff has recently offered to settle for $500,000.  This offer was rejected.</w:t>
      </w:r>
    </w:p>
    <w:p>
      <w:pPr>
        <w:pStyle w:val="Heading6"/>
        <w:ind w:hanging="0" w:start="0"/>
        <w:rPr>
          <w:rFonts w:ascii="Times New Roman" w:hAnsi="Times New Roman" w:cs="Times New Roman"/>
          <w:b/>
          <w:bCs/>
          <w:u w:val="single"/>
        </w:rPr>
      </w:pPr>
      <w:r>
        <w:rPr>
          <w:rFonts w:cs="Times New Roman" w:ascii="Times New Roman" w:hAnsi="Times New Roman"/>
          <w:b/>
          <w:bCs/>
          <w:u w:val="single"/>
        </w:rPr>
        <w:t>Grynberg</w:t>
      </w:r>
    </w:p>
    <w:p>
      <w:pPr>
        <w:pStyle w:val="Footer"/>
        <w:keepNext w:val="true"/>
        <w:widowControl/>
        <w:tabs>
          <w:tab w:val="clear" w:pos="4320"/>
          <w:tab w:val="clear" w:pos="8640"/>
          <w:tab w:val="left" w:pos="540" w:leader="none"/>
        </w:tabs>
        <w:spacing w:before="0" w:after="200"/>
        <w:rPr/>
      </w:pPr>
      <w:r>
        <w:rPr/>
        <w:t>(Wyoming Federal Court) (Gibbs &amp; Bruns) (Vinson &amp; Elkins)</w:t>
      </w:r>
    </w:p>
    <w:p>
      <w:pPr>
        <w:pStyle w:val="Normal"/>
        <w:widowControl/>
        <w:numPr>
          <w:ilvl w:val="0"/>
          <w:numId w:val="16"/>
        </w:numPr>
        <w:jc w:val="both"/>
        <w:rPr/>
      </w:pPr>
      <w:r>
        <w:rPr/>
        <w:t>Qui tam action brought against HPL, LRC, and all pipeline companies in America alleging fraudulent practices in the measurement of gas.</w:t>
      </w:r>
    </w:p>
    <w:p>
      <w:pPr>
        <w:pStyle w:val="Normal"/>
        <w:widowControl/>
        <w:numPr>
          <w:ilvl w:val="0"/>
          <w:numId w:val="16"/>
        </w:numPr>
        <w:jc w:val="both"/>
        <w:rPr/>
      </w:pPr>
      <w:r>
        <w:rPr/>
        <w:t>All of the cases have been consolidated in Wyoming.</w:t>
      </w:r>
    </w:p>
    <w:p>
      <w:pPr>
        <w:pStyle w:val="BodyTextIndent"/>
        <w:numPr>
          <w:ilvl w:val="0"/>
          <w:numId w:val="16"/>
        </w:numPr>
        <w:tabs>
          <w:tab w:val="clear" w:pos="1080"/>
        </w:tabs>
        <w:spacing w:before="0" w:after="200"/>
        <w:rPr>
          <w:rFonts w:ascii="Tms Rmn;Times New Roman" w:hAnsi="Tms Rmn;Times New Roman" w:cs="Tms Rmn;Times New Roman"/>
        </w:rPr>
      </w:pPr>
      <w:r>
        <w:rPr>
          <w:rFonts w:cs="Tms Rmn;Times New Roman" w:ascii="Tms Rmn;Times New Roman" w:hAnsi="Tms Rmn;Times New Roman"/>
        </w:rPr>
        <w:t>On May 18, 2001, Judge Downes denied the Defendants’ Motion to Dismiss.  The Defendants are requesting that Judge Downes certify the issue for appellate review.</w:t>
      </w:r>
    </w:p>
    <w:p>
      <w:pPr>
        <w:pStyle w:val="Heading7"/>
        <w:widowControl/>
        <w:ind w:hanging="0" w:start="0"/>
        <w:rPr/>
      </w:pPr>
      <w:r>
        <w:rPr/>
        <w:t>Hendricks, City of San Francisco, and Sweetwater</w:t>
      </w:r>
    </w:p>
    <w:p>
      <w:pPr>
        <w:pStyle w:val="Normal"/>
        <w:keepNext w:val="true"/>
        <w:widowControl/>
        <w:spacing w:before="0" w:after="200"/>
        <w:jc w:val="both"/>
        <w:rPr/>
      </w:pPr>
      <w:r>
        <w:rPr/>
        <w:t>(Gibbs &amp; Bruns/Brobeck, Pflager &amp; Harrison</w:t>
      </w:r>
      <w:r>
        <w:rPr>
          <w:rFonts w:cs="Arial"/>
          <w:color w:val="000000"/>
          <w:szCs w:val="18"/>
        </w:rPr>
        <w:t>)</w:t>
      </w:r>
    </w:p>
    <w:p>
      <w:pPr>
        <w:pStyle w:val="Normal"/>
        <w:widowControl/>
        <w:numPr>
          <w:ilvl w:val="0"/>
          <w:numId w:val="8"/>
        </w:numPr>
        <w:tabs>
          <w:tab w:val="clear" w:pos="720"/>
          <w:tab w:val="left" w:pos="1080" w:leader="none"/>
        </w:tabs>
        <w:ind w:hanging="360" w:start="1080" w:end="0"/>
        <w:jc w:val="both"/>
        <w:rPr/>
      </w:pPr>
      <w:r>
        <w:rPr/>
        <w:t>As a result of the California energy crisis, EPMI and EES have been sued in four separate cases.  All four lawsuits allege violations of the California anti-trust and unfair competition laws.</w:t>
      </w:r>
    </w:p>
    <w:p>
      <w:pPr>
        <w:pStyle w:val="Normal"/>
        <w:widowControl/>
        <w:numPr>
          <w:ilvl w:val="1"/>
          <w:numId w:val="8"/>
        </w:numPr>
        <w:jc w:val="both"/>
        <w:rPr/>
      </w:pPr>
      <w:r>
        <w:rPr>
          <w:i/>
          <w:iCs/>
          <w:u w:val="single"/>
        </w:rPr>
        <w:t>Hendricks</w:t>
      </w:r>
      <w:r>
        <w:rPr/>
        <w:t xml:space="preserve"> is a class action filed in San Diego on behalf of all Californians.</w:t>
      </w:r>
    </w:p>
    <w:p>
      <w:pPr>
        <w:pStyle w:val="Normal"/>
        <w:widowControl/>
        <w:numPr>
          <w:ilvl w:val="1"/>
          <w:numId w:val="8"/>
        </w:numPr>
        <w:jc w:val="both"/>
        <w:rPr/>
      </w:pPr>
      <w:r>
        <w:rPr>
          <w:i/>
          <w:iCs/>
          <w:u w:val="single"/>
        </w:rPr>
        <w:t>City of San Francisco</w:t>
      </w:r>
      <w:r>
        <w:rPr>
          <w:i/>
          <w:iCs/>
        </w:rPr>
        <w:t xml:space="preserve"> </w:t>
      </w:r>
      <w:r>
        <w:rPr/>
        <w:t>was filed in San Francisco on behalf of the City of San Francisco and all its ratepayers.</w:t>
      </w:r>
    </w:p>
    <w:p>
      <w:pPr>
        <w:pStyle w:val="Normal"/>
        <w:widowControl/>
        <w:numPr>
          <w:ilvl w:val="1"/>
          <w:numId w:val="8"/>
        </w:numPr>
        <w:jc w:val="both"/>
        <w:rPr/>
      </w:pPr>
      <w:r>
        <w:rPr>
          <w:i/>
          <w:iCs/>
          <w:u w:val="single"/>
        </w:rPr>
        <w:t>Sweetwater Authority</w:t>
      </w:r>
      <w:r>
        <w:rPr/>
        <w:t xml:space="preserve"> was filed in San Diego by three water districts based in Southern California.</w:t>
      </w:r>
    </w:p>
    <w:p>
      <w:pPr>
        <w:pStyle w:val="Normal"/>
        <w:widowControl/>
        <w:numPr>
          <w:ilvl w:val="1"/>
          <w:numId w:val="8"/>
        </w:numPr>
        <w:jc w:val="both"/>
        <w:rPr/>
      </w:pPr>
      <w:r>
        <w:rPr>
          <w:i/>
          <w:iCs/>
          <w:u w:val="single"/>
        </w:rPr>
        <w:t>Pier 23 Restaurant</w:t>
      </w:r>
      <w:r>
        <w:rPr/>
        <w:t xml:space="preserve"> was filed in San Francisco by retail customers of electricity.</w:t>
      </w:r>
    </w:p>
    <w:p>
      <w:pPr>
        <w:pStyle w:val="Normal"/>
        <w:widowControl/>
        <w:numPr>
          <w:ilvl w:val="0"/>
          <w:numId w:val="15"/>
        </w:numPr>
        <w:jc w:val="both"/>
        <w:rPr/>
      </w:pPr>
      <w:r>
        <w:rPr/>
        <w:t>There are three other cases filed in California against generators and marketers alleging identical causes of action.  Enron has not been named in the cases, but we are coordinating with the Defendants’ counsel in those cases.</w:t>
      </w:r>
    </w:p>
    <w:p>
      <w:pPr>
        <w:pStyle w:val="Normal"/>
        <w:widowControl/>
        <w:numPr>
          <w:ilvl w:val="0"/>
          <w:numId w:val="15"/>
        </w:numPr>
        <w:jc w:val="both"/>
        <w:rPr/>
      </w:pPr>
      <w:r>
        <w:rPr/>
        <w:t>In addition, there are ten cases filed against El Paso and Sempra alleging that they violated the California anti-trust and unfair competition laws by manipulating the gas markets in California.  Again, Enron is not named, but we are monitoring these cases.</w:t>
      </w:r>
    </w:p>
    <w:p>
      <w:pPr>
        <w:pStyle w:val="Normal"/>
        <w:widowControl/>
        <w:numPr>
          <w:ilvl w:val="0"/>
          <w:numId w:val="15"/>
        </w:numPr>
        <w:jc w:val="both"/>
        <w:rPr>
          <w:bCs/>
        </w:rPr>
      </w:pPr>
      <w:r>
        <w:rPr/>
        <w:t>All cases filed in California have been removed to Federal District Court.  This removal stays all discovery.</w:t>
      </w:r>
    </w:p>
    <w:p>
      <w:pPr>
        <w:pStyle w:val="Normal"/>
        <w:widowControl/>
        <w:numPr>
          <w:ilvl w:val="0"/>
          <w:numId w:val="15"/>
        </w:numPr>
        <w:jc w:val="both"/>
        <w:rPr>
          <w:bCs/>
        </w:rPr>
      </w:pPr>
      <w:r>
        <w:rPr>
          <w:bCs/>
        </w:rPr>
        <w:t>The plaintiffs have filed a motion to remand to State District Court.  Defendants have requested that the motion to remand be stayed until the MDL panel has met.</w:t>
      </w:r>
    </w:p>
    <w:p>
      <w:pPr>
        <w:pStyle w:val="Normal"/>
        <w:widowControl/>
        <w:numPr>
          <w:ilvl w:val="0"/>
          <w:numId w:val="15"/>
        </w:numPr>
        <w:jc w:val="both"/>
        <w:rPr/>
      </w:pPr>
      <w:r>
        <w:rPr>
          <w:bCs/>
        </w:rPr>
        <w:t>Defendants requested that the cases be consolidated in one Federal District Court through the Multi-District Litigation process.</w:t>
      </w:r>
    </w:p>
    <w:p>
      <w:pPr>
        <w:pStyle w:val="Normal"/>
        <w:widowControl/>
        <w:numPr>
          <w:ilvl w:val="0"/>
          <w:numId w:val="15"/>
        </w:numPr>
        <w:jc w:val="both"/>
        <w:rPr/>
      </w:pPr>
      <w:r>
        <w:rPr/>
        <w:t>On June 7, 20001, the MDL Panel appointed United States District Court Judge  Whaley (from Spokane, Washington) to sit in San Diego.</w:t>
      </w:r>
    </w:p>
    <w:p>
      <w:pPr>
        <w:pStyle w:val="Normal"/>
        <w:widowControl/>
        <w:numPr>
          <w:ilvl w:val="0"/>
          <w:numId w:val="15"/>
        </w:numPr>
        <w:spacing w:before="0" w:after="200"/>
        <w:jc w:val="both"/>
        <w:rPr>
          <w:bCs/>
        </w:rPr>
      </w:pPr>
      <w:r>
        <w:rPr/>
        <w:t xml:space="preserve">Plaintiffs’ motion to remand hearing </w:t>
      </w:r>
      <w:r>
        <w:rPr>
          <w:b/>
          <w:bCs/>
        </w:rPr>
        <w:t>took place on June 27, 2001.  The judge took the matter under advisement.</w:t>
      </w:r>
    </w:p>
    <w:p>
      <w:pPr>
        <w:pStyle w:val="Heading7"/>
        <w:widowControl/>
        <w:ind w:hanging="0" w:start="0"/>
        <w:rPr/>
      </w:pPr>
      <w:r>
        <w:rPr/>
        <w:t>Michigan Power Limited Partnership v. Consumers Energy</w:t>
      </w:r>
    </w:p>
    <w:p>
      <w:pPr>
        <w:pStyle w:val="Normal"/>
        <w:widowControl/>
        <w:spacing w:before="0" w:after="200"/>
        <w:rPr>
          <w:rFonts w:ascii="Times New Roman" w:hAnsi="Times New Roman" w:cs="Times New Roman"/>
        </w:rPr>
      </w:pPr>
      <w:r>
        <w:rPr>
          <w:rFonts w:cs="Times New Roman" w:ascii="Times New Roman" w:hAnsi="Times New Roman"/>
        </w:rPr>
        <w:t>(David Marvin/Fraser Trebilcock)</w:t>
      </w:r>
    </w:p>
    <w:p>
      <w:pPr>
        <w:pStyle w:val="Normal"/>
        <w:widowControl/>
        <w:numPr>
          <w:ilvl w:val="0"/>
          <w:numId w:val="15"/>
        </w:numPr>
        <w:jc w:val="both"/>
        <w:rPr/>
      </w:pPr>
      <w:r>
        <w:rPr/>
        <w:t>Enron and Dynegy are 50 percent owners of the Michigan Power Limited Partnership (“MPLP”).  MPLP went into service on October 1, 1995.</w:t>
      </w:r>
    </w:p>
    <w:p>
      <w:pPr>
        <w:pStyle w:val="Normal"/>
        <w:widowControl/>
        <w:numPr>
          <w:ilvl w:val="0"/>
          <w:numId w:val="15"/>
        </w:numPr>
        <w:jc w:val="both"/>
        <w:rPr/>
      </w:pPr>
      <w:r>
        <w:rPr/>
        <w:t>MPLP provides power to consumers Energy under a PPA that ends September 20, 2030.</w:t>
      </w:r>
    </w:p>
    <w:p>
      <w:pPr>
        <w:pStyle w:val="Normal"/>
        <w:widowControl/>
        <w:numPr>
          <w:ilvl w:val="0"/>
          <w:numId w:val="15"/>
        </w:numPr>
        <w:jc w:val="both"/>
        <w:rPr/>
      </w:pPr>
      <w:r>
        <w:rPr/>
        <w:t>In February 2001, Consumers Energy sent MPLP a letter contending that Consumer Energy overpaid MPLP $16.1 million in capacity charges from 1996 through 2000.  Enron would be responsible for half of this amount.</w:t>
      </w:r>
    </w:p>
    <w:p>
      <w:pPr>
        <w:pStyle w:val="Normal"/>
        <w:widowControl/>
        <w:numPr>
          <w:ilvl w:val="0"/>
          <w:numId w:val="15"/>
        </w:numPr>
        <w:jc w:val="both"/>
        <w:rPr/>
      </w:pPr>
      <w:r>
        <w:rPr/>
        <w:t>Capacity rates under the PPA are to be increased annually.  The key question is whether the capacity rate increase should take place on January 1 (calendar year) or October 1 (the anniversary of the commercial operation date of the facility).</w:t>
      </w:r>
    </w:p>
    <w:p>
      <w:pPr>
        <w:pStyle w:val="Normal"/>
        <w:widowControl/>
        <w:numPr>
          <w:ilvl w:val="0"/>
          <w:numId w:val="15"/>
        </w:numPr>
        <w:jc w:val="both"/>
        <w:rPr/>
      </w:pPr>
      <w:r>
        <w:rPr/>
        <w:t>Consumers Energy self-billed under the PPA and increased capacity rates every January 1 (calendar year).  Now Consumers Energy contends that increase was in error and that the PPA requires the capacity rate to increase every October 1.</w:t>
      </w:r>
    </w:p>
    <w:p>
      <w:pPr>
        <w:pStyle w:val="Normal"/>
        <w:widowControl/>
        <w:numPr>
          <w:ilvl w:val="0"/>
          <w:numId w:val="15"/>
        </w:numPr>
        <w:jc w:val="both"/>
        <w:rPr/>
      </w:pPr>
      <w:r>
        <w:rPr/>
        <w:t>Representatives of MCN (the predecessor to Enron) have indicated in recent interviews that the January 1 capacity rate increases were not expected by MPLP.  Consumers Energy’s position has some merit.  MCN expected the capacity rate to increase in October and was “quite surprised” when the capacity rate increased on January 1, 1996.</w:t>
      </w:r>
    </w:p>
    <w:p>
      <w:pPr>
        <w:pStyle w:val="Normal"/>
        <w:widowControl/>
        <w:numPr>
          <w:ilvl w:val="0"/>
          <w:numId w:val="15"/>
        </w:numPr>
        <w:spacing w:before="0" w:after="200"/>
        <w:jc w:val="both"/>
        <w:rPr/>
      </w:pPr>
      <w:r>
        <w:rPr/>
        <w:t>Consumers Energy has sent a letter to MPLP demanding arbitration.  The arbitration will take place in Michigan under American Arbitration Association rules.</w:t>
      </w:r>
    </w:p>
    <w:p>
      <w:pPr>
        <w:pStyle w:val="Heading7"/>
        <w:widowControl/>
        <w:ind w:hanging="0" w:start="0"/>
        <w:rPr/>
      </w:pPr>
      <w:r>
        <w:rPr/>
        <w:t>John Schultes v. Enron North America Corp. and ECT Thailand Investments, Inc.</w:t>
      </w:r>
    </w:p>
    <w:p>
      <w:pPr>
        <w:pStyle w:val="BodyText"/>
        <w:keepNext w:val="true"/>
        <w:widowControl/>
        <w:spacing w:before="0" w:after="200"/>
        <w:rPr/>
      </w:pPr>
      <w:r>
        <w:rPr/>
        <w:t>(Cleveland Ohio State District Court)</w:t>
      </w:r>
    </w:p>
    <w:p>
      <w:pPr>
        <w:pStyle w:val="Normal"/>
        <w:widowControl/>
        <w:numPr>
          <w:ilvl w:val="0"/>
          <w:numId w:val="13"/>
        </w:numPr>
        <w:tabs>
          <w:tab w:val="clear" w:pos="720"/>
          <w:tab w:val="left" w:pos="1080" w:leader="none"/>
        </w:tabs>
        <w:ind w:hanging="360" w:start="1080" w:end="0"/>
        <w:jc w:val="both"/>
        <w:rPr>
          <w:rFonts w:ascii="Times New Roman" w:hAnsi="Times New Roman" w:cs="Times New Roman"/>
        </w:rPr>
      </w:pPr>
      <w:r>
        <w:rPr>
          <w:rFonts w:cs="Times New Roman" w:ascii="Times New Roman" w:hAnsi="Times New Roman"/>
        </w:rPr>
        <w:t>John Schultes is the former president of NSM.  His 8 year employment agreement was terminated by NSM Management Co., of which ECT Thailand Investments Inc. was a member.</w:t>
      </w:r>
    </w:p>
    <w:p>
      <w:pPr>
        <w:pStyle w:val="Normal"/>
        <w:widowControl/>
        <w:numPr>
          <w:ilvl w:val="0"/>
          <w:numId w:val="13"/>
        </w:numPr>
        <w:tabs>
          <w:tab w:val="clear" w:pos="720"/>
          <w:tab w:val="left" w:pos="1080" w:leader="none"/>
        </w:tabs>
        <w:ind w:hanging="360" w:start="1080" w:end="0"/>
        <w:jc w:val="both"/>
        <w:rPr>
          <w:rFonts w:ascii="Times New Roman" w:hAnsi="Times New Roman" w:cs="Times New Roman"/>
        </w:rPr>
      </w:pPr>
      <w:r>
        <w:rPr>
          <w:rFonts w:cs="Times New Roman" w:ascii="Times New Roman" w:hAnsi="Times New Roman"/>
        </w:rPr>
        <w:t>Schultes has sued ENA and ECT Thailand Investments for breach of contract, tortuous interference, fraud, defamation and negligent misrepresentation as a result of their involvement in Schultes’ termination.</w:t>
      </w:r>
    </w:p>
    <w:p>
      <w:pPr>
        <w:pStyle w:val="Normal"/>
        <w:widowControl/>
        <w:numPr>
          <w:ilvl w:val="0"/>
          <w:numId w:val="15"/>
        </w:numPr>
        <w:spacing w:before="0" w:after="200"/>
        <w:jc w:val="both"/>
        <w:rPr/>
      </w:pPr>
      <w:r>
        <w:rPr>
          <w:rFonts w:cs="Times New Roman" w:ascii="Times New Roman" w:hAnsi="Times New Roman"/>
        </w:rPr>
        <w:t>Enron has filed several motions to dismiss.  The hearing on these motions is scheduled for September 10.</w:t>
      </w:r>
    </w:p>
    <w:p>
      <w:pPr>
        <w:pStyle w:val="Heading6"/>
        <w:ind w:hanging="0" w:start="0"/>
        <w:rPr>
          <w:rFonts w:ascii="Times New Roman" w:hAnsi="Times New Roman" w:cs="Times New Roman"/>
          <w:b/>
          <w:bCs/>
          <w:u w:val="single"/>
        </w:rPr>
      </w:pPr>
      <w:r>
        <w:rPr>
          <w:rFonts w:cs="Times New Roman" w:ascii="Times New Roman" w:hAnsi="Times New Roman"/>
          <w:b/>
          <w:bCs/>
          <w:u w:val="single"/>
        </w:rPr>
        <w:t>Quinque Case</w:t>
      </w:r>
    </w:p>
    <w:p>
      <w:pPr>
        <w:pStyle w:val="Normal"/>
        <w:widowControl/>
        <w:spacing w:before="0" w:after="200"/>
        <w:rPr/>
      </w:pPr>
      <w:r>
        <w:rPr/>
        <w:t>(Kansas State District Court) (Gibbs &amp; Bruns) (Vinson &amp; Elkins)</w:t>
      </w:r>
    </w:p>
    <w:p>
      <w:pPr>
        <w:pStyle w:val="Normal"/>
        <w:widowControl/>
        <w:numPr>
          <w:ilvl w:val="0"/>
          <w:numId w:val="16"/>
        </w:numPr>
        <w:jc w:val="both"/>
        <w:rPr>
          <w:rFonts w:ascii="Times New Roman" w:hAnsi="Times New Roman" w:cs="Times New Roman"/>
        </w:rPr>
      </w:pPr>
      <w:r>
        <w:rPr>
          <w:rFonts w:cs="Times New Roman" w:ascii="Times New Roman" w:hAnsi="Times New Roman"/>
        </w:rPr>
        <w:t>This is a national class action filed in State District Court in Kansas on behalf of all gas producers and royalty interest owners alleging fraudulent practices in the measurement of gas.</w:t>
      </w:r>
    </w:p>
    <w:p>
      <w:pPr>
        <w:pStyle w:val="Normal"/>
        <w:widowControl/>
        <w:numPr>
          <w:ilvl w:val="0"/>
          <w:numId w:val="16"/>
        </w:numPr>
        <w:jc w:val="both"/>
        <w:rPr>
          <w:rFonts w:ascii="Times New Roman" w:hAnsi="Times New Roman" w:cs="Times New Roman"/>
        </w:rPr>
      </w:pPr>
      <w:r>
        <w:rPr>
          <w:rFonts w:cs="Times New Roman" w:ascii="Times New Roman" w:hAnsi="Times New Roman"/>
        </w:rPr>
        <w:t>Enron removed the case to the Federal District Court of Kansas City alleging Federal Question jurisdiction.</w:t>
      </w:r>
    </w:p>
    <w:p>
      <w:pPr>
        <w:pStyle w:val="Normal"/>
        <w:widowControl/>
        <w:numPr>
          <w:ilvl w:val="0"/>
          <w:numId w:val="16"/>
        </w:numPr>
        <w:jc w:val="both"/>
        <w:rPr>
          <w:rFonts w:ascii="Times New Roman" w:hAnsi="Times New Roman" w:cs="Times New Roman"/>
          <w:b/>
          <w:bCs/>
        </w:rPr>
      </w:pPr>
      <w:r>
        <w:rPr>
          <w:rFonts w:cs="Times New Roman" w:ascii="Times New Roman" w:hAnsi="Times New Roman"/>
        </w:rPr>
        <w:t>Plaintiffs filed a motion to remand to State District Court.  On January 10</w:t>
      </w:r>
      <w:r>
        <w:rPr>
          <w:rFonts w:cs="Times New Roman" w:ascii="Times New Roman" w:hAnsi="Times New Roman"/>
          <w:vertAlign w:val="superscript"/>
        </w:rPr>
        <w:t>th</w:t>
      </w:r>
      <w:r>
        <w:rPr>
          <w:rFonts w:cs="Times New Roman" w:ascii="Times New Roman" w:hAnsi="Times New Roman"/>
        </w:rPr>
        <w:t xml:space="preserve"> the Federal District Court granted Plaintiff’s motion to remand and sent the case back to the State District Court.  </w:t>
      </w:r>
    </w:p>
    <w:p>
      <w:pPr>
        <w:pStyle w:val="Normal"/>
        <w:widowControl/>
        <w:numPr>
          <w:ilvl w:val="0"/>
          <w:numId w:val="16"/>
        </w:numPr>
        <w:jc w:val="both"/>
        <w:rPr>
          <w:rFonts w:ascii="Times New Roman" w:hAnsi="Times New Roman" w:cs="Times New Roman"/>
        </w:rPr>
      </w:pPr>
      <w:r>
        <w:rPr>
          <w:rFonts w:cs="Times New Roman" w:ascii="Times New Roman" w:hAnsi="Times New Roman"/>
        </w:rPr>
        <w:t>Plaintiffs have requested remand costs of $248,000.00 be assessed against Enron.</w:t>
      </w:r>
    </w:p>
    <w:p>
      <w:pPr>
        <w:pStyle w:val="Normal"/>
        <w:widowControl/>
        <w:numPr>
          <w:ilvl w:val="0"/>
          <w:numId w:val="16"/>
        </w:numPr>
        <w:spacing w:before="0" w:after="200"/>
        <w:jc w:val="both"/>
        <w:rPr/>
      </w:pPr>
      <w:r>
        <w:rPr>
          <w:rFonts w:cs="Times New Roman" w:ascii="Times New Roman" w:hAnsi="Times New Roman"/>
        </w:rPr>
        <w:t>Plaintiffs filed an amended petition on June 8, 2001 and served a plethora of discovery on all the defendants.</w:t>
      </w:r>
    </w:p>
    <w:p>
      <w:pPr>
        <w:pStyle w:val="Heading1"/>
        <w:widowControl/>
        <w:tabs>
          <w:tab w:val="clear" w:pos="720"/>
          <w:tab w:val="left" w:pos="5106" w:leader="none"/>
          <w:tab w:val="left" w:pos="7254" w:leader="none"/>
        </w:tabs>
        <w:ind w:start="0" w:end="0"/>
        <w:rPr>
          <w:i/>
          <w:i/>
          <w:iCs/>
          <w:sz w:val="20"/>
        </w:rPr>
      </w:pPr>
      <w:r>
        <w:rPr>
          <w:i/>
          <w:iCs/>
          <w:sz w:val="20"/>
        </w:rPr>
        <w:t>Wright v. Enron Corporation</w:t>
      </w:r>
    </w:p>
    <w:p>
      <w:pPr>
        <w:pStyle w:val="BodyText"/>
        <w:keepNext w:val="true"/>
        <w:widowControl/>
        <w:spacing w:before="0" w:after="200"/>
        <w:rPr/>
      </w:pPr>
      <w:r>
        <w:rPr/>
        <w:t>(Gibbs &amp; Bruns/Vinson &amp; Elkins)</w:t>
      </w:r>
    </w:p>
    <w:p>
      <w:pPr>
        <w:pStyle w:val="Normal"/>
        <w:widowControl/>
        <w:numPr>
          <w:ilvl w:val="0"/>
          <w:numId w:val="15"/>
        </w:numPr>
        <w:jc w:val="both"/>
        <w:rPr/>
      </w:pPr>
      <w:r>
        <w:rPr/>
        <w:t>Qui tam case alleging that all marketing affiliates, including ECT, were created to defraud the federal government of royalty obligations.</w:t>
      </w:r>
    </w:p>
    <w:p>
      <w:pPr>
        <w:pStyle w:val="Normal"/>
        <w:widowControl/>
        <w:numPr>
          <w:ilvl w:val="0"/>
          <w:numId w:val="15"/>
        </w:numPr>
        <w:jc w:val="both"/>
        <w:rPr/>
      </w:pPr>
      <w:r>
        <w:rPr/>
        <w:t xml:space="preserve">This case has been moved to the same judge presiding in </w:t>
      </w:r>
      <w:r>
        <w:rPr>
          <w:u w:val="single"/>
        </w:rPr>
        <w:t>Grynberg</w:t>
      </w:r>
      <w:r>
        <w:rPr/>
        <w:t xml:space="preserve"> case in Wyoming.</w:t>
      </w:r>
    </w:p>
    <w:p>
      <w:pPr>
        <w:pStyle w:val="Normal"/>
        <w:widowControl/>
        <w:numPr>
          <w:ilvl w:val="0"/>
          <w:numId w:val="15"/>
        </w:numPr>
        <w:spacing w:before="0" w:after="200"/>
        <w:jc w:val="both"/>
        <w:rPr/>
      </w:pPr>
      <w:r>
        <w:rPr/>
        <w:t>The Department of Justice has not decided whether to intervene in case against Enron.  The DOJ has intervened as to other defendants.</w:t>
      </w:r>
    </w:p>
    <w:sectPr>
      <w:headerReference w:type="default" r:id="rId2"/>
      <w:headerReference w:type="first" r:id="rId3"/>
      <w:footerReference w:type="default" r:id="rId4"/>
      <w:footerReference w:type="first" r:id="rId5"/>
      <w:type w:val="nextPage"/>
      <w:pgSz w:w="12240" w:h="15840"/>
      <w:pgMar w:left="720" w:right="720" w:gutter="0" w:header="288" w:top="576" w:footer="432"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Arial Rounded MT Bold">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enter" w:pos="4770" w:leader="none"/>
        <w:tab w:val="right" w:pos="8640" w:leader="none"/>
      </w:tabs>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/mnt/main-storage/datasets/enron-docs/doc/3.236481.LBXYZ1W4GMVHXPHDPBBMKSKECEPBSW0QA.1.doc</w:t>
    </w:r>
    <w:r>
      <w:rPr>
        <w:rStyle w:val="PageNumber"/>
        <w:sz w:val="16"/>
      </w:rPr>
      <w:fldChar w:fldCharType="end"/>
    </w:r>
    <w:r>
      <mc:AlternateContent>
        <mc:Choice Requires="wps">
          <w:drawing>
            <wp:anchor behindDoc="0" distT="0" distB="0" distL="0" distR="0" simplePos="0" locked="0" layoutInCell="0" allowOverlap="1" relativeHeight="8">
              <wp:simplePos x="0" y="0"/>
              <wp:positionH relativeFrom="page">
                <wp:posOffset>3823970</wp:posOffset>
              </wp:positionH>
              <wp:positionV relativeFrom="paragraph">
                <wp:posOffset>22225</wp:posOffset>
              </wp:positionV>
              <wp:extent cx="50800" cy="113030"/>
              <wp:effectExtent l="0" t="0" r="0" b="0"/>
              <wp:wrapSquare wrapText="bothSides"/>
              <wp:docPr id="1" name="Frame1"/>
              <a:graphic xmlns:a="http://schemas.openxmlformats.org/drawingml/2006/main">
                <a:graphicData uri="http://schemas.microsoft.com/office/word/2010/wordprocessingShape">
                  <wps:wsp>
                    <wps:cNvSpPr txBox="1"/>
                    <wps:spPr>
                      <a:xfrm>
                        <a:off x="0" y="0"/>
                        <a:ext cx="50800" cy="113030"/>
                      </a:xfrm>
                      <a:prstGeom prst="rect"/>
                      <a:solidFill>
                        <a:srgbClr val="FFFFFF">
                          <a:alpha val="0"/>
                        </a:srgbClr>
                      </a:solidFill>
                    </wps:spPr>
                    <wps:txbx>
                      <w:txbxContent>
                        <w:p>
                          <w:pPr>
                            <w:pStyle w:val="Footer"/>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8</w:t>
                          </w:r>
                          <w:r>
                            <w:rPr>
                              <w:rStyle w:val="PageNumber"/>
                              <w:sz w:val="16"/>
                            </w:rPr>
                            <w:fldChar w:fldCharType="end"/>
                          </w:r>
                        </w:p>
                      </w:txbxContent>
                    </wps:txbx>
                    <wps:bodyPr anchor="t" lIns="0" tIns="0" rIns="0" bIns="0">
                      <a:noAutofit/>
                    </wps:bodyPr>
                  </wps:wsp>
                </a:graphicData>
              </a:graphic>
            </wp:anchor>
          </w:drawing>
        </mc:Choice>
        <mc:Fallback>
          <w:pict>
            <v:rect fillcolor="#FFFFFF" style="position:absolute;rotation:-0;width:4pt;height:8.9pt;mso-wrap-distance-left:0pt;mso-wrap-distance-right:0pt;mso-wrap-distance-top:0pt;mso-wrap-distance-bottom:0pt;margin-top:1.75pt;mso-position-vertical-relative:text;margin-left:301.1pt;mso-position-horizontal-relative:page">
              <v:fill opacity="0f"/>
              <v:textbox inset="0in,0in,0in,0in">
                <w:txbxContent>
                  <w:p>
                    <w:pPr>
                      <w:pStyle w:val="Footer"/>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8</w:t>
                    </w:r>
                    <w:r>
                      <w:rPr>
                        <w:rStyle w:val="PageNumber"/>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/mnt/main-storage/datasets/enron-docs/doc/3.236481.LBXYZ1W4GMVHXPHDPBBMKSKECEPBSW0QA.1.doc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b/>
        <w:i/>
        <w:i/>
      </w:rPr>
    </w:pPr>
    <w:r>
      <w:rPr>
        <w:b/>
        <w:i/>
      </w:rPr>
      <w:t>PRIVILEGED AND CONFIDENTIAL</w:t>
    </w:r>
  </w:p>
  <w:p>
    <w:pPr>
      <w:pStyle w:val="Header"/>
      <w:widowControl/>
      <w:jc w:val="end"/>
      <w:rPr>
        <w:b/>
        <w:i/>
        <w:i/>
      </w:rPr>
    </w:pPr>
    <w:r>
      <w:rPr>
        <w:b/>
        <w:i/>
      </w:rPr>
    </w:r>
  </w:p>
  <w:p>
    <w:pPr>
      <w:pStyle w:val="Header"/>
      <w:widowControl/>
      <w:jc w:val="end"/>
      <w:rPr>
        <w:b/>
        <w:i/>
        <w:i/>
      </w:rPr>
    </w:pPr>
    <w:r>
      <w:rPr>
        <w:b/>
        <w:i/>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i/>
        <w:i/>
      </w:rPr>
    </w:pPr>
    <w:r>
      <w:rPr>
        <w:b/>
        <w:bCs/>
        <w:i/>
      </w:rPr>
      <w:t>PRIVILEGED AND CONFIDENTIAL</w:t>
    </w:r>
  </w:p>
  <w:p>
    <w:pPr>
      <w:pStyle w:val="Header"/>
      <w:jc w:val="end"/>
      <w:rPr>
        <w:b/>
        <w:bCs/>
        <w:i/>
        <w:i/>
      </w:rPr>
    </w:pPr>
    <w:r>
      <w:rPr>
        <w:b/>
        <w:bCs/>
        <w:i/>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lvl>
  </w:abstractNum>
  <w:abstractNum w:abstractNumId="3">
    <w:lvl w:ilvl="0">
      <w:start w:val="1"/>
      <w:numFmt w:val="decimal"/>
      <w:lvlText w:val="%1."/>
      <w:lvlJc w:val="start"/>
      <w:pPr>
        <w:tabs>
          <w:tab w:val="num" w:pos="1080"/>
        </w:tabs>
        <w:ind w:start="1080" w:hanging="360"/>
      </w:pPr>
      <w:rPr/>
    </w:lvl>
  </w:abstractNum>
  <w:abstractNum w:abstractNumId="4">
    <w:lvl w:ilvl="0">
      <w:start w:val="1"/>
      <w:numFmt w:val="decimal"/>
      <w:lvlText w:val="%1."/>
      <w:lvlJc w:val="start"/>
      <w:pPr>
        <w:tabs>
          <w:tab w:val="num" w:pos="720"/>
        </w:tabs>
        <w:ind w:start="720" w:hanging="360"/>
      </w:pPr>
    </w:lvl>
  </w:abstractNum>
  <w:abstractNum w:abstractNumId="5">
    <w:lvl w:ilvl="0">
      <w:start w:val="1"/>
      <w:numFmt w:val="decimal"/>
      <w:lvlText w:val="%1."/>
      <w:lvlJc w:val="start"/>
      <w:pPr>
        <w:tabs>
          <w:tab w:val="num" w:pos="360"/>
        </w:tabs>
        <w:ind w:start="360" w:hanging="360"/>
      </w:pPr>
    </w:lvl>
  </w:abstractNum>
  <w:abstractNum w:abstractNumId="6">
    <w:lvl w:ilvl="0">
      <w:start w:val="1"/>
      <w:numFmt w:val="decimal"/>
      <w:lvlText w:val="%1."/>
      <w:lvlJc w:val="start"/>
      <w:pPr>
        <w:tabs>
          <w:tab w:val="num" w:pos="720"/>
        </w:tabs>
        <w:ind w:start="720" w:hanging="360"/>
      </w:pPr>
      <w:rPr/>
    </w:lvl>
  </w:abstractNum>
  <w:abstractNum w:abstractNumId="7">
    <w:lvl w:ilvl="0">
      <w:start w:val="5"/>
      <w:numFmt w:val="bullet"/>
      <w:lvlText w:val="-"/>
      <w:lvlJc w:val="start"/>
      <w:pPr>
        <w:tabs>
          <w:tab w:val="num" w:pos="1440"/>
        </w:tabs>
        <w:ind w:start="1440" w:hanging="360"/>
      </w:pPr>
      <w:rPr>
        <w:rFonts w:ascii="Liberation Serif" w:hAnsi="Liberation Serif" w:cs="Liberation Serif"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lvl w:ilvl="1">
      <w:start w:val="0"/>
      <w:numFmt w:val="bullet"/>
      <w:lvlText w:val="-"/>
      <w:lvlJc w:val="start"/>
      <w:pPr>
        <w:tabs>
          <w:tab w:val="num" w:pos="1440"/>
        </w:tabs>
        <w:ind w:start="1440" w:hanging="360"/>
      </w:pPr>
      <w:rPr>
        <w:rFonts w:ascii="Times New Roman" w:hAnsi="Times New Roman" w:cs="Times New Roman" w:hint="default"/>
        <w:i/>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9">
    <w:lvl w:ilvl="0">
      <w:start w:val="1"/>
      <w:numFmt w:val="bullet"/>
      <w:lvlText w:val=""/>
      <w:lvlJc w:val="start"/>
      <w:pPr>
        <w:tabs>
          <w:tab w:val="num" w:pos="1440"/>
        </w:tabs>
        <w:ind w:start="1440" w:hanging="360"/>
      </w:pPr>
      <w:rPr>
        <w:rFonts w:ascii="Symbol" w:hAnsi="Symbol" w:cs="Symbol" w:hint="default"/>
      </w:rPr>
    </w:lvl>
  </w:abstractNum>
  <w:abstractNum w:abstractNumId="10">
    <w:lvl w:ilvl="0">
      <w:start w:val="1"/>
      <w:numFmt w:val="bullet"/>
      <w:lvlText w:val=""/>
      <w:lvlJc w:val="start"/>
      <w:pPr>
        <w:tabs>
          <w:tab w:val="num" w:pos="900"/>
        </w:tabs>
        <w:ind w:start="900" w:hanging="360"/>
      </w:pPr>
      <w:rPr>
        <w:rFonts w:ascii="Symbol" w:hAnsi="Symbol" w:cs="Symbol" w:hint="default"/>
      </w:rPr>
    </w:lvl>
  </w:abstractNum>
  <w:abstractNum w:abstractNumId="11">
    <w:lvl w:ilvl="0">
      <w:start w:val="1"/>
      <w:numFmt w:val="decimal"/>
      <w:lvlText w:val="%1."/>
      <w:lvlJc w:val="start"/>
      <w:pPr>
        <w:tabs>
          <w:tab w:val="num" w:pos="720"/>
        </w:tabs>
        <w:ind w:start="720" w:hanging="360"/>
      </w:pPr>
      <w:rPr/>
    </w:lvl>
    <w:lvl w:ilvl="1">
      <w:start w:val="0"/>
      <w:numFmt w:val="bullet"/>
      <w:lvlText w:val="-"/>
      <w:lvlJc w:val="start"/>
      <w:pPr>
        <w:tabs>
          <w:tab w:val="num" w:pos="1440"/>
        </w:tabs>
        <w:ind w:start="1440" w:hanging="360"/>
      </w:pPr>
      <w:rPr>
        <w:rFonts w:ascii="Times New Roman" w:hAnsi="Times New Roman" w:cs="Times New Roman" w:hint="default"/>
      </w:rPr>
    </w:lvl>
    <w:lvl w:ilvl="2">
      <w:start w:val="1"/>
      <w:numFmt w:val="decimal"/>
      <w:lvlText w:val="%3."/>
      <w:lvlJc w:val="start"/>
      <w:pPr>
        <w:tabs>
          <w:tab w:val="num" w:pos="2340"/>
        </w:tabs>
        <w:ind w:start="2340" w:hanging="360"/>
      </w:pPr>
      <w:r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2">
    <w:lvl w:ilvl="0">
      <w:start w:val="1"/>
      <w:numFmt w:val="bullet"/>
      <w:lvlText w:val="-"/>
      <w:lvlJc w:val="start"/>
      <w:pPr>
        <w:tabs>
          <w:tab w:val="num" w:pos="1440"/>
        </w:tabs>
        <w:ind w:start="1440" w:hanging="360"/>
      </w:pPr>
      <w:rPr>
        <w:rFonts w:ascii="Times New Roman" w:hAnsi="Times New Roman" w:cs="Times New Roman" w:hint="default"/>
      </w:rPr>
    </w:lvl>
  </w:abstractNum>
  <w:abstractNum w:abstractNumId="13">
    <w:lvl w:ilvl="0">
      <w:start w:val="1"/>
      <w:numFmt w:val="bullet"/>
      <w:lvlText w:val=""/>
      <w:lvlJc w:val="start"/>
      <w:pPr>
        <w:tabs>
          <w:tab w:val="num" w:pos="360"/>
        </w:tabs>
        <w:ind w:start="1800" w:hanging="360"/>
      </w:pPr>
      <w:rPr>
        <w:rFonts w:ascii="Symbol" w:hAnsi="Symbol" w:cs="Symbol" w:hint="default"/>
      </w:rPr>
    </w:lvl>
  </w:abstractNum>
  <w:abstractNum w:abstractNumId="14">
    <w:lvl w:ilvl="0">
      <w:start w:val="1"/>
      <w:numFmt w:val="decimal"/>
      <w:lvlText w:val="%1."/>
      <w:lvlJc w:val="start"/>
      <w:pPr>
        <w:tabs>
          <w:tab w:val="num" w:pos="360"/>
        </w:tabs>
        <w:ind w:start="360" w:hanging="360"/>
      </w:pPr>
      <w:rPr/>
    </w:lvl>
  </w:abstractNum>
  <w:abstractNum w:abstractNumId="15">
    <w:lvl w:ilvl="0">
      <w:start w:val="1"/>
      <w:numFmt w:val="bullet"/>
      <w:lvlText w:val=""/>
      <w:lvlJc w:val="start"/>
      <w:pPr>
        <w:tabs>
          <w:tab w:val="num" w:pos="360"/>
        </w:tabs>
        <w:ind w:start="1080" w:hanging="360"/>
      </w:pPr>
      <w:rPr>
        <w:rFonts w:ascii="Symbol" w:hAnsi="Symbol" w:cs="Symbol" w:hint="default"/>
      </w:rPr>
    </w:lvl>
  </w:abstractNum>
  <w:abstractNum w:abstractNumId="16">
    <w:lvl w:ilvl="0">
      <w:numFmt w:val="bullet"/>
      <w:lvlText w:val=""/>
      <w:lvlJc w:val="start"/>
      <w:pPr>
        <w:tabs>
          <w:tab w:val="num" w:pos="360"/>
        </w:tabs>
        <w:ind w:start="1080" w:hanging="360"/>
      </w:pPr>
      <w:rPr>
        <w:rFonts w:ascii="Symbol" w:hAnsi="Symbol" w:cs="Symbol" w:hint="default"/>
      </w:rPr>
    </w:lvl>
  </w:abstractNum>
  <w:abstractNum w:abstractNumId="17">
    <w:lvl w:ilvl="0">
      <w:numFmt w:val="bullet"/>
      <w:lvlText w:val=""/>
      <w:lvlJc w:val="start"/>
      <w:pPr>
        <w:tabs>
          <w:tab w:val="num" w:pos="360"/>
        </w:tabs>
        <w:ind w:start="1080" w:hanging="360"/>
      </w:pPr>
      <w:rPr>
        <w:rFonts w:ascii="Symbol" w:hAnsi="Symbol" w:cs="Symbol" w:hint="default"/>
      </w:rPr>
    </w:lvl>
  </w:abstractNum>
  <w:abstractNum w:abstractNumId="18">
    <w:lvl w:ilvl="0">
      <w:numFmt w:val="bullet"/>
      <w:lvlText w:val=""/>
      <w:lvlJc w:val="start"/>
      <w:pPr>
        <w:tabs>
          <w:tab w:val="num" w:pos="360"/>
        </w:tabs>
        <w:ind w:start="1080" w:hanging="360"/>
      </w:pPr>
      <w:rPr>
        <w:rFonts w:ascii="Symbol" w:hAnsi="Symbol" w:cs="Symbol" w:hint="default"/>
      </w:rPr>
    </w:lvl>
  </w:abstractNum>
  <w:abstractNum w:abstractNumId="19">
    <w:lvl w:ilvl="0">
      <w:numFmt w:val="bullet"/>
      <w:lvlText w:val=""/>
      <w:lvlJc w:val="start"/>
      <w:pPr>
        <w:tabs>
          <w:tab w:val="num" w:pos="360"/>
        </w:tabs>
        <w:ind w:start="108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ms Rmn;Times New Roman" w:hAnsi="Tms Rmn;Times New Roman" w:eastAsia="Times New Roman" w:cs="Tms Rmn;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left" w:pos="720" w:leader="none"/>
        <w:tab w:val="left" w:pos="5106" w:leader="none"/>
        <w:tab w:val="left" w:pos="7254" w:leader="none"/>
      </w:tabs>
      <w:ind w:hanging="0" w:start="720" w:end="0"/>
      <w:outlineLvl w:val="0"/>
    </w:pPr>
    <w:rPr>
      <w:rFonts w:ascii="Times New Roman" w:hAnsi="Times New Roman" w:cs="Times New Roman"/>
      <w:b/>
      <w:sz w:val="22"/>
      <w:u w:val="single"/>
    </w:rPr>
  </w:style>
  <w:style w:type="paragraph" w:styleId="Heading2">
    <w:name w:val="heading 2"/>
    <w:basedOn w:val="Normal"/>
    <w:next w:val="Normal"/>
    <w:qFormat/>
    <w:pPr>
      <w:keepNext w:val="true"/>
      <w:numPr>
        <w:ilvl w:val="1"/>
        <w:numId w:val="1"/>
      </w:numPr>
      <w:tabs>
        <w:tab w:val="clear" w:pos="720"/>
        <w:tab w:val="left" w:pos="5106" w:leader="none"/>
        <w:tab w:val="left" w:pos="7254" w:leader="none"/>
      </w:tabs>
      <w:ind w:hanging="0" w:start="720" w:end="0"/>
      <w:outlineLvl w:val="1"/>
    </w:pPr>
    <w:rPr>
      <w:rFonts w:ascii="Times New Roman" w:hAnsi="Times New Roman" w:cs="Times New Roman"/>
      <w:sz w:val="22"/>
      <w:u w:val="single"/>
    </w:rPr>
  </w:style>
  <w:style w:type="paragraph" w:styleId="Heading3">
    <w:name w:val="heading 3"/>
    <w:basedOn w:val="Normal"/>
    <w:next w:val="Normal"/>
    <w:qFormat/>
    <w:pPr>
      <w:keepNext w:val="true"/>
      <w:widowControl/>
      <w:numPr>
        <w:ilvl w:val="2"/>
        <w:numId w:val="1"/>
      </w:numPr>
      <w:tabs>
        <w:tab w:val="clear" w:pos="720"/>
        <w:tab w:val="left" w:pos="1344" w:leader="none"/>
        <w:tab w:val="left" w:pos="5106" w:leader="none"/>
        <w:tab w:val="left" w:pos="7254" w:leader="none"/>
      </w:tabs>
      <w:jc w:val="center"/>
      <w:outlineLvl w:val="2"/>
    </w:pPr>
    <w:rPr>
      <w:rFonts w:ascii="Times New Roman" w:hAnsi="Times New Roman" w:cs="Times New Roman"/>
      <w:b/>
      <w:bCs/>
      <w:sz w:val="22"/>
    </w:rPr>
  </w:style>
  <w:style w:type="paragraph" w:styleId="Heading4">
    <w:name w:val="heading 4"/>
    <w:basedOn w:val="Normal"/>
    <w:next w:val="Normal"/>
    <w:qFormat/>
    <w:pPr>
      <w:keepNext w:val="true"/>
      <w:numPr>
        <w:ilvl w:val="3"/>
        <w:numId w:val="1"/>
      </w:numPr>
      <w:jc w:val="both"/>
      <w:outlineLvl w:val="3"/>
    </w:pPr>
    <w:rPr>
      <w:i/>
      <w:u w:val="single"/>
    </w:rPr>
  </w:style>
  <w:style w:type="paragraph" w:styleId="Heading5">
    <w:name w:val="heading 5"/>
    <w:basedOn w:val="Normal"/>
    <w:next w:val="Normal"/>
    <w:qFormat/>
    <w:pPr>
      <w:keepNext w:val="true"/>
      <w:widowControl/>
      <w:numPr>
        <w:ilvl w:val="4"/>
        <w:numId w:val="1"/>
      </w:numPr>
      <w:tabs>
        <w:tab w:val="left" w:pos="720" w:leader="none"/>
        <w:tab w:val="left" w:pos="5106" w:leader="none"/>
        <w:tab w:val="left" w:pos="7254" w:leader="none"/>
      </w:tabs>
      <w:spacing w:before="60" w:after="0"/>
      <w:ind w:hanging="0" w:start="720" w:end="0"/>
      <w:outlineLvl w:val="4"/>
    </w:pPr>
    <w:rPr>
      <w:rFonts w:ascii="Times New Roman" w:hAnsi="Times New Roman" w:cs="Times New Roman"/>
      <w:b/>
      <w:bCs/>
      <w:sz w:val="22"/>
      <w:u w:val="single"/>
    </w:rPr>
  </w:style>
  <w:style w:type="paragraph" w:styleId="Heading6">
    <w:name w:val="heading 6"/>
    <w:basedOn w:val="Normal"/>
    <w:next w:val="Normal"/>
    <w:qFormat/>
    <w:pPr>
      <w:keepNext w:val="true"/>
      <w:widowControl/>
      <w:numPr>
        <w:ilvl w:val="5"/>
        <w:numId w:val="1"/>
      </w:numPr>
      <w:tabs>
        <w:tab w:val="clear" w:pos="720"/>
        <w:tab w:val="left" w:pos="540" w:leader="none"/>
      </w:tabs>
      <w:outlineLvl w:val="5"/>
    </w:pPr>
    <w:rPr>
      <w:rFonts w:ascii="Arial" w:hAnsi="Arial" w:cs="Arial"/>
      <w:i/>
      <w:lang w:val="en-GB"/>
    </w:rPr>
  </w:style>
  <w:style w:type="paragraph" w:styleId="Heading7">
    <w:name w:val="heading 7"/>
    <w:basedOn w:val="Normal"/>
    <w:next w:val="Normal"/>
    <w:qFormat/>
    <w:pPr>
      <w:keepNext w:val="true"/>
      <w:numPr>
        <w:ilvl w:val="6"/>
        <w:numId w:val="1"/>
      </w:numPr>
      <w:jc w:val="both"/>
      <w:outlineLvl w:val="6"/>
    </w:pPr>
    <w:rPr>
      <w:b/>
      <w:i/>
      <w:u w:val="single"/>
    </w:rPr>
  </w:style>
  <w:style w:type="paragraph" w:styleId="Heading9">
    <w:name w:val="heading 9"/>
    <w:basedOn w:val="Normal"/>
    <w:next w:val="Normal"/>
    <w:qFormat/>
    <w:pPr>
      <w:keepNext w:val="true"/>
      <w:widowControl/>
      <w:numPr>
        <w:ilvl w:val="8"/>
        <w:numId w:val="1"/>
      </w:numPr>
      <w:tabs>
        <w:tab w:val="clear" w:pos="720"/>
        <w:tab w:val="left" w:pos="540" w:leader="none"/>
      </w:tabs>
      <w:jc w:val="both"/>
      <w:outlineLvl w:val="8"/>
    </w:pPr>
    <w:rPr>
      <w:rFonts w:ascii="Arial" w:hAnsi="Arial" w:cs="Arial"/>
      <w:b/>
      <w:i/>
      <w:iCs/>
      <w:sz w:val="23"/>
      <w:u w:val="single"/>
      <w:lang w:val="en-GB"/>
    </w:rPr>
  </w:style>
  <w:style w:type="character" w:styleId="WW8Num5z0">
    <w:name w:val="WW8Num5z0"/>
    <w:qFormat/>
    <w:rPr/>
  </w:style>
  <w:style w:type="character" w:styleId="WW8Num7z0">
    <w:name w:val="WW8Num7z0"/>
    <w:qFormat/>
    <w:rPr/>
  </w:style>
  <w:style w:type="character" w:styleId="WW8Num8z0">
    <w:name w:val="WW8Num8z0"/>
    <w:qFormat/>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style>
  <w:style w:type="character" w:styleId="WW8Num12z0">
    <w:name w:val="WW8Num12z0"/>
    <w:qFormat/>
    <w:rPr/>
  </w:style>
  <w:style w:type="character" w:styleId="WW8Num18z0">
    <w:name w:val="WW8Num18z0"/>
    <w:qFormat/>
    <w:rPr>
      <w:rFonts w:ascii="Symbol" w:hAnsi="Symbol" w:cs="Symbol"/>
    </w:rPr>
  </w:style>
  <w:style w:type="character" w:styleId="WW8Num19z0">
    <w:name w:val="WW8Num19z0"/>
    <w:qFormat/>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style>
  <w:style w:type="character" w:styleId="WW8Num24z0">
    <w:name w:val="WW8Num24z0"/>
    <w:qFormat/>
    <w:rPr/>
  </w:style>
  <w:style w:type="character" w:styleId="WW8Num25z0">
    <w:name w:val="WW8Num25z0"/>
    <w:qFormat/>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32z0">
    <w:name w:val="WW8Num32z0"/>
    <w:qFormat/>
    <w:rPr>
      <w:rFonts w:ascii="Symbol" w:hAnsi="Symbol" w:cs="Symbol"/>
    </w:rPr>
  </w:style>
  <w:style w:type="character" w:styleId="WW8Num35z0">
    <w:name w:val="WW8Num35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2z0">
    <w:name w:val="WW8Num42z0"/>
    <w:qFormat/>
    <w:rPr/>
  </w:style>
  <w:style w:type="character" w:styleId="WW8Num43z0">
    <w:name w:val="WW8Num43z0"/>
    <w:qFormat/>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8z0">
    <w:name w:val="WW8Num48z0"/>
    <w:qFormat/>
    <w:rPr/>
  </w:style>
  <w:style w:type="character" w:styleId="WW8Num49z0">
    <w:name w:val="WW8Num49z0"/>
    <w:qFormat/>
    <w:rPr>
      <w:rFonts w:ascii="Symbol" w:hAnsi="Symbol" w:cs="Symbol"/>
    </w:rPr>
  </w:style>
  <w:style w:type="character" w:styleId="WW8Num49z1">
    <w:name w:val="WW8Num49z1"/>
    <w:qFormat/>
    <w:rPr>
      <w:rFonts w:ascii="Times New Roman" w:hAnsi="Times New Roman" w:eastAsia="Times New Roman" w:cs="Times New Roman"/>
      <w:i/>
    </w:rPr>
  </w:style>
  <w:style w:type="character" w:styleId="WW8Num49z2">
    <w:name w:val="WW8Num49z2"/>
    <w:qFormat/>
    <w:rPr>
      <w:rFonts w:ascii="Wingdings" w:hAnsi="Wingdings" w:cs="Wingdings"/>
    </w:rPr>
  </w:style>
  <w:style w:type="character" w:styleId="WW8Num49z4">
    <w:name w:val="WW8Num49z4"/>
    <w:qFormat/>
    <w:rPr>
      <w:rFonts w:ascii="Courier New" w:hAnsi="Courier New" w:cs="Courier New"/>
    </w:rPr>
  </w:style>
  <w:style w:type="character" w:styleId="WW8Num50z0">
    <w:name w:val="WW8Num50z0"/>
    <w:qFormat/>
    <w:rPr/>
  </w:style>
  <w:style w:type="character" w:styleId="WW8Num51z0">
    <w:name w:val="WW8Num51z0"/>
    <w:qFormat/>
    <w:rPr/>
  </w:style>
  <w:style w:type="character" w:styleId="WW8Num52z0">
    <w:name w:val="WW8Num52z0"/>
    <w:qFormat/>
    <w:rPr>
      <w:rFonts w:ascii="Symbol" w:hAnsi="Symbol" w:cs="Symbol"/>
    </w:rPr>
  </w:style>
  <w:style w:type="character" w:styleId="WW8Num54z0">
    <w:name w:val="WW8Num54z0"/>
    <w:qFormat/>
    <w:rPr/>
  </w:style>
  <w:style w:type="character" w:styleId="WW8Num55z0">
    <w:name w:val="WW8Num55z0"/>
    <w:qFormat/>
    <w:rPr/>
  </w:style>
  <w:style w:type="character" w:styleId="WW8Num61z0">
    <w:name w:val="WW8Num61z0"/>
    <w:qFormat/>
    <w:rPr/>
  </w:style>
  <w:style w:type="character" w:styleId="WW8Num66z0">
    <w:name w:val="WW8Num66z0"/>
    <w:qFormat/>
    <w:rPr>
      <w:rFonts w:ascii="Tms Rmn;Times New Roman" w:hAnsi="Tms Rmn;Times New Roman" w:cs="Tms Rmn;Times New Roman"/>
    </w:rPr>
  </w:style>
  <w:style w:type="character" w:styleId="WW8Num67z0">
    <w:name w:val="WW8Num67z0"/>
    <w:qFormat/>
    <w:rPr>
      <w:rFonts w:ascii="Symbol" w:hAnsi="Symbol" w:cs="Symbol"/>
    </w:rPr>
  </w:style>
  <w:style w:type="character" w:styleId="WW8Num67z1">
    <w:name w:val="WW8Num67z1"/>
    <w:qFormat/>
    <w:rPr>
      <w:rFonts w:ascii="Courier New" w:hAnsi="Courier New" w:cs="Courier New"/>
    </w:rPr>
  </w:style>
  <w:style w:type="character" w:styleId="WW8Num67z2">
    <w:name w:val="WW8Num67z2"/>
    <w:qFormat/>
    <w:rPr>
      <w:rFonts w:ascii="Wingdings" w:hAnsi="Wingdings" w:cs="Wingdings"/>
    </w:rPr>
  </w:style>
  <w:style w:type="character" w:styleId="WW8Num70z0">
    <w:name w:val="WW8Num70z0"/>
    <w:qFormat/>
    <w:rPr/>
  </w:style>
  <w:style w:type="character" w:styleId="WW8Num71z0">
    <w:name w:val="WW8Num71z0"/>
    <w:qFormat/>
    <w:rPr/>
  </w:style>
  <w:style w:type="character" w:styleId="WW8Num74z0">
    <w:name w:val="WW8Num74z0"/>
    <w:qFormat/>
    <w:rPr>
      <w:rFonts w:ascii="Symbol" w:hAnsi="Symbol" w:cs="Symbol"/>
    </w:rPr>
  </w:style>
  <w:style w:type="character" w:styleId="WW8Num74z1">
    <w:name w:val="WW8Num74z1"/>
    <w:qFormat/>
    <w:rPr>
      <w:rFonts w:ascii="Courier New" w:hAnsi="Courier New" w:cs="Courier New"/>
    </w:rPr>
  </w:style>
  <w:style w:type="character" w:styleId="WW8Num74z2">
    <w:name w:val="WW8Num74z2"/>
    <w:qFormat/>
    <w:rPr>
      <w:rFonts w:ascii="Wingdings" w:hAnsi="Wingdings" w:cs="Wingdings"/>
    </w:rPr>
  </w:style>
  <w:style w:type="character" w:styleId="WW8Num76z0">
    <w:name w:val="WW8Num76z0"/>
    <w:qFormat/>
    <w:rPr/>
  </w:style>
  <w:style w:type="character" w:styleId="WW8Num77z0">
    <w:name w:val="WW8Num77z0"/>
    <w:qFormat/>
    <w:rPr>
      <w:rFonts w:ascii="Wingdings" w:hAnsi="Wingdings" w:cs="Wingdings"/>
      <w:sz w:val="20"/>
    </w:rPr>
  </w:style>
  <w:style w:type="character" w:styleId="WW8Num80z0">
    <w:name w:val="WW8Num80z0"/>
    <w:qFormat/>
    <w:rPr/>
  </w:style>
  <w:style w:type="character" w:styleId="WW8Num81z0">
    <w:name w:val="WW8Num81z0"/>
    <w:qFormat/>
    <w:rPr/>
  </w:style>
  <w:style w:type="character" w:styleId="WW8Num82z0">
    <w:name w:val="WW8Num82z0"/>
    <w:qFormat/>
    <w:rPr>
      <w:rFonts w:ascii="Symbol" w:hAnsi="Symbol" w:cs="Symbol"/>
    </w:rPr>
  </w:style>
  <w:style w:type="character" w:styleId="WW8Num82z1">
    <w:name w:val="WW8Num82z1"/>
    <w:qFormat/>
    <w:rPr>
      <w:rFonts w:ascii="Courier New" w:hAnsi="Courier New" w:cs="Courier New"/>
    </w:rPr>
  </w:style>
  <w:style w:type="character" w:styleId="WW8Num82z2">
    <w:name w:val="WW8Num82z2"/>
    <w:qFormat/>
    <w:rPr>
      <w:rFonts w:ascii="Wingdings" w:hAnsi="Wingdings" w:cs="Wingdings"/>
    </w:rPr>
  </w:style>
  <w:style w:type="character" w:styleId="WW8Num83z0">
    <w:name w:val="WW8Num83z0"/>
    <w:qFormat/>
    <w:rPr/>
  </w:style>
  <w:style w:type="character" w:styleId="WW8Num84z0">
    <w:name w:val="WW8Num84z0"/>
    <w:qFormat/>
    <w:rPr/>
  </w:style>
  <w:style w:type="character" w:styleId="WW8Num85z0">
    <w:name w:val="WW8Num85z0"/>
    <w:qFormat/>
    <w:rPr>
      <w:rFonts w:ascii="Symbol" w:hAnsi="Symbol" w:cs="Symbol"/>
    </w:rPr>
  </w:style>
  <w:style w:type="character" w:styleId="WW8Num85z1">
    <w:name w:val="WW8Num85z1"/>
    <w:qFormat/>
    <w:rPr>
      <w:rFonts w:ascii="Courier New" w:hAnsi="Courier New" w:cs="Courier New"/>
    </w:rPr>
  </w:style>
  <w:style w:type="character" w:styleId="WW8Num85z2">
    <w:name w:val="WW8Num85z2"/>
    <w:qFormat/>
    <w:rPr>
      <w:rFonts w:ascii="Wingdings" w:hAnsi="Wingdings" w:cs="Wingdings"/>
    </w:rPr>
  </w:style>
  <w:style w:type="character" w:styleId="WW8Num86z0">
    <w:name w:val="WW8Num86z0"/>
    <w:qFormat/>
    <w:rPr/>
  </w:style>
  <w:style w:type="character" w:styleId="WW8Num89z0">
    <w:name w:val="WW8Num89z0"/>
    <w:qFormat/>
    <w:rPr>
      <w:rFonts w:ascii="Wingdings" w:hAnsi="Wingdings" w:cs="Wingdings"/>
    </w:rPr>
  </w:style>
  <w:style w:type="character" w:styleId="WW8Num91z0">
    <w:name w:val="WW8Num91z0"/>
    <w:qFormat/>
    <w:rPr/>
  </w:style>
  <w:style w:type="character" w:styleId="WW8Num91z1">
    <w:name w:val="WW8Num91z1"/>
    <w:qFormat/>
    <w:rPr>
      <w:rFonts w:ascii="Times New Roman" w:hAnsi="Times New Roman" w:eastAsia="Times New Roman" w:cs="Times New Roman"/>
    </w:rPr>
  </w:style>
  <w:style w:type="character" w:styleId="WW8Num92z1">
    <w:name w:val="WW8Num92z1"/>
    <w:qFormat/>
    <w:rPr>
      <w:rFonts w:ascii="Symbol" w:hAnsi="Symbol" w:cs="Symbol"/>
    </w:rPr>
  </w:style>
  <w:style w:type="character" w:styleId="WW8Num94z0">
    <w:name w:val="WW8Num94z0"/>
    <w:qFormat/>
    <w:rPr>
      <w:rFonts w:ascii="Times New Roman" w:hAnsi="Times New Roman" w:eastAsia="Times New Roman" w:cs="Times New Roman"/>
    </w:rPr>
  </w:style>
  <w:style w:type="character" w:styleId="WW8Num94z1">
    <w:name w:val="WW8Num94z1"/>
    <w:qFormat/>
    <w:rPr>
      <w:rFonts w:ascii="Courier New" w:hAnsi="Courier New" w:cs="Courier New"/>
    </w:rPr>
  </w:style>
  <w:style w:type="character" w:styleId="WW8Num94z2">
    <w:name w:val="WW8Num94z2"/>
    <w:qFormat/>
    <w:rPr>
      <w:rFonts w:ascii="Wingdings" w:hAnsi="Wingdings" w:cs="Wingdings"/>
    </w:rPr>
  </w:style>
  <w:style w:type="character" w:styleId="WW8Num94z3">
    <w:name w:val="WW8Num94z3"/>
    <w:qFormat/>
    <w:rPr>
      <w:rFonts w:ascii="Symbol" w:hAnsi="Symbol" w:cs="Symbol"/>
    </w:rPr>
  </w:style>
  <w:style w:type="character" w:styleId="WW8Num95z0">
    <w:name w:val="WW8Num95z0"/>
    <w:qFormat/>
    <w:rPr>
      <w:rFonts w:ascii="Symbol" w:hAnsi="Symbol" w:cs="Symbol"/>
    </w:rPr>
  </w:style>
  <w:style w:type="character" w:styleId="WW8Num95z1">
    <w:name w:val="WW8Num95z1"/>
    <w:qFormat/>
    <w:rPr>
      <w:rFonts w:ascii="Courier New" w:hAnsi="Courier New" w:cs="Courier New"/>
    </w:rPr>
  </w:style>
  <w:style w:type="character" w:styleId="WW8Num95z2">
    <w:name w:val="WW8Num95z2"/>
    <w:qFormat/>
    <w:rPr>
      <w:rFonts w:ascii="Wingdings" w:hAnsi="Wingdings" w:cs="Wingdings"/>
    </w:rPr>
  </w:style>
  <w:style w:type="character" w:styleId="WW8Num96z0">
    <w:name w:val="WW8Num96z0"/>
    <w:qFormat/>
    <w:rPr/>
  </w:style>
  <w:style w:type="character" w:styleId="WW8Num97z0">
    <w:name w:val="WW8Num97z0"/>
    <w:qFormat/>
    <w:rPr>
      <w:rFonts w:ascii="Symbol" w:hAnsi="Symbol" w:cs="Symbol"/>
    </w:rPr>
  </w:style>
  <w:style w:type="character" w:styleId="WW8Num98z0">
    <w:name w:val="WW8Num98z0"/>
    <w:qFormat/>
    <w:rPr>
      <w:rFonts w:ascii="Symbol" w:hAnsi="Symbol" w:cs="Symbol"/>
    </w:rPr>
  </w:style>
  <w:style w:type="character" w:styleId="WW8Num99z0">
    <w:name w:val="WW8Num99z0"/>
    <w:qFormat/>
    <w:rPr>
      <w:rFonts w:ascii="Wingdings" w:hAnsi="Wingdings" w:cs="Wingdings"/>
      <w:sz w:val="20"/>
    </w:rPr>
  </w:style>
  <w:style w:type="character" w:styleId="WW8Num100z0">
    <w:name w:val="WW8Num100z0"/>
    <w:qFormat/>
    <w:rPr>
      <w:rFonts w:ascii="Wingdings" w:hAnsi="Wingdings" w:cs="Wingdings"/>
      <w:sz w:val="20"/>
    </w:rPr>
  </w:style>
  <w:style w:type="character" w:styleId="WW8Num102z0">
    <w:name w:val="WW8Num102z0"/>
    <w:qFormat/>
    <w:rPr/>
  </w:style>
  <w:style w:type="character" w:styleId="WW8Num103z0">
    <w:name w:val="WW8Num103z0"/>
    <w:qFormat/>
    <w:rPr/>
  </w:style>
  <w:style w:type="character" w:styleId="WW8Num105z0">
    <w:name w:val="WW8Num105z0"/>
    <w:qFormat/>
    <w:rPr/>
  </w:style>
  <w:style w:type="character" w:styleId="WW8NumSt40z0">
    <w:name w:val="WW8NumSt40z0"/>
    <w:qFormat/>
    <w:rPr>
      <w:rFonts w:ascii="Tms Rmn;Times New Roman" w:hAnsi="Tms Rmn;Times New Roman" w:cs="Tms Rmn;Times New Roman"/>
    </w:rPr>
  </w:style>
  <w:style w:type="character" w:styleId="WW8NumSt67z0">
    <w:name w:val="WW8NumSt67z0"/>
    <w:qFormat/>
    <w:rPr>
      <w:rFonts w:ascii="Symbol" w:hAnsi="Symbol" w:cs="Symbol"/>
    </w:rPr>
  </w:style>
  <w:style w:type="character" w:styleId="WW8NumSt67z1">
    <w:name w:val="WW8NumSt67z1"/>
    <w:qFormat/>
    <w:rPr>
      <w:rFonts w:ascii="Courier New" w:hAnsi="Courier New" w:cs="Courier New"/>
    </w:rPr>
  </w:style>
  <w:style w:type="character" w:styleId="WW8NumSt67z2">
    <w:name w:val="WW8NumSt67z2"/>
    <w:qFormat/>
    <w:rPr>
      <w:rFonts w:ascii="Wingdings" w:hAnsi="Wingdings" w:cs="Wingdings"/>
    </w:rPr>
  </w:style>
  <w:style w:type="character" w:styleId="WW8NumSt81z0">
    <w:name w:val="WW8NumSt81z0"/>
    <w:qFormat/>
    <w:rPr>
      <w:rFonts w:ascii="Symbol" w:hAnsi="Symbol" w:cs="Symbol"/>
    </w:rPr>
  </w:style>
  <w:style w:type="character" w:styleId="WW8NumSt81z1">
    <w:name w:val="WW8NumSt81z1"/>
    <w:qFormat/>
    <w:rPr>
      <w:rFonts w:ascii="Courier New" w:hAnsi="Courier New" w:cs="Courier New"/>
    </w:rPr>
  </w:style>
  <w:style w:type="character" w:styleId="WW8NumSt81z2">
    <w:name w:val="WW8NumSt81z2"/>
    <w:qFormat/>
    <w:rPr>
      <w:rFonts w:ascii="Wingdings" w:hAnsi="Wingdings" w:cs="Wingdings"/>
    </w:rPr>
  </w:style>
  <w:style w:type="character" w:styleId="WW8NumSt82z0">
    <w:name w:val="WW8NumSt82z0"/>
    <w:qFormat/>
    <w:rPr>
      <w:rFonts w:ascii="Symbol" w:hAnsi="Symbol" w:cs="Symbol"/>
    </w:rPr>
  </w:style>
  <w:style w:type="character" w:styleId="WW8NumSt82z1">
    <w:name w:val="WW8NumSt82z1"/>
    <w:qFormat/>
    <w:rPr>
      <w:rFonts w:ascii="Courier New" w:hAnsi="Courier New" w:cs="Courier New"/>
    </w:rPr>
  </w:style>
  <w:style w:type="character" w:styleId="WW8NumSt82z2">
    <w:name w:val="WW8NumSt82z2"/>
    <w:qFormat/>
    <w:rPr>
      <w:rFonts w:ascii="Wingdings" w:hAnsi="Wingdings" w:cs="Wingdings"/>
    </w:rPr>
  </w:style>
  <w:style w:type="character" w:styleId="WW8NumSt84z0">
    <w:name w:val="WW8NumSt84z0"/>
    <w:qFormat/>
    <w:rPr>
      <w:rFonts w:ascii="Symbol" w:hAnsi="Symbol" w:cs="Symbol"/>
    </w:rPr>
  </w:style>
  <w:style w:type="character" w:styleId="WW8NumSt84z1">
    <w:name w:val="WW8NumSt84z1"/>
    <w:qFormat/>
    <w:rPr>
      <w:rFonts w:ascii="Courier New" w:hAnsi="Courier New" w:cs="Courier New"/>
    </w:rPr>
  </w:style>
  <w:style w:type="character" w:styleId="WW8NumSt84z2">
    <w:name w:val="WW8NumSt84z2"/>
    <w:qFormat/>
    <w:rPr>
      <w:rFonts w:ascii="Wingdings" w:hAnsi="Wingdings" w:cs="Wingdings"/>
    </w:rPr>
  </w:style>
  <w:style w:type="character" w:styleId="WW8NumSt107z0">
    <w:name w:val="WW8NumSt107z0"/>
    <w:qFormat/>
    <w:rPr>
      <w:rFonts w:ascii="Symbol" w:hAnsi="Symbol" w:cs="Symbol"/>
    </w:rPr>
  </w:style>
  <w:style w:type="character" w:styleId="WW8NumSt107z1">
    <w:name w:val="WW8NumSt107z1"/>
    <w:qFormat/>
    <w:rPr>
      <w:rFonts w:ascii="Courier New" w:hAnsi="Courier New" w:cs="Courier New"/>
    </w:rPr>
  </w:style>
  <w:style w:type="character" w:styleId="WW8NumSt107z2">
    <w:name w:val="WW8NumSt107z2"/>
    <w:qFormat/>
    <w:rPr>
      <w:rFonts w:ascii="Wingdings" w:hAnsi="Wingdings" w:cs="Wingdings"/>
    </w:rPr>
  </w:style>
  <w:style w:type="character" w:styleId="WW8NumSt108z0">
    <w:name w:val="WW8NumSt108z0"/>
    <w:qFormat/>
    <w:rPr>
      <w:rFonts w:ascii="Symbol" w:hAnsi="Symbol" w:cs="Symbol"/>
    </w:rPr>
  </w:style>
  <w:style w:type="character" w:styleId="WW8NumSt108z1">
    <w:name w:val="WW8NumSt108z1"/>
    <w:qFormat/>
    <w:rPr>
      <w:rFonts w:ascii="Courier New" w:hAnsi="Courier New" w:cs="Courier New"/>
    </w:rPr>
  </w:style>
  <w:style w:type="character" w:styleId="WW8NumSt108z2">
    <w:name w:val="WW8NumSt108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rPr>
      <w:rFonts w:ascii="Arial" w:hAnsi="Arial" w:cs="Arial"/>
      <w:b/>
      <w:sz w:val="24"/>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5106" w:leader="none"/>
        <w:tab w:val="left" w:pos="7254" w:leader="none"/>
      </w:tabs>
      <w:ind w:hanging="180" w:start="1080" w:end="0"/>
      <w:jc w:val="both"/>
    </w:pPr>
    <w:rPr>
      <w:rFonts w:ascii="Times New Roman" w:hAnsi="Times New Roman" w:cs="Times New Roman"/>
      <w:sz w:val="22"/>
    </w:rPr>
  </w:style>
  <w:style w:type="paragraph" w:styleId="BodyTextIndent2">
    <w:name w:val="Body Text Indent 2"/>
    <w:basedOn w:val="Normal"/>
    <w:qFormat/>
    <w:pPr>
      <w:tabs>
        <w:tab w:val="clear" w:pos="720"/>
        <w:tab w:val="left" w:pos="5106" w:leader="none"/>
        <w:tab w:val="left" w:pos="7254" w:leader="none"/>
      </w:tabs>
      <w:ind w:hanging="90" w:start="1170" w:end="0"/>
      <w:jc w:val="both"/>
    </w:pPr>
    <w:rPr>
      <w:rFonts w:ascii="Times New Roman" w:hAnsi="Times New Roman" w:cs="Times New Roman"/>
      <w:sz w:val="22"/>
    </w:rPr>
  </w:style>
  <w:style w:type="paragraph" w:styleId="BodyTextIndent3">
    <w:name w:val="Body Text Indent 3"/>
    <w:basedOn w:val="Normal"/>
    <w:qFormat/>
    <w:pPr>
      <w:tabs>
        <w:tab w:val="clear" w:pos="720"/>
        <w:tab w:val="left" w:pos="5106" w:leader="none"/>
        <w:tab w:val="left" w:pos="7254" w:leader="none"/>
      </w:tabs>
      <w:ind w:hanging="180" w:start="1260" w:end="0"/>
      <w:jc w:val="both"/>
    </w:pPr>
    <w:rPr>
      <w:rFonts w:ascii="Times New Roman" w:hAnsi="Times New Roman" w:cs="Times New Roman"/>
      <w:sz w:val="22"/>
    </w:rPr>
  </w:style>
  <w:style w:type="paragraph" w:styleId="BodyText21">
    <w:name w:val="Body Text 21"/>
    <w:basedOn w:val="Normal"/>
    <w:qFormat/>
    <w:pPr>
      <w:ind w:hanging="720" w:start="720" w:end="0"/>
    </w:pPr>
    <w:rPr>
      <w:rFonts w:ascii="Times New Roman" w:hAnsi="Times New Roman" w:cs="Times New Roman"/>
      <w:sz w:val="24"/>
    </w:rPr>
  </w:style>
  <w:style w:type="paragraph" w:styleId="BodyTextIndent">
    <w:name w:val="Body Text Indent"/>
    <w:basedOn w:val="Normal"/>
    <w:pPr>
      <w:widowControl/>
      <w:tabs>
        <w:tab w:val="clear" w:pos="720"/>
        <w:tab w:val="left" w:pos="1080" w:leader="none"/>
      </w:tabs>
      <w:ind w:hanging="360" w:start="1080" w:end="0"/>
      <w:jc w:val="both"/>
    </w:pPr>
    <w:rPr>
      <w:rFonts w:ascii="Times New Roman" w:hAnsi="Times New Roman" w:cs="Times New Roman"/>
    </w:rPr>
  </w:style>
  <w:style w:type="paragraph" w:styleId="DocumentMap">
    <w:name w:val="Document Map"/>
    <w:basedOn w:val="Normal"/>
    <w:qFormat/>
    <w:pPr>
      <w:shd w:fill="000080" w:val="clear"/>
    </w:pPr>
    <w:rPr>
      <w:rFonts w:ascii="Tahoma" w:hAnsi="Tahoma" w:cs="Tahoma"/>
    </w:rPr>
  </w:style>
  <w:style w:type="paragraph" w:styleId="Subject">
    <w:name w:val="Subject"/>
    <w:basedOn w:val="Normal"/>
    <w:qFormat/>
    <w:pPr>
      <w:widowControl/>
    </w:pPr>
    <w:rPr>
      <w:rFonts w:ascii="Arial" w:hAnsi="Arial" w:cs="Arial"/>
      <w:lang w:val="en-GB"/>
    </w:rPr>
  </w:style>
  <w:style w:type="paragraph" w:styleId="Body">
    <w:name w:val="Body"/>
    <w:basedOn w:val="Normal"/>
    <w:qFormat/>
    <w:pPr>
      <w:widowControl/>
      <w:ind w:hanging="0" w:start="72" w:end="0"/>
    </w:pPr>
    <w:rPr>
      <w:rFonts w:ascii="Arial" w:hAnsi="Arial" w:cs="Arial"/>
      <w:color w:val="000080"/>
      <w:lang w:val="en-GB"/>
    </w:rPr>
  </w:style>
  <w:style w:type="paragraph" w:styleId="To">
    <w:name w:val="To"/>
    <w:basedOn w:val="Normal"/>
    <w:qFormat/>
    <w:pPr>
      <w:widowControl/>
    </w:pPr>
    <w:rPr>
      <w:rFonts w:ascii="Arial" w:hAnsi="Arial" w:cs="Arial"/>
      <w:lang w:val="en-GB"/>
    </w:rPr>
  </w:style>
  <w:style w:type="paragraph" w:styleId="From">
    <w:name w:val="From"/>
    <w:basedOn w:val="Normal"/>
    <w:qFormat/>
    <w:pPr>
      <w:widowControl/>
    </w:pPr>
    <w:rPr>
      <w:rFonts w:ascii="Arial" w:hAnsi="Arial" w:cs="Arial"/>
      <w:lang w:val="en-GB"/>
    </w:rPr>
  </w:style>
  <w:style w:type="paragraph" w:styleId="Department">
    <w:name w:val="Department"/>
    <w:basedOn w:val="Normal"/>
    <w:qFormat/>
    <w:pPr>
      <w:widowControl/>
    </w:pPr>
    <w:rPr>
      <w:rFonts w:ascii="Arial" w:hAnsi="Arial" w:cs="Arial"/>
      <w:lang w:val="en-GB"/>
    </w:rPr>
  </w:style>
  <w:style w:type="paragraph" w:styleId="BodyText3">
    <w:name w:val="Body Text 3"/>
    <w:basedOn w:val="Normal"/>
    <w:qFormat/>
    <w:pPr>
      <w:widowControl/>
      <w:tabs>
        <w:tab w:val="clear" w:pos="720"/>
        <w:tab w:val="left" w:pos="1344" w:leader="none"/>
        <w:tab w:val="left" w:pos="5106" w:leader="none"/>
        <w:tab w:val="left" w:pos="7254" w:leader="none"/>
        <w:tab w:val="left" w:pos="10080" w:leader="none"/>
      </w:tabs>
      <w:ind w:hanging="0" w:start="0" w:end="-306"/>
      <w:jc w:val="both"/>
    </w:pPr>
    <w:rPr>
      <w:rFonts w:ascii="Times New Roman" w:hAnsi="Times New Roman" w:cs="Times New Roman"/>
      <w:sz w:val="16"/>
    </w:rPr>
  </w:style>
  <w:style w:type="paragraph" w:styleId="TitleI">
    <w:name w:val="Title I"/>
    <w:basedOn w:val="Normal"/>
    <w:qFormat/>
    <w:pPr>
      <w:widowControl/>
      <w:tabs>
        <w:tab w:val="clear" w:pos="720"/>
        <w:tab w:val="left" w:pos="1344" w:leader="none"/>
        <w:tab w:val="left" w:pos="5106" w:leader="none"/>
        <w:tab w:val="left" w:pos="7254" w:leader="none"/>
      </w:tabs>
      <w:spacing w:lineRule="exact" w:line="240"/>
      <w:jc w:val="center"/>
    </w:pPr>
    <w:rPr>
      <w:rFonts w:ascii="Times New Roman" w:hAnsi="Times New Roman" w:cs="Times New Roman"/>
      <w:b/>
      <w:sz w:val="24"/>
    </w:rPr>
  </w:style>
  <w:style w:type="paragraph" w:styleId="CopyList">
    <w:name w:val="CopyList"/>
    <w:basedOn w:val="Normal"/>
    <w:qFormat/>
    <w:pPr>
      <w:widowControl/>
      <w:tabs>
        <w:tab w:val="clear" w:pos="720"/>
        <w:tab w:val="left" w:pos="504" w:leader="none"/>
      </w:tabs>
      <w:spacing w:before="360" w:after="0"/>
      <w:ind w:hanging="504" w:start="576" w:end="0"/>
    </w:pPr>
    <w:rPr>
      <w:rFonts w:ascii="Arial" w:hAnsi="Arial" w:cs="Arial"/>
      <w:lang w:val="en-GB"/>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2001-07-16T19:28:00Z</dcterms:created>
  <dc:creator>kyoung</dc:creator>
  <dc:description/>
  <dc:language>en-CA</dc:language>
  <cp:lastModifiedBy>kyoung</cp:lastModifiedBy>
  <cp:lastPrinted>2001-07-17T11:06:00Z</cp:lastPrinted>
  <dcterms:modified xsi:type="dcterms:W3CDTF">2001-07-17T15:13:00Z</dcterms:modified>
  <cp:revision>5</cp:revision>
  <dc:subject/>
  <dc:title>MEMO FORM</dc:title>
</cp:coreProperties>
</file>