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February, 2001</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BodyText3"/>
        <w:rPr/>
      </w:pPr>
      <w:r>
        <w:rPr/>
        <w:t>This report summarizes current significant legal activities of ENA as of February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rPr/>
      </w:pPr>
      <w:r>
        <w:rPr>
          <w:u w:val="none"/>
        </w:rPr>
        <w:tab/>
      </w:r>
      <w:r>
        <w:rPr/>
        <w:t>Houston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reviewing certain high exposure power contracts for revision and conversion to EEI</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reviewing certain high volume trading contracts for possible revision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Arbitration on price redetermination has been scheduled for early May</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Dominion Nuclear</w:t>
      </w:r>
    </w:p>
    <w:p>
      <w:pPr>
        <w:pStyle w:val="Normal"/>
        <w:numPr>
          <w:ilvl w:val="0"/>
          <w:numId w:val="13"/>
        </w:numPr>
        <w:tabs>
          <w:tab w:val="clear" w:pos="720"/>
          <w:tab w:val="left" w:pos="1260" w:leader="none"/>
        </w:tabs>
        <w:jc w:val="both"/>
        <w:rPr>
          <w:rFonts w:ascii="Times New Roman" w:hAnsi="Times New Roman" w:cs="Times New Roman"/>
        </w:rPr>
      </w:pPr>
      <w:r>
        <w:rPr>
          <w:rFonts w:cs="Times New Roman" w:ascii="Times New Roman" w:hAnsi="Times New Roman"/>
        </w:rPr>
        <w:t>Janice Moore/Elizabeth Sager</w:t>
      </w:r>
    </w:p>
    <w:p>
      <w:pPr>
        <w:pStyle w:val="Normal"/>
        <w:numPr>
          <w:ilvl w:val="0"/>
          <w:numId w:val="13"/>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negotiating with Dominion to purchase approximately 100 MW per hour unit contingent nuclear energy in NEPOOL from Dominion for up to 10 years</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New Albany Tolling</w:t>
      </w:r>
    </w:p>
    <w:p>
      <w:pPr>
        <w:pStyle w:val="Normal"/>
        <w:numPr>
          <w:ilvl w:val="0"/>
          <w:numId w:val="13"/>
        </w:numPr>
        <w:tabs>
          <w:tab w:val="clear" w:pos="720"/>
          <w:tab w:val="left" w:pos="1260" w:leader="none"/>
        </w:tabs>
        <w:jc w:val="both"/>
        <w:rPr>
          <w:rFonts w:ascii="Times New Roman" w:hAnsi="Times New Roman" w:cs="Times New Roman"/>
        </w:rPr>
      </w:pPr>
      <w:r>
        <w:rPr>
          <w:rFonts w:cs="Times New Roman" w:ascii="Times New Roman" w:hAnsi="Times New Roman"/>
        </w:rPr>
        <w:t>David Portz/Elizabeth Sager</w:t>
      </w:r>
    </w:p>
    <w:p>
      <w:pPr>
        <w:pStyle w:val="Normal"/>
        <w:numPr>
          <w:ilvl w:val="0"/>
          <w:numId w:val="13"/>
        </w:numPr>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Update:</w:t>
        <w:tab/>
        <w:t>EPMI is seeking bids for up to a five (5)-year tolling deal involving the New Albany facility</w:t>
      </w:r>
    </w:p>
    <w:p>
      <w:pPr>
        <w:pStyle w:val="Heading5"/>
        <w:keepNext w:val="false"/>
        <w:spacing w:before="120" w:after="0"/>
        <w:ind w:hanging="0" w:start="0"/>
        <w:rPr/>
      </w:pPr>
      <w:r>
        <w:rPr>
          <w:u w:val="none"/>
        </w:rPr>
        <w:tab/>
      </w:r>
      <w:r>
        <w:rPr/>
        <w:t>Financial</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 xml:space="preserve">Trade Credit Exposure </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Bill Bradford/Sara Shackleton/Mary Cook (Cadwalder, Wickersham &amp;Taft)</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Research regarding various methods available to minimize credit exposure and margin calls including cross-product, cross-entity and triangular netting and set-off arrangements</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Act/CFTC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Commodity Futures Modernization Act signed into law in December.  Evaluating provisions of new law which should reduce regulation of OTC derivatives trading</w:t>
      </w:r>
    </w:p>
    <w:p>
      <w:pPr>
        <w:pStyle w:val="Normal"/>
        <w:numPr>
          <w:ilvl w:val="0"/>
          <w:numId w:val="12"/>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numPr>
          <w:ilvl w:val="1"/>
          <w:numId w:val="12"/>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r>
        <w:br w:type="page"/>
      </w:r>
    </w:p>
    <w:p>
      <w:pPr>
        <w:pStyle w:val="Heading5"/>
        <w:keepNext w:val="false"/>
        <w:spacing w:before="120" w:after="0"/>
        <w:ind w:hanging="0" w:start="0"/>
        <w:jc w:val="both"/>
        <w:rPr/>
      </w:pPr>
      <w:r>
        <w:rPr>
          <w:u w:val="none"/>
        </w:rPr>
        <w:tab/>
      </w:r>
      <w:r>
        <w:rPr/>
        <w:t>Portland</w:t>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Hall/Elizabeth Sager/Richard Sanders</w:t>
      </w:r>
    </w:p>
    <w:p>
      <w:pPr>
        <w:pStyle w:val="EndnoteText"/>
        <w:numPr>
          <w:ilvl w:val="1"/>
          <w:numId w:val="12"/>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1.</w:t>
        <w:tab/>
        <w:t>Enron Offline – Potential software sale or joint venture</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Greg Piper/Anne Koehler (Vinson &amp; Elkins)</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2.</w:t>
        <w:tab/>
        <w:t>EC Outlook – Adding to our equity holdings in EC Outlook as part of a sale of our EDI Hub technology</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Robert George</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Agreements being negotiated</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3.</w:t>
        <w:tab/>
        <w:t>Commodity Logic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various phases of an internet platform providing back office services to users</w:t>
      </w:r>
    </w:p>
    <w:p>
      <w:pPr>
        <w:pStyle w:val="Normal"/>
        <w:widowControl/>
        <w:tabs>
          <w:tab w:val="clear" w:pos="720"/>
          <w:tab w:val="left" w:pos="1260" w:leader="none"/>
        </w:tabs>
        <w:spacing w:before="120" w:after="0"/>
        <w:ind w:start="720" w:end="0"/>
        <w:jc w:val="both"/>
        <w:rPr>
          <w:rFonts w:ascii="Times New Roman" w:hAnsi="Times New Roman" w:cs="Times New Roman"/>
        </w:rPr>
      </w:pPr>
      <w:r>
        <w:rPr>
          <w:rFonts w:cs="Times New Roman" w:ascii="Times New Roman" w:hAnsi="Times New Roman"/>
        </w:rPr>
        <w:t>4.</w:t>
        <w:tab/>
        <w:t>EnronOnline – North America</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260" w:leader="none"/>
        </w:tabs>
        <w:spacing w:before="120" w:after="0"/>
        <w:ind w:start="720" w:end="0"/>
        <w:jc w:val="both"/>
        <w:rPr>
          <w:rFonts w:ascii="Times New Roman" w:hAnsi="Times New Roman" w:cs="Times New Roman"/>
        </w:rPr>
      </w:pPr>
      <w:r>
        <w:rPr>
          <w:rFonts w:cs="Times New Roman" w:ascii="Times New Roman" w:hAnsi="Times New Roman"/>
        </w:rPr>
        <w:t>5.</w:t>
        <w:tab/>
        <w:t>Equity Investments</w:t>
      </w:r>
    </w:p>
    <w:p>
      <w:pPr>
        <w:pStyle w:val="Normal"/>
        <w:numPr>
          <w:ilvl w:val="1"/>
          <w:numId w:val="12"/>
        </w:numPr>
        <w:tabs>
          <w:tab w:val="clear" w:pos="720"/>
          <w:tab w:val="left" w:pos="1260" w:leader="none"/>
        </w:tabs>
        <w:rPr>
          <w:rFonts w:ascii="Times New Roman" w:hAnsi="Times New Roman" w:cs="Times New Roman"/>
        </w:rPr>
      </w:pPr>
      <w:r>
        <w:rPr>
          <w:rFonts w:cs="Times New Roman" w:ascii="Times New Roman" w:hAnsi="Times New Roman"/>
        </w:rPr>
        <w:t>Andy Zipper, Jay Fitzgerald/Travis McCullough (Vinson &amp; Elkins)</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Kiodex – documentation underway; eSpeed – negotiations for possible transaction underway</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New Jersey Natural Gas – Possible joint venture to develop fuel cell projects in NJNG service area</w:t>
      </w:r>
    </w:p>
    <w:p>
      <w:pPr>
        <w:pStyle w:val="BodyText"/>
        <w:widowControl/>
        <w:numPr>
          <w:ilvl w:val="1"/>
          <w:numId w:val="12"/>
        </w:numPr>
        <w:tabs>
          <w:tab w:val="clear" w:pos="720"/>
          <w:tab w:val="left" w:pos="1260" w:leader="none"/>
        </w:tabs>
        <w:rPr/>
      </w:pPr>
      <w:r>
        <w:rPr/>
        <w:t>Kay Mann</w:t>
      </w:r>
    </w:p>
    <w:p>
      <w:pPr>
        <w:pStyle w:val="BodyText"/>
        <w:widowControl/>
        <w:numPr>
          <w:ilvl w:val="1"/>
          <w:numId w:val="12"/>
        </w:numPr>
        <w:tabs>
          <w:tab w:val="clear" w:pos="720"/>
          <w:tab w:val="left" w:pos="1260" w:leader="none"/>
        </w:tabs>
        <w:rPr/>
      </w:pPr>
      <w:r>
        <w:rPr/>
        <w:t>Update:</w:t>
        <w:tab/>
        <w:t>Currently negotiating letter of intent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Co Op City – Development of a small power generation facility for a housing complex in New York, with subsequent asset management responsibilities</w:t>
      </w:r>
    </w:p>
    <w:p>
      <w:pPr>
        <w:pStyle w:val="BodyText"/>
        <w:widowControl/>
        <w:numPr>
          <w:ilvl w:val="1"/>
          <w:numId w:val="12"/>
        </w:numPr>
        <w:tabs>
          <w:tab w:val="clear" w:pos="720"/>
          <w:tab w:val="left" w:pos="1260" w:leader="none"/>
        </w:tabs>
        <w:rPr/>
      </w:pPr>
      <w:r>
        <w:rPr/>
        <w:t>Kay Mann</w:t>
      </w:r>
    </w:p>
    <w:p>
      <w:pPr>
        <w:pStyle w:val="BodyText"/>
        <w:widowControl/>
        <w:numPr>
          <w:ilvl w:val="1"/>
          <w:numId w:val="12"/>
        </w:numPr>
        <w:tabs>
          <w:tab w:val="clear" w:pos="720"/>
          <w:tab w:val="left" w:pos="1260" w:leader="none"/>
        </w:tabs>
        <w:rPr/>
      </w:pPr>
      <w:r>
        <w:rPr/>
        <w:t>Update:</w:t>
        <w:tab/>
        <w:t>Currently negotiating term sheet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PSEG – Sale of two development sites in Illinois</w:t>
      </w:r>
    </w:p>
    <w:p>
      <w:pPr>
        <w:pStyle w:val="BodyText"/>
        <w:widowControl/>
        <w:numPr>
          <w:ilvl w:val="1"/>
          <w:numId w:val="12"/>
        </w:numPr>
        <w:tabs>
          <w:tab w:val="clear" w:pos="720"/>
          <w:tab w:val="left" w:pos="1260" w:leader="none"/>
        </w:tabs>
        <w:rPr/>
      </w:pPr>
      <w:r>
        <w:rPr/>
        <w:t>Kay Mann/Carlos Solé</w:t>
      </w:r>
    </w:p>
    <w:p>
      <w:pPr>
        <w:pStyle w:val="BodyText"/>
        <w:widowControl/>
        <w:numPr>
          <w:ilvl w:val="1"/>
          <w:numId w:val="12"/>
        </w:numPr>
        <w:tabs>
          <w:tab w:val="clear" w:pos="720"/>
          <w:tab w:val="left" w:pos="1260" w:leader="none"/>
        </w:tabs>
        <w:rPr/>
      </w:pPr>
      <w:r>
        <w:rPr/>
        <w:t>Update:</w:t>
        <w:tab/>
        <w:t xml:space="preserve">Parties are discussing definitive documents at this time. </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Peaker sales are complete (sale of Haywood, Tennessee site also complete)</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Hooser/Stuart Zisman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Currently in discussions with AIG</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ENA awaits response from LIPA on detailed term sheet</w:t>
      </w:r>
    </w:p>
    <w:p>
      <w:pPr>
        <w:pStyle w:val="BodyText"/>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widowControl/>
        <w:numPr>
          <w:ilvl w:val="0"/>
          <w:numId w:val="14"/>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occurred on 12/29/00; conditions precedent to first disbursement are currently being reviewed to assure satisfaction thereof within the next four to six weeks</w:t>
      </w:r>
    </w:p>
    <w:p>
      <w:pPr>
        <w:pStyle w:val="Normal"/>
        <w:widowControl/>
        <w:numPr>
          <w:ilvl w:val="0"/>
          <w:numId w:val="14"/>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Internal review of the FAPSA PPA is ongoing prior to final negotiations of the PPA with FAPSA;  Fersinsa has executed an MOU and PPA; discussions with Fersinsa will begin following final internal review of the PPA format; three other Mexican companies have signed confidentiality agreements and MOU discussions are anticipated to begin soon</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Negotiating the sale of Pastoria; negotiating a tolling agreement for LV Cogen’s expansion; outstanding water issue has held up the signing of a purchase and sale agreement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Roseville, CA</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 and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Port of Longview, Washington and sale</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Permitting site and acquiring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Power Plant Development in Colorado for long-term PPA with PSCO</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7/01 start date; purchase and sale agreement has been signed and closing scheduled for 3/30/01</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TurboPark funding vehicle for equipment procurement, development and construction of power plants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Sheila Tweed</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Facility has been established and equipment transferred as of 12/15/00;  the PSCO project was sold into TurboPark on 1/19/01</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widowControl/>
        <w:tabs>
          <w:tab w:val="clear" w:pos="720"/>
          <w:tab w:val="left" w:pos="1260" w:leader="none"/>
        </w:tabs>
        <w:ind w:hanging="1080" w:start="2160" w:end="0"/>
        <w:rPr/>
      </w:pPr>
      <w:r>
        <w:rPr>
          <w:rFonts w:cs="Times New Roman" w:ascii="Times New Roman" w:hAnsi="Times New Roman"/>
        </w:rPr>
        <w:t>-</w:t>
        <w:tab/>
        <w:t>Update:</w:t>
        <w:tab/>
        <w:t>Executed definitive agreement on 1/11/01 with AEP; closing likely in 2</w:t>
      </w:r>
      <w:r>
        <w:rPr>
          <w:rFonts w:cs="Times New Roman" w:ascii="Times New Roman" w:hAnsi="Times New Roman"/>
          <w:vertAlign w:val="superscript"/>
        </w:rPr>
        <w:t>nd</w:t>
      </w:r>
      <w:r>
        <w:rPr>
          <w:rFonts w:cs="Times New Roman" w:ascii="Times New Roman" w:hAnsi="Times New Roman"/>
        </w:rPr>
        <w:t xml:space="preserve"> Qtr. 2001</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Gray/Shonnie Daniel</w:t>
      </w:r>
    </w:p>
    <w:p>
      <w:pPr>
        <w:pStyle w:val="BodyText"/>
        <w:widowControl/>
        <w:tabs>
          <w:tab w:val="clear" w:pos="720"/>
          <w:tab w:val="left" w:pos="1260" w:leader="none"/>
        </w:tabs>
        <w:ind w:hanging="1080" w:start="2160" w:end="0"/>
        <w:rPr/>
      </w:pPr>
      <w:r>
        <w:rPr>
          <w:rFonts w:cs="Times New Roman" w:ascii="Times New Roman" w:hAnsi="Times New Roman"/>
        </w:rPr>
        <w:t>-</w:t>
        <w:tab/>
        <w:t>Update:</w:t>
        <w:tab/>
        <w:t>Project closed 3</w:t>
      </w:r>
      <w:r>
        <w:rPr>
          <w:rFonts w:cs="Times New Roman" w:ascii="Times New Roman" w:hAnsi="Times New Roman"/>
          <w:vertAlign w:val="superscript"/>
        </w:rPr>
        <w:t>rd</w:t>
      </w:r>
      <w:r>
        <w:rPr>
          <w:rFonts w:cs="Times New Roman" w:ascii="Times New Roman" w:hAnsi="Times New Roman"/>
        </w:rPr>
        <w:t xml:space="preserve"> Qtr;  post-closing obligations still underway</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HPL has decided to pay certain taxes relating to a monetization of the gas in the Bammel Storage Facility</w:t>
      </w:r>
    </w:p>
    <w:p>
      <w:pPr>
        <w:pStyle w:val="Normal"/>
        <w:widowControl/>
        <w:numPr>
          <w:ilvl w:val="0"/>
          <w:numId w:val="10"/>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Barbara Gray/Eileen Kiss</w:t>
      </w:r>
    </w:p>
    <w:p>
      <w:pPr>
        <w:pStyle w:val="EndnoteText"/>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Lisa Mellencamp/Angela Davis</w:t>
      </w:r>
    </w:p>
    <w:p>
      <w:pPr>
        <w:pStyle w:val="Normal"/>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  Agreements under negotiation</w:t>
      </w:r>
    </w:p>
    <w:p>
      <w:pPr>
        <w:pStyle w:val="Normal"/>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w:t>
      </w:r>
      <w:r>
        <w:rPr>
          <w:rFonts w:cs="Verdana" w:ascii="Verdana" w:hAnsi="Verdana"/>
        </w:rPr>
        <w:t xml:space="preserve"> -</w:t>
      </w:r>
      <w:r>
        <w:rPr>
          <w:rFonts w:cs="Times New Roman" w:ascii="Times New Roman" w:hAnsi="Times New Roman"/>
        </w:rPr>
        <w:t xml:space="preserve"> Variety of transactions including:</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ab/>
        <w:t>Webmodal, Inc. - $12MM acquisition of online transportation procurement company; signed during week of  2/5/01</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 (Gardere Wynne)</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   Closing to take place on March 2 after Webmodal's stockholder vote approving merger</w:t>
      </w:r>
    </w:p>
    <w:p>
      <w:pPr>
        <w:pStyle w:val="BodyText"/>
        <w:widowControl/>
        <w:tabs>
          <w:tab w:val="clear" w:pos="720"/>
          <w:tab w:val="left" w:pos="1080" w:leader="none"/>
          <w:tab w:val="left" w:pos="1260" w:leader="none"/>
        </w:tabs>
        <w:spacing w:before="120" w:after="0"/>
        <w:ind w:start="1080" w:end="0"/>
        <w:rPr>
          <w:rFonts w:ascii="Times New Roman" w:hAnsi="Times New Roman" w:cs="Times New Roman"/>
        </w:rPr>
      </w:pPr>
      <w:r>
        <w:rPr>
          <w:rFonts w:cs="Times New Roman" w:ascii="Times New Roman" w:hAnsi="Times New Roman"/>
        </w:rPr>
        <w:t>Nutech – 6% purchase of partnership interest in company that reinterprets seismic data</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Jim Grace (Locke Liddell Sapp)</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To close week of 2/19/01</w:t>
      </w:r>
    </w:p>
    <w:p>
      <w:pPr>
        <w:pStyle w:val="BodyText"/>
        <w:widowControl/>
        <w:numPr>
          <w:ilvl w:val="0"/>
          <w:numId w:val="3"/>
        </w:numPr>
        <w:tabs>
          <w:tab w:val="clear" w:pos="720"/>
          <w:tab w:val="left" w:pos="1260" w:leader="none"/>
        </w:tabs>
        <w:spacing w:before="120" w:after="0"/>
        <w:rPr>
          <w:rFonts w:ascii="Times New Roman" w:hAnsi="Times New Roman" w:cs="Times New Roman"/>
        </w:rPr>
      </w:pPr>
      <w:r>
        <w:rPr>
          <w:rFonts w:cs="Times New Roman" w:ascii="Times New Roman" w:hAnsi="Times New Roman"/>
        </w:rPr>
        <w:t xml:space="preserve">HEOF II Matters –Investments in minority-owned businesses:  </w:t>
      </w:r>
    </w:p>
    <w:p>
      <w:pPr>
        <w:pStyle w:val="BodyText"/>
        <w:widowControl/>
        <w:tabs>
          <w:tab w:val="clear" w:pos="720"/>
          <w:tab w:val="left" w:pos="1260" w:leader="none"/>
        </w:tabs>
        <w:spacing w:before="120" w:after="0"/>
        <w:ind w:start="1080" w:end="0"/>
        <w:rPr>
          <w:rFonts w:ascii="Times New Roman" w:hAnsi="Times New Roman" w:cs="Times New Roman"/>
        </w:rPr>
      </w:pPr>
      <w:r>
        <w:rPr>
          <w:rFonts w:cs="Times New Roman" w:ascii="Times New Roman" w:hAnsi="Times New Roman"/>
        </w:rPr>
        <w:t>Creole Shack – Negotiating conversion of general partner into limited partner; and replacement of general partner or manager with a group from Cabo's restaurant</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 (Locke Liddell Sapp)</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  Will close 1</w:t>
      </w:r>
      <w:r>
        <w:rPr>
          <w:rFonts w:cs="Times New Roman" w:ascii="Times New Roman" w:hAnsi="Times New Roman"/>
          <w:vertAlign w:val="superscript"/>
        </w:rPr>
        <w:t>st</w:t>
      </w:r>
      <w:r>
        <w:rPr>
          <w:rFonts w:cs="Times New Roman" w:ascii="Times New Roman" w:hAnsi="Times New Roman"/>
        </w:rPr>
        <w:t xml:space="preserve"> Qtr. 2001</w:t>
      </w:r>
    </w:p>
    <w:p>
      <w:pPr>
        <w:pStyle w:val="Normal"/>
        <w:widowControl/>
        <w:tabs>
          <w:tab w:val="clear" w:pos="720"/>
          <w:tab w:val="left" w:pos="1260" w:leader="none"/>
        </w:tabs>
        <w:spacing w:before="120" w:after="0"/>
        <w:ind w:hanging="360" w:start="1080" w:end="0"/>
        <w:jc w:val="both"/>
        <w:rPr/>
      </w:pPr>
      <w:r>
        <w:rPr>
          <w:rFonts w:cs="Times New Roman" w:ascii="Times New Roman" w:hAnsi="Times New Roman"/>
        </w:rPr>
        <w:t>4.</w:t>
        <w:tab/>
      </w:r>
      <w:r>
        <w:rPr>
          <w:rFonts w:cs="Arial" w:ascii="Verdana" w:hAnsi="Verdana"/>
        </w:rPr>
        <w:t>P</w:t>
      </w:r>
      <w:r>
        <w:rPr>
          <w:rFonts w:cs="Times New Roman" w:ascii="Times New Roman" w:hAnsi="Times New Roman"/>
        </w:rPr>
        <w:t>roduction Payments – Variety of transactions involving production payments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  Purchase of $175 MM production payment from KCS Energy to close in February</w:t>
      </w:r>
    </w:p>
    <w:p>
      <w:pPr>
        <w:pStyle w:val="BodyText"/>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r>
    </w:p>
    <w:p>
      <w:pPr>
        <w:pStyle w:val="BodyTextIndent"/>
        <w:tabs>
          <w:tab w:val="clear" w:pos="1080"/>
          <w:tab w:val="left" w:pos="1260" w:leader="none"/>
        </w:tabs>
        <w:rPr/>
      </w:pPr>
      <w:r>
        <w:rPr>
          <w:rFonts w:cs="Tms Rmn;Times New Roman" w:ascii="Tms Rmn;Times New Roman" w:hAnsi="Tms Rmn;Times New Roman"/>
        </w:rPr>
        <w:t>5.</w:t>
        <w:tab/>
      </w:r>
      <w:r>
        <w:rPr/>
        <w:t>Merchant Portfolio Matters –</w:t>
      </w:r>
      <w:r>
        <w:rPr>
          <w:rFonts w:cs="Tms Rmn;Times New Roman" w:ascii="Tms Rmn;Times New Roman" w:hAnsi="Tms Rmn;Times New Roman"/>
        </w:rPr>
        <w:t xml:space="preserve"> Continued dispositions and monetizations of the ENA merchant portfolio including transfers of assets to Condor vehicle (Project Velocity) and sales/restructurings of special assets</w:t>
      </w:r>
    </w:p>
    <w:p>
      <w:pPr>
        <w:pStyle w:val="Normal"/>
        <w:widowControl/>
        <w:tabs>
          <w:tab w:val="clear" w:pos="720"/>
          <w:tab w:val="left" w:pos="1080" w:leader="none"/>
          <w:tab w:val="left" w:pos="1260" w:leader="none"/>
        </w:tabs>
        <w:ind w:start="1080" w:end="0"/>
        <w:jc w:val="both"/>
        <w:rPr/>
      </w:pPr>
      <w:r>
        <w:rPr/>
        <w:t>-</w:t>
        <w:tab/>
        <w:t>Travis McCullough/Lisa Mellencamp</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  Essentially done; finishing year end details</w:t>
      </w:r>
    </w:p>
    <w:p>
      <w:pPr>
        <w:pStyle w:val="BodyText"/>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6.</w:t>
        <w:tab/>
        <w:t>East Coast Power – Sale of power generation assets</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Sale pending; waiting on last condition precedent to be met; closing expected week of 2/20/01</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rPr>
          <w:rFonts w:ascii="Times New Roman" w:hAnsi="Times New Roman" w:cs="Times New Roman"/>
          <w:iCs/>
        </w:rPr>
      </w:pPr>
      <w:r>
        <w:rPr>
          <w:rFonts w:cs="Times New Roman" w:ascii="Times New Roman" w:hAnsi="Times New Roman"/>
          <w:iCs/>
        </w:rPr>
        <w:t>(Text of “Status of ENA Litigation” Report to Mark Haedicke dated January 25, 2001)</w:t>
      </w:r>
    </w:p>
    <w:p>
      <w:pPr>
        <w:pStyle w:val="Normal"/>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b/>
        </w:rPr>
      </w:pPr>
      <w:r>
        <w:rPr>
          <w:b/>
        </w:rPr>
        <w:t>ACTIVE LITIGATION</w:t>
      </w:r>
    </w:p>
    <w:p>
      <w:pPr>
        <w:pStyle w:val="Body"/>
        <w:ind w:start="0" w:end="0"/>
        <w:rPr>
          <w:b/>
          <w:u w:val="single"/>
        </w:rPr>
      </w:pPr>
      <w:r>
        <w:rPr>
          <w:b/>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Berry Group, Ltd v. Enron North America</w:t>
      </w:r>
    </w:p>
    <w:p>
      <w:pPr>
        <w:pStyle w:val="Body"/>
        <w:ind w:start="0" w:end="0"/>
        <w:rPr>
          <w:rFonts w:ascii="Times New Roman" w:hAnsi="Times New Roman" w:cs="Times New Roman"/>
          <w:bCs/>
          <w:color w:val="000000"/>
        </w:rPr>
      </w:pPr>
      <w:r>
        <w:rPr>
          <w:rFonts w:cs="Times New Roman" w:ascii="Times New Roman" w:hAnsi="Times New Roman"/>
          <w:bCs/>
          <w:color w:val="000000"/>
        </w:rPr>
        <w:t>(Corpus Christi State District Court) (Bracewell &amp; Patterson/Cliff Gunter)</w:t>
      </w:r>
    </w:p>
    <w:p>
      <w:pPr>
        <w:pStyle w:val="Body"/>
        <w:ind w:start="0" w:end="0"/>
        <w:rPr>
          <w:rFonts w:ascii="Times New Roman" w:hAnsi="Times New Roman" w:cs="Times New Roman"/>
          <w:bCs/>
          <w:color w:val="000000"/>
          <w:u w:val="single"/>
        </w:rPr>
      </w:pPr>
      <w:r>
        <w:rPr>
          <w:rFonts w:cs="Times New Roman" w:ascii="Times New Roman" w:hAnsi="Times New Roman"/>
          <w:bCs/>
          <w:color w:val="000000"/>
          <w:u w:val="single"/>
        </w:rPr>
      </w:r>
    </w:p>
    <w:p>
      <w:pPr>
        <w:pStyle w:val="Normal"/>
        <w:numPr>
          <w:ilvl w:val="0"/>
          <w:numId w:val="15"/>
        </w:numPr>
        <w:jc w:val="both"/>
        <w:rPr>
          <w:rFonts w:ascii="Times New Roman" w:hAnsi="Times New Roman" w:cs="Times New Roman"/>
          <w:bCs/>
        </w:rPr>
      </w:pPr>
      <w:r>
        <w:rPr>
          <w:rFonts w:cs="Times New Roman" w:ascii="Times New Roman" w:hAnsi="Times New Roman"/>
          <w:bCs/>
        </w:rPr>
        <w:t>Berry Group is a Corpus Christi based company that lost over $6 million in the Qualitech bankruptcy.</w:t>
      </w:r>
    </w:p>
    <w:p>
      <w:pPr>
        <w:pStyle w:val="Normal"/>
        <w:numPr>
          <w:ilvl w:val="0"/>
          <w:numId w:val="15"/>
        </w:numPr>
        <w:jc w:val="both"/>
        <w:rPr>
          <w:rFonts w:ascii="Times New Roman" w:hAnsi="Times New Roman" w:cs="Times New Roman"/>
          <w:bCs/>
        </w:rPr>
      </w:pPr>
      <w:r>
        <w:rPr>
          <w:rFonts w:cs="Times New Roman" w:ascii="Times New Roman" w:hAnsi="Times New Roman"/>
          <w:bCs/>
        </w:rPr>
        <w:t>Berry alleges that Enron, through Kevin McConville, represented to the Berrys that Enron would pay for any losses the Berry’s incurred as a result of Qualitech bankruptcy.</w:t>
      </w:r>
    </w:p>
    <w:p>
      <w:pPr>
        <w:pStyle w:val="Normal"/>
        <w:numPr>
          <w:ilvl w:val="0"/>
          <w:numId w:val="15"/>
        </w:numPr>
        <w:jc w:val="both"/>
        <w:rPr>
          <w:rFonts w:ascii="Times New Roman" w:hAnsi="Times New Roman" w:cs="Times New Roman"/>
          <w:bCs/>
        </w:rPr>
      </w:pPr>
      <w:r>
        <w:rPr>
          <w:rFonts w:cs="Times New Roman" w:ascii="Times New Roman" w:hAnsi="Times New Roman"/>
          <w:bCs/>
        </w:rPr>
        <w:t>Kevin McConville’s deposition took place on January 11, 2001.  His testimony was favorable to Enron.</w:t>
      </w:r>
    </w:p>
    <w:p>
      <w:pPr>
        <w:pStyle w:val="Normal"/>
        <w:jc w:val="both"/>
        <w:rPr>
          <w:rFonts w:ascii="Times New Roman" w:hAnsi="Times New Roman" w:cs="Times New Roman"/>
          <w:bCs/>
          <w:i/>
          <w:i/>
          <w:sz w:val="23"/>
          <w:u w:val="single"/>
        </w:rPr>
      </w:pPr>
      <w:r>
        <w:rPr>
          <w:rFonts w:cs="Times New Roman" w:ascii="Times New Roman" w:hAnsi="Times New Roman"/>
          <w:bCs/>
          <w:i/>
          <w:sz w:val="23"/>
          <w:u w:val="single"/>
        </w:rPr>
      </w:r>
    </w:p>
    <w:p>
      <w:pPr>
        <w:pStyle w:val="Heading1"/>
        <w:tabs>
          <w:tab w:val="clear" w:pos="720"/>
          <w:tab w:val="left" w:pos="5106" w:leader="none"/>
          <w:tab w:val="left" w:pos="7254" w:leader="none"/>
        </w:tabs>
        <w:ind w:start="0" w:end="0"/>
        <w:rPr>
          <w:b w:val="false"/>
          <w:bCs/>
          <w:i/>
          <w:i/>
          <w:iCs/>
          <w:sz w:val="20"/>
        </w:rPr>
      </w:pPr>
      <w:r>
        <w:rPr>
          <w:b w:val="false"/>
          <w:bCs/>
          <w:i/>
          <w:iCs/>
          <w:sz w:val="20"/>
        </w:rPr>
        <w:t>CATS Litigation</w:t>
      </w:r>
    </w:p>
    <w:p>
      <w:pPr>
        <w:pStyle w:val="Normal"/>
        <w:jc w:val="both"/>
        <w:rPr>
          <w:rFonts w:ascii="Times New Roman" w:hAnsi="Times New Roman" w:cs="Times New Roman"/>
          <w:bCs/>
        </w:rPr>
      </w:pPr>
      <w:r>
        <w:rPr>
          <w:rFonts w:cs="Times New Roman" w:ascii="Times New Roman" w:hAnsi="Times New Roman"/>
          <w:bCs/>
        </w:rPr>
        <w:t>(House of Lords)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The appellate court reversed the lower court ruling and ordered the CATS parties to repay Enron approximately $130 million.</w:t>
      </w:r>
    </w:p>
    <w:p>
      <w:pPr>
        <w:pStyle w:val="Normal"/>
        <w:numPr>
          <w:ilvl w:val="0"/>
          <w:numId w:val="16"/>
        </w:numPr>
        <w:jc w:val="both"/>
        <w:rPr>
          <w:rFonts w:ascii="Times New Roman" w:hAnsi="Times New Roman" w:cs="Times New Roman"/>
          <w:bCs/>
        </w:rPr>
      </w:pPr>
      <w:r>
        <w:rPr>
          <w:rFonts w:cs="Times New Roman" w:ascii="Times New Roman" w:hAnsi="Times New Roman"/>
          <w:bCs/>
        </w:rPr>
        <w:t>An appeal to the House of Lords was filed on or about September 1, 1999.</w:t>
      </w:r>
    </w:p>
    <w:p>
      <w:pPr>
        <w:pStyle w:val="Normal"/>
        <w:numPr>
          <w:ilvl w:val="0"/>
          <w:numId w:val="16"/>
        </w:numPr>
        <w:jc w:val="both"/>
        <w:rPr>
          <w:rFonts w:ascii="Times New Roman" w:hAnsi="Times New Roman" w:cs="Times New Roman"/>
          <w:bCs/>
        </w:rPr>
      </w:pPr>
      <w:r>
        <w:rPr>
          <w:rFonts w:cs="Times New Roman" w:ascii="Times New Roman" w:hAnsi="Times New Roman"/>
          <w:bCs/>
        </w:rPr>
        <w:t>The House of Lords granted the CATS parties request to hear the entire appeal of the appellate court’s ruling.  The appeal is scheduled to be heard on March 12, 2001.</w:t>
      </w:r>
    </w:p>
    <w:p>
      <w:pPr>
        <w:pStyle w:val="Heading7"/>
        <w:ind w:hanging="0" w:start="0"/>
        <w:rPr>
          <w:rFonts w:ascii="Times New Roman" w:hAnsi="Times New Roman" w:cs="Times New Roman"/>
          <w:b w:val="false"/>
          <w:bCs/>
        </w:rPr>
      </w:pPr>
      <w:r>
        <w:rPr>
          <w:rFonts w:cs="Times New Roman" w:ascii="Times New Roman" w:hAnsi="Times New Roman"/>
          <w:b w:val="false"/>
          <w:bCs/>
        </w:rPr>
      </w:r>
    </w:p>
    <w:p>
      <w:pPr>
        <w:pStyle w:val="Heading7"/>
        <w:ind w:hanging="0" w:start="0"/>
        <w:rPr>
          <w:rFonts w:ascii="Times New Roman" w:hAnsi="Times New Roman" w:cs="Times New Roman"/>
          <w:b w:val="false"/>
          <w:bCs/>
        </w:rPr>
      </w:pPr>
      <w:r>
        <w:rPr>
          <w:rFonts w:cs="Times New Roman" w:ascii="Times New Roman" w:hAnsi="Times New Roman"/>
          <w:b w:val="false"/>
          <w:bCs/>
        </w:rPr>
        <w:t>Citrus v. Duke LNG Sales Dispute</w:t>
      </w:r>
    </w:p>
    <w:p>
      <w:pPr>
        <w:pStyle w:val="Normal"/>
        <w:jc w:val="both"/>
        <w:rPr>
          <w:rFonts w:ascii="Times New Roman" w:hAnsi="Times New Roman" w:cs="Times New Roman"/>
          <w:bCs/>
        </w:rPr>
      </w:pPr>
      <w:r>
        <w:rPr>
          <w:rFonts w:cs="Times New Roman" w:ascii="Times New Roman" w:hAnsi="Times New Roman"/>
          <w:bCs/>
        </w:rPr>
        <w:t>(AAA Arbitration) (Susman Godfrey/Neal Manne)</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15"/>
        </w:numPr>
        <w:jc w:val="both"/>
        <w:rPr>
          <w:rFonts w:ascii="Times New Roman" w:hAnsi="Times New Roman" w:cs="Times New Roman"/>
          <w:bCs/>
        </w:rPr>
      </w:pPr>
      <w:r>
        <w:rPr>
          <w:rFonts w:cs="Times New Roman" w:ascii="Times New Roman" w:hAnsi="Times New Roman"/>
          <w:bCs/>
        </w:rPr>
        <w:t>Duke’s position in arbitration is that the price cap provisions in the contract are void and that Duke is entitled to either receive a market price or cancel the contract.</w:t>
      </w:r>
    </w:p>
    <w:p>
      <w:pPr>
        <w:pStyle w:val="Normal"/>
        <w:numPr>
          <w:ilvl w:val="0"/>
          <w:numId w:val="15"/>
        </w:numPr>
        <w:jc w:val="both"/>
        <w:rPr>
          <w:rFonts w:ascii="Times New Roman" w:hAnsi="Times New Roman" w:cs="Times New Roman"/>
          <w:bCs/>
        </w:rPr>
      </w:pPr>
      <w:r>
        <w:rPr>
          <w:rFonts w:cs="Times New Roman" w:ascii="Times New Roman" w:hAnsi="Times New Roman"/>
          <w:bCs/>
        </w:rPr>
        <w:t>The market-to-market value to Enron is over $150 million.</w:t>
      </w:r>
    </w:p>
    <w:p>
      <w:pPr>
        <w:pStyle w:val="Normal"/>
        <w:numPr>
          <w:ilvl w:val="0"/>
          <w:numId w:val="15"/>
        </w:numPr>
        <w:jc w:val="both"/>
        <w:rPr>
          <w:rFonts w:ascii="Times New Roman" w:hAnsi="Times New Roman" w:cs="Times New Roman"/>
          <w:bCs/>
        </w:rPr>
      </w:pPr>
      <w:r>
        <w:rPr>
          <w:rFonts w:cs="Times New Roman" w:ascii="Times New Roman" w:hAnsi="Times New Roman"/>
          <w:bCs/>
        </w:rPr>
        <w:t>Both sides have chosen arbitrators.  Enron chose Mike Beatty.  The neutral arbitrator is Joe Morris, former Federal District Judge and General Counsel of Shell.</w:t>
      </w:r>
    </w:p>
    <w:p>
      <w:pPr>
        <w:pStyle w:val="Normal"/>
        <w:numPr>
          <w:ilvl w:val="0"/>
          <w:numId w:val="15"/>
        </w:numPr>
        <w:jc w:val="both"/>
        <w:rPr>
          <w:rFonts w:ascii="Times New Roman" w:hAnsi="Times New Roman" w:cs="Times New Roman"/>
          <w:bCs/>
        </w:rPr>
      </w:pPr>
      <w:r>
        <w:rPr>
          <w:rFonts w:cs="Times New Roman" w:ascii="Times New Roman" w:hAnsi="Times New Roman"/>
          <w:bCs/>
        </w:rPr>
        <w:t>The arbitration is expected to take place in the second quarter of 2001.</w:t>
      </w:r>
    </w:p>
    <w:p>
      <w:pPr>
        <w:pStyle w:val="Normal"/>
        <w:jc w:val="both"/>
        <w:rPr>
          <w:rFonts w:ascii="Times New Roman" w:hAnsi="Times New Roman" w:cs="Times New Roman"/>
          <w:bCs/>
        </w:rPr>
      </w:pPr>
      <w:r>
        <w:rPr>
          <w:rFonts w:cs="Times New Roman" w:ascii="Times New Roman" w:hAnsi="Times New Roman"/>
          <w:bCs/>
        </w:rPr>
      </w:r>
    </w:p>
    <w:p>
      <w:pPr>
        <w:pStyle w:val="Normal"/>
        <w:jc w:val="both"/>
        <w:rPr>
          <w:rFonts w:ascii="Times New Roman" w:hAnsi="Times New Roman" w:cs="Times New Roman"/>
          <w:bCs/>
          <w:i/>
          <w:i/>
          <w:u w:val="single"/>
        </w:rPr>
      </w:pPr>
      <w:r>
        <w:rPr>
          <w:rFonts w:cs="Times New Roman" w:ascii="Times New Roman" w:hAnsi="Times New Roman"/>
          <w:bCs/>
          <w:i/>
          <w:u w:val="single"/>
        </w:rPr>
        <w:t>Dennis McKenna v. ECT</w:t>
      </w:r>
    </w:p>
    <w:p>
      <w:pPr>
        <w:pStyle w:val="Normal"/>
        <w:jc w:val="both"/>
        <w:rPr>
          <w:rFonts w:ascii="Times New Roman" w:hAnsi="Times New Roman" w:cs="Times New Roman"/>
          <w:bCs/>
        </w:rPr>
      </w:pPr>
      <w:r>
        <w:rPr>
          <w:rFonts w:cs="Times New Roman" w:ascii="Times New Roman" w:hAnsi="Times New Roman"/>
          <w:bCs/>
        </w:rPr>
        <w:t>(AAA Arbitration in Harris County) (</w:t>
      </w:r>
      <w:r>
        <w:rPr>
          <w:rFonts w:cs="Times New Roman" w:ascii="Times New Roman" w:hAnsi="Times New Roman"/>
          <w:bCs/>
          <w:color w:val="000000"/>
          <w:szCs w:val="18"/>
        </w:rPr>
        <w:t>Bracewell &amp; Patterson/Ileana Blanco)</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1"/>
        </w:numPr>
        <w:tabs>
          <w:tab w:val="clear" w:pos="720"/>
          <w:tab w:val="left" w:pos="1080" w:leader="none"/>
        </w:tabs>
        <w:ind w:hanging="360" w:start="1080" w:end="0"/>
        <w:jc w:val="both"/>
        <w:rPr>
          <w:rFonts w:ascii="Times New Roman" w:hAnsi="Times New Roman" w:cs="Times New Roman"/>
          <w:bCs/>
        </w:rPr>
      </w:pPr>
      <w:r>
        <w:rPr>
          <w:rFonts w:cs="Times New Roman" w:ascii="Times New Roman" w:hAnsi="Times New Roman"/>
          <w:bCs/>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11"/>
        </w:numPr>
        <w:tabs>
          <w:tab w:val="clear" w:pos="720"/>
          <w:tab w:val="left" w:pos="1080" w:leader="none"/>
        </w:tabs>
        <w:ind w:hanging="360" w:start="1080" w:end="0"/>
        <w:jc w:val="both"/>
        <w:rPr>
          <w:rFonts w:ascii="Times New Roman" w:hAnsi="Times New Roman" w:cs="Times New Roman"/>
          <w:bCs/>
        </w:rPr>
      </w:pPr>
      <w:r>
        <w:rPr>
          <w:rFonts w:cs="Times New Roman" w:ascii="Times New Roman" w:hAnsi="Times New Roman"/>
          <w:bCs/>
        </w:rPr>
        <w:t>ECT and McKenna parted ways in 1998.  When McKenna heard about the Vitro project, he requested that ECT pay him the success fee.  ECT refused and McKenna has filed for arbitration</w:t>
      </w:r>
    </w:p>
    <w:p>
      <w:pPr>
        <w:pStyle w:val="Normal"/>
        <w:tabs>
          <w:tab w:val="clear" w:pos="720"/>
          <w:tab w:val="left" w:pos="1080" w:leader="none"/>
        </w:tabs>
        <w:jc w:val="both"/>
        <w:rPr>
          <w:rFonts w:ascii="Times New Roman" w:hAnsi="Times New Roman" w:cs="Times New Roman"/>
          <w:bCs/>
        </w:rPr>
      </w:pPr>
      <w:r>
        <w:rPr>
          <w:rFonts w:cs="Times New Roman" w:ascii="Times New Roman" w:hAnsi="Times New Roman"/>
          <w:bCs/>
        </w:rPr>
      </w:r>
      <w:r>
        <w:br w:type="page"/>
      </w:r>
    </w:p>
    <w:p>
      <w:pPr>
        <w:pStyle w:val="Normal"/>
        <w:jc w:val="both"/>
        <w:rPr>
          <w:rFonts w:ascii="Times New Roman" w:hAnsi="Times New Roman" w:cs="Times New Roman"/>
          <w:bCs/>
          <w:i/>
          <w:i/>
          <w:u w:val="single"/>
        </w:rPr>
      </w:pPr>
      <w:r>
        <w:rPr>
          <w:rFonts w:cs="Times New Roman" w:ascii="Times New Roman" w:hAnsi="Times New Roman"/>
          <w:bCs/>
          <w:i/>
          <w:u w:val="single"/>
        </w:rPr>
        <w:t>Dow Waiver Litigation</w:t>
      </w:r>
    </w:p>
    <w:p>
      <w:pPr>
        <w:pStyle w:val="Normal"/>
        <w:jc w:val="both"/>
        <w:rPr>
          <w:rFonts w:ascii="Times New Roman" w:hAnsi="Times New Roman" w:cs="Times New Roman"/>
          <w:bCs/>
        </w:rPr>
      </w:pPr>
      <w:r>
        <w:rPr>
          <w:rFonts w:cs="Times New Roman" w:ascii="Times New Roman" w:hAnsi="Times New Roman"/>
          <w:bCs/>
        </w:rPr>
        <w:t>(Houston state court) (Susman Godfrey/Bracewell &amp; Patterson/Vinson &amp; Elkins)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have filed a class action alleging that Houston Pipeline failed to take ratably from gas wells in West Texas.</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allege $466 million in damages</w:t>
      </w:r>
    </w:p>
    <w:p>
      <w:pPr>
        <w:pStyle w:val="Normal"/>
        <w:numPr>
          <w:ilvl w:val="0"/>
          <w:numId w:val="16"/>
        </w:numPr>
        <w:jc w:val="both"/>
        <w:rPr>
          <w:rFonts w:ascii="Times New Roman" w:hAnsi="Times New Roman" w:cs="Times New Roman"/>
          <w:bCs/>
        </w:rPr>
      </w:pPr>
      <w:r>
        <w:rPr>
          <w:rFonts w:cs="Times New Roman" w:ascii="Times New Roman" w:hAnsi="Times New Roman"/>
          <w:bCs/>
        </w:rPr>
        <w:t>Our preliminary damage model indicates damages of $60 - $160 million if Plaintiffs recover on their claim.</w:t>
      </w:r>
    </w:p>
    <w:p>
      <w:pPr>
        <w:pStyle w:val="Normal"/>
        <w:numPr>
          <w:ilvl w:val="0"/>
          <w:numId w:val="16"/>
        </w:numPr>
        <w:jc w:val="both"/>
        <w:rPr>
          <w:rFonts w:ascii="Times New Roman" w:hAnsi="Times New Roman" w:cs="Times New Roman"/>
          <w:bCs/>
        </w:rPr>
      </w:pPr>
      <w:r>
        <w:rPr>
          <w:rFonts w:cs="Times New Roman" w:ascii="Times New Roman" w:hAnsi="Times New Roman"/>
          <w:bCs/>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6"/>
        </w:numPr>
        <w:jc w:val="both"/>
        <w:rPr>
          <w:rFonts w:ascii="Times New Roman" w:hAnsi="Times New Roman" w:cs="Times New Roman"/>
          <w:bCs/>
        </w:rPr>
      </w:pPr>
      <w:r>
        <w:rPr>
          <w:rFonts w:cs="Times New Roman" w:ascii="Times New Roman" w:hAnsi="Times New Roman"/>
          <w:bCs/>
        </w:rPr>
        <w:t>The trial is expected within 12-24 months.</w:t>
      </w:r>
    </w:p>
    <w:p>
      <w:pPr>
        <w:pStyle w:val="Normal"/>
        <w:numPr>
          <w:ilvl w:val="0"/>
          <w:numId w:val="16"/>
        </w:numPr>
        <w:jc w:val="both"/>
        <w:rPr>
          <w:rFonts w:ascii="Times New Roman" w:hAnsi="Times New Roman" w:cs="Times New Roman"/>
          <w:bCs/>
        </w:rPr>
      </w:pPr>
      <w:r>
        <w:rPr>
          <w:rFonts w:cs="Times New Roman" w:ascii="Times New Roman" w:hAnsi="Times New Roman"/>
          <w:bCs/>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6"/>
        </w:numPr>
        <w:jc w:val="both"/>
        <w:rPr>
          <w:rFonts w:ascii="Times New Roman" w:hAnsi="Times New Roman" w:cs="Times New Roman"/>
          <w:bCs/>
        </w:rPr>
      </w:pPr>
      <w:r>
        <w:rPr>
          <w:rFonts w:cs="Times New Roman" w:ascii="Times New Roman" w:hAnsi="Times New Roman"/>
          <w:bCs/>
        </w:rPr>
        <w:t>The Plaintiffs filed a motion for a rehearing of the trial court’s rulings.  On January 18</w:t>
      </w:r>
      <w:r>
        <w:rPr>
          <w:rFonts w:cs="Times New Roman" w:ascii="Times New Roman" w:hAnsi="Times New Roman"/>
          <w:bCs/>
          <w:vertAlign w:val="superscript"/>
        </w:rPr>
        <w:t>th</w:t>
      </w:r>
      <w:r>
        <w:rPr>
          <w:rFonts w:cs="Times New Roman" w:ascii="Times New Roman" w:hAnsi="Times New Roman"/>
          <w:bCs/>
        </w:rPr>
        <w:t>, the Court denied the motion for rehearing.  Plaintiffs have indicated they will appeal.</w:t>
      </w:r>
    </w:p>
    <w:p>
      <w:pPr>
        <w:pStyle w:val="Normal"/>
        <w:jc w:val="both"/>
        <w:rPr>
          <w:rFonts w:ascii="Times New Roman" w:hAnsi="Times New Roman" w:cs="Times New Roman"/>
          <w:bCs/>
          <w:i/>
          <w:i/>
          <w:u w:val="single"/>
        </w:rPr>
      </w:pPr>
      <w:r>
        <w:rPr>
          <w:rFonts w:cs="Times New Roman" w:ascii="Times New Roman" w:hAnsi="Times New Roman"/>
          <w:bCs/>
          <w:i/>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Hendricks, City of San Francisco, and Sweetwater</w:t>
      </w:r>
    </w:p>
    <w:p>
      <w:pPr>
        <w:pStyle w:val="Normal"/>
        <w:jc w:val="both"/>
        <w:rPr>
          <w:rFonts w:ascii="Times New Roman" w:hAnsi="Times New Roman" w:cs="Times New Roman"/>
          <w:bCs/>
        </w:rPr>
      </w:pPr>
      <w:r>
        <w:rPr>
          <w:rFonts w:cs="Times New Roman" w:ascii="Times New Roman" w:hAnsi="Times New Roman"/>
          <w:bCs/>
        </w:rPr>
        <w:t>(Gibbs &amp; Bruns/Brobeck, Pflager &amp; Harrison</w:t>
      </w:r>
      <w:r>
        <w:rPr>
          <w:rFonts w:cs="Times New Roman" w:ascii="Times New Roman" w:hAnsi="Times New Roman"/>
          <w:bCs/>
          <w:color w:val="000000"/>
          <w:szCs w:val="18"/>
        </w:rPr>
        <w:t>)</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8"/>
        </w:numPr>
        <w:jc w:val="both"/>
        <w:rPr>
          <w:rFonts w:ascii="Times New Roman" w:hAnsi="Times New Roman" w:cs="Times New Roman"/>
          <w:bCs/>
        </w:rPr>
      </w:pPr>
      <w:r>
        <w:rPr>
          <w:rFonts w:cs="Times New Roman" w:ascii="Times New Roman" w:hAnsi="Times New Roman"/>
          <w:bCs/>
        </w:rPr>
        <w:t>As a result of the California energy crisis, EPMI and EES have been sued in three separate cases.  All three lawsuits allege violations of the California anti-trust and unfair competition laws.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Hendricks</w:t>
      </w:r>
      <w:r>
        <w:rPr>
          <w:rFonts w:cs="Times New Roman" w:ascii="Times New Roman" w:hAnsi="Times New Roman"/>
          <w:bCs/>
        </w:rPr>
        <w:t xml:space="preserve"> is a class action filed in San Diego on behalf of all Californians.</w:t>
      </w:r>
    </w:p>
    <w:p>
      <w:pPr>
        <w:pStyle w:val="Normal"/>
        <w:ind w:start="1080" w:end="0"/>
        <w:jc w:val="both"/>
        <w:rPr>
          <w:rFonts w:ascii="Times New Roman" w:hAnsi="Times New Roman" w:cs="Times New Roman"/>
          <w:bCs/>
        </w:rPr>
      </w:pPr>
      <w:r>
        <w:rPr>
          <w:rFonts w:cs="Times New Roman" w:ascii="Times New Roman" w:hAnsi="Times New Roman"/>
          <w:bCs/>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City of San Francisco</w:t>
      </w:r>
      <w:r>
        <w:rPr>
          <w:rFonts w:cs="Times New Roman" w:ascii="Times New Roman" w:hAnsi="Times New Roman"/>
          <w:bCs/>
          <w:i/>
          <w:iCs/>
        </w:rPr>
        <w:t xml:space="preserve"> is </w:t>
      </w:r>
      <w:r>
        <w:rPr>
          <w:rFonts w:cs="Times New Roman" w:ascii="Times New Roman" w:hAnsi="Times New Roman"/>
          <w:bCs/>
        </w:rPr>
        <w:t>a lawsuit filed in San Francisco on behalf of the City of San Francisco and all its rate payers.</w:t>
      </w:r>
    </w:p>
    <w:p>
      <w:pPr>
        <w:pStyle w:val="Normal"/>
        <w:jc w:val="both"/>
        <w:rPr>
          <w:rFonts w:ascii="Times New Roman" w:hAnsi="Times New Roman" w:cs="Times New Roman"/>
          <w:bCs/>
          <w:i/>
          <w:i/>
          <w:iCs/>
          <w:u w:val="single"/>
        </w:rPr>
      </w:pPr>
      <w:r>
        <w:rPr>
          <w:rFonts w:cs="Times New Roman" w:ascii="Times New Roman" w:hAnsi="Times New Roman"/>
          <w:bCs/>
          <w:i/>
          <w:iCs/>
          <w:u w:val="single"/>
        </w:rPr>
      </w:r>
    </w:p>
    <w:p>
      <w:pPr>
        <w:pStyle w:val="Normal"/>
        <w:numPr>
          <w:ilvl w:val="1"/>
          <w:numId w:val="8"/>
        </w:numPr>
        <w:jc w:val="both"/>
        <w:rPr>
          <w:rFonts w:ascii="Times New Roman" w:hAnsi="Times New Roman" w:cs="Times New Roman"/>
          <w:bCs/>
        </w:rPr>
      </w:pPr>
      <w:r>
        <w:rPr>
          <w:rFonts w:cs="Times New Roman" w:ascii="Times New Roman" w:hAnsi="Times New Roman"/>
          <w:bCs/>
          <w:i/>
          <w:iCs/>
          <w:u w:val="single"/>
        </w:rPr>
        <w:t>Sweetwater Authority</w:t>
      </w:r>
      <w:r>
        <w:rPr>
          <w:rFonts w:cs="Times New Roman" w:ascii="Times New Roman" w:hAnsi="Times New Roman"/>
          <w:bCs/>
        </w:rPr>
        <w:t xml:space="preserve"> was filed in San Diego by three water districts based in Southern California.</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15"/>
        </w:numPr>
        <w:jc w:val="both"/>
        <w:rPr>
          <w:rFonts w:ascii="Times New Roman" w:hAnsi="Times New Roman" w:cs="Times New Roman"/>
          <w:bCs/>
        </w:rPr>
      </w:pPr>
      <w:r>
        <w:rPr>
          <w:rFonts w:cs="Times New Roman" w:ascii="Times New Roman" w:hAnsi="Times New Roman"/>
          <w:bCs/>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15"/>
        </w:numPr>
        <w:jc w:val="both"/>
        <w:rPr>
          <w:rFonts w:ascii="Times New Roman" w:hAnsi="Times New Roman" w:cs="Times New Roman"/>
          <w:bCs/>
        </w:rPr>
      </w:pPr>
      <w:r>
        <w:rPr>
          <w:rFonts w:cs="Times New Roman" w:ascii="Times New Roman" w:hAnsi="Times New Roman"/>
          <w:bCs/>
        </w:rPr>
        <w:t>All cases filed in California have been removed to Federal District Court.  This removal stays all discovery.</w:t>
      </w:r>
    </w:p>
    <w:p>
      <w:pPr>
        <w:pStyle w:val="Normal"/>
        <w:jc w:val="both"/>
        <w:rPr>
          <w:rFonts w:ascii="Times New Roman" w:hAnsi="Times New Roman" w:cs="Times New Roman"/>
          <w:bCs/>
          <w:i/>
          <w:i/>
          <w:u w:val="single"/>
        </w:rPr>
      </w:pPr>
      <w:r>
        <w:rPr>
          <w:rFonts w:cs="Times New Roman" w:ascii="Times New Roman" w:hAnsi="Times New Roman"/>
          <w:bCs/>
          <w:i/>
          <w:u w:val="single"/>
        </w:rPr>
      </w:r>
    </w:p>
    <w:p>
      <w:pPr>
        <w:pStyle w:val="Heading1"/>
        <w:numPr>
          <w:ilvl w:val="0"/>
          <w:numId w:val="0"/>
        </w:numPr>
        <w:ind w:hanging="0" w:start="0"/>
        <w:rPr>
          <w:b w:val="false"/>
          <w:bCs/>
          <w:i/>
          <w:i/>
          <w:iCs/>
          <w:sz w:val="20"/>
        </w:rPr>
      </w:pPr>
      <w:r>
        <w:rPr>
          <w:b w:val="false"/>
          <w:bCs/>
          <w:i/>
          <w:iCs/>
          <w:sz w:val="20"/>
        </w:rPr>
        <w:t>Enron Power Marketing, Inc. v. Tennessee Valley Authority</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t>(Tennessee Federal District Court) (Gibbs &amp; Bruns)</w:t>
      </w:r>
    </w:p>
    <w:p>
      <w:pPr>
        <w:pStyle w:val="Normal"/>
        <w:numPr>
          <w:ilvl w:val="0"/>
          <w:numId w:val="0"/>
        </w:numPr>
        <w:ind w:hanging="0" w:start="0"/>
        <w:jc w:val="both"/>
        <w:rPr>
          <w:rFonts w:ascii="Times New Roman" w:hAnsi="Times New Roman" w:cs="Times New Roman"/>
          <w:bCs/>
          <w:i/>
          <w:i/>
          <w:u w:val="single"/>
        </w:rPr>
      </w:pPr>
      <w:r>
        <w:rPr>
          <w:rFonts w:cs="Times New Roman" w:ascii="Times New Roman" w:hAnsi="Times New Roman"/>
          <w:bCs/>
          <w:i/>
          <w:u w:val="single"/>
        </w:rPr>
      </w:r>
    </w:p>
    <w:p>
      <w:pPr>
        <w:pStyle w:val="Normal"/>
        <w:numPr>
          <w:ilvl w:val="0"/>
          <w:numId w:val="16"/>
        </w:numPr>
        <w:jc w:val="both"/>
        <w:rPr>
          <w:rFonts w:ascii="Times New Roman" w:hAnsi="Times New Roman" w:cs="Times New Roman"/>
          <w:bCs/>
        </w:rPr>
      </w:pPr>
      <w:r>
        <w:rPr>
          <w:rFonts w:cs="Times New Roman" w:ascii="Times New Roman" w:hAnsi="Times New Roman"/>
          <w:bCs/>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On January 27, 2000, EPMI terminated the MOPA.</w:t>
      </w:r>
    </w:p>
    <w:p>
      <w:pPr>
        <w:pStyle w:val="Normal"/>
        <w:numPr>
          <w:ilvl w:val="0"/>
          <w:numId w:val="9"/>
        </w:numPr>
        <w:jc w:val="both"/>
        <w:rPr>
          <w:rFonts w:ascii="Times New Roman" w:hAnsi="Times New Roman" w:cs="Times New Roman"/>
          <w:bCs/>
          <w:i/>
          <w:i/>
          <w:u w:val="single"/>
        </w:rPr>
      </w:pPr>
      <w:r>
        <w:rPr>
          <w:rFonts w:cs="Times New Roman" w:ascii="Times New Roman" w:hAnsi="Times New Roman"/>
          <w:bCs/>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9"/>
        </w:numPr>
        <w:jc w:val="both"/>
        <w:rPr>
          <w:rFonts w:ascii="Times New Roman" w:hAnsi="Times New Roman" w:cs="Times New Roman"/>
          <w:bCs/>
        </w:rPr>
      </w:pPr>
      <w:r>
        <w:rPr>
          <w:rFonts w:cs="Times New Roman" w:ascii="Times New Roman" w:hAnsi="Times New Roman"/>
          <w:bCs/>
        </w:rPr>
        <w:t>On March 5, 2000, TVA filed an answer and counterclaim.  In its counterclaim, TVA requests monetary damages and injunctive relief for EPMI’s breach of the MOPA.</w:t>
      </w:r>
    </w:p>
    <w:p>
      <w:pPr>
        <w:pStyle w:val="Normal"/>
        <w:numPr>
          <w:ilvl w:val="0"/>
          <w:numId w:val="16"/>
        </w:numPr>
        <w:jc w:val="both"/>
        <w:rPr>
          <w:rFonts w:ascii="Times New Roman" w:hAnsi="Times New Roman" w:cs="Times New Roman"/>
          <w:bCs/>
        </w:rPr>
      </w:pPr>
      <w:r>
        <w:rPr>
          <w:rFonts w:cs="Times New Roman" w:ascii="Times New Roman" w:hAnsi="Times New Roman"/>
          <w:bCs/>
        </w:rPr>
        <w:t>On January 15, 2001, the case settled for $244 million.</w:t>
      </w:r>
    </w:p>
    <w:p>
      <w:pPr>
        <w:pStyle w:val="Normal"/>
        <w:ind w:start="720" w:end="0"/>
        <w:jc w:val="both"/>
        <w:rPr>
          <w:rFonts w:ascii="Times New Roman" w:hAnsi="Times New Roman" w:cs="Times New Roman"/>
          <w:bCs/>
        </w:rPr>
      </w:pPr>
      <w:r>
        <w:rPr>
          <w:rFonts w:cs="Times New Roman" w:ascii="Times New Roman" w:hAnsi="Times New Roman"/>
          <w:bCs/>
        </w:rPr>
      </w:r>
      <w:r>
        <w:br w:type="page"/>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i/>
          <w:u w:val="single"/>
        </w:rPr>
        <w:t>Glatzer v. Enron Corp. and Enron Finance Corp.</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t>(New York state court) (Susman Godfrey)</w:t>
      </w:r>
    </w:p>
    <w:p>
      <w:pPr>
        <w:pStyle w:val="Normal"/>
        <w:numPr>
          <w:ilvl w:val="0"/>
          <w:numId w:val="0"/>
        </w:numPr>
        <w:ind w:hanging="0" w:start="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damages are unspecified, but he has offered to settle for $1 million</w:t>
      </w:r>
    </w:p>
    <w:p>
      <w:pPr>
        <w:pStyle w:val="Normal"/>
        <w:numPr>
          <w:ilvl w:val="0"/>
          <w:numId w:val="16"/>
        </w:numPr>
        <w:jc w:val="both"/>
        <w:rPr>
          <w:rFonts w:ascii="Times New Roman" w:hAnsi="Times New Roman" w:cs="Times New Roman"/>
          <w:bCs/>
        </w:rPr>
      </w:pPr>
      <w:r>
        <w:rPr>
          <w:rFonts w:cs="Times New Roman" w:ascii="Times New Roman" w:hAnsi="Times New Roman"/>
          <w:bCs/>
        </w:rPr>
        <w:t xml:space="preserve">ECT filed a motion for summary judgment and on July 14, 1999, the Court granted ECT’s motion for summary judgment. </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The plaintiff appealed the granting of the motion for summary judgment.  On December 10, 2001, the Court of Appeals affirmed the trial court’s decision granting summary judgment.</w:t>
      </w:r>
    </w:p>
    <w:p>
      <w:pPr>
        <w:pStyle w:val="Normal"/>
        <w:numPr>
          <w:ilvl w:val="0"/>
          <w:numId w:val="16"/>
        </w:numPr>
        <w:jc w:val="both"/>
        <w:rPr>
          <w:rFonts w:ascii="Times New Roman" w:hAnsi="Times New Roman" w:cs="Times New Roman"/>
          <w:bCs/>
          <w:i/>
          <w:i/>
          <w:u w:val="single"/>
        </w:rPr>
      </w:pPr>
      <w:r>
        <w:rPr>
          <w:rFonts w:cs="Times New Roman" w:ascii="Times New Roman" w:hAnsi="Times New Roman"/>
          <w:bCs/>
        </w:rPr>
        <w:t>Plaintiff has recently offered to settle for $500,000.</w:t>
      </w:r>
    </w:p>
    <w:p>
      <w:pPr>
        <w:pStyle w:val="Normal"/>
        <w:ind w:start="720" w:end="0"/>
        <w:jc w:val="both"/>
        <w:rPr>
          <w:rFonts w:ascii="Times New Roman" w:hAnsi="Times New Roman" w:cs="Times New Roman"/>
          <w:bCs/>
          <w:i/>
          <w:i/>
          <w:u w:val="single"/>
        </w:rPr>
      </w:pPr>
      <w:r>
        <w:rPr>
          <w:rFonts w:cs="Times New Roman" w:ascii="Times New Roman" w:hAnsi="Times New Roman"/>
          <w:bCs/>
          <w:i/>
          <w:u w:val="single"/>
        </w:rPr>
      </w:r>
    </w:p>
    <w:p>
      <w:pPr>
        <w:pStyle w:val="Normal"/>
        <w:jc w:val="both"/>
        <w:rPr>
          <w:rFonts w:ascii="Times New Roman" w:hAnsi="Times New Roman" w:cs="Times New Roman"/>
          <w:bCs/>
        </w:rPr>
      </w:pPr>
      <w:r>
        <w:rPr>
          <w:rFonts w:cs="Times New Roman" w:ascii="Times New Roman" w:hAnsi="Times New Roman"/>
          <w:bCs/>
          <w:i/>
          <w:u w:val="single"/>
        </w:rPr>
        <w:t>EnSerCo, L.L.C.v. Drilling Rig Noram 253 and SAM Offshore, Ltd.</w:t>
      </w:r>
    </w:p>
    <w:p>
      <w:pPr>
        <w:pStyle w:val="Normal"/>
        <w:jc w:val="both"/>
        <w:rPr>
          <w:rFonts w:ascii="Times New Roman" w:hAnsi="Times New Roman" w:cs="Times New Roman"/>
          <w:bCs/>
        </w:rPr>
      </w:pPr>
      <w:r>
        <w:rPr>
          <w:rFonts w:cs="Times New Roman" w:ascii="Times New Roman" w:hAnsi="Times New Roman"/>
          <w:bCs/>
        </w:rPr>
        <w:t>(Southern District, Galveston Division) (Gardere Wynne Sewell &amp; Riggs)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Sam Offshore defaulted on $15,500,000 Promissory Note</w:t>
      </w:r>
    </w:p>
    <w:p>
      <w:pPr>
        <w:pStyle w:val="Normal"/>
        <w:numPr>
          <w:ilvl w:val="0"/>
          <w:numId w:val="16"/>
        </w:numPr>
        <w:jc w:val="both"/>
        <w:rPr>
          <w:rFonts w:ascii="Times New Roman" w:hAnsi="Times New Roman" w:cs="Times New Roman"/>
          <w:bCs/>
        </w:rPr>
      </w:pPr>
      <w:r>
        <w:rPr>
          <w:rFonts w:cs="Times New Roman" w:ascii="Times New Roman" w:hAnsi="Times New Roman"/>
          <w:bCs/>
        </w:rPr>
        <w:t>Enserco seized the vessel on October 15, 1999.  The rig is located in Galveston</w:t>
      </w:r>
    </w:p>
    <w:p>
      <w:pPr>
        <w:pStyle w:val="Normal"/>
        <w:numPr>
          <w:ilvl w:val="0"/>
          <w:numId w:val="16"/>
        </w:numPr>
        <w:jc w:val="both"/>
        <w:rPr>
          <w:rFonts w:ascii="Times New Roman" w:hAnsi="Times New Roman" w:cs="Times New Roman"/>
          <w:bCs/>
        </w:rPr>
      </w:pPr>
      <w:r>
        <w:rPr>
          <w:rFonts w:cs="Times New Roman" w:ascii="Times New Roman" w:hAnsi="Times New Roman"/>
          <w:bCs/>
        </w:rPr>
        <w:t>Enserco filed suit against the guarantors of the Sam Offshore loan.  The guarantors are foreign companies.</w:t>
      </w:r>
    </w:p>
    <w:p>
      <w:pPr>
        <w:pStyle w:val="Normal"/>
        <w:numPr>
          <w:ilvl w:val="0"/>
          <w:numId w:val="16"/>
        </w:numPr>
        <w:jc w:val="both"/>
        <w:rPr>
          <w:rFonts w:ascii="Times New Roman" w:hAnsi="Times New Roman" w:cs="Times New Roman"/>
          <w:bCs/>
        </w:rPr>
      </w:pPr>
      <w:r>
        <w:rPr>
          <w:rFonts w:cs="Times New Roman" w:ascii="Times New Roman" w:hAnsi="Times New Roman"/>
          <w:bCs/>
        </w:rPr>
        <w:t>Enserco purchased the rig in a judicial foreclosure sale for $1 million.  We are attempting to sell this rig.</w:t>
      </w:r>
    </w:p>
    <w:p>
      <w:pPr>
        <w:pStyle w:val="Normal"/>
        <w:numPr>
          <w:ilvl w:val="0"/>
          <w:numId w:val="16"/>
        </w:numPr>
        <w:jc w:val="both"/>
        <w:rPr>
          <w:rFonts w:ascii="Times New Roman" w:hAnsi="Times New Roman" w:cs="Times New Roman"/>
          <w:bCs/>
        </w:rPr>
      </w:pPr>
      <w:r>
        <w:rPr>
          <w:rFonts w:cs="Times New Roman" w:ascii="Times New Roman" w:hAnsi="Times New Roman"/>
          <w:bCs/>
        </w:rPr>
        <w:t>Prior to the trial, the defendants agreed to a deficiency judgment in favor of Enserco.  Enserco agreed to dismiss fraudulent transfer claims against two defendants.</w:t>
      </w:r>
    </w:p>
    <w:p>
      <w:pPr>
        <w:pStyle w:val="Normal"/>
        <w:numPr>
          <w:ilvl w:val="0"/>
          <w:numId w:val="16"/>
        </w:numPr>
        <w:jc w:val="both"/>
        <w:rPr>
          <w:rFonts w:ascii="Times New Roman" w:hAnsi="Times New Roman" w:cs="Times New Roman"/>
          <w:bCs/>
        </w:rPr>
      </w:pPr>
      <w:r>
        <w:rPr>
          <w:rFonts w:cs="Times New Roman" w:ascii="Times New Roman" w:hAnsi="Times New Roman"/>
          <w:bCs/>
        </w:rPr>
        <w:t>Discovery is proceeding concerning the amount of the deficiency.</w:t>
      </w:r>
    </w:p>
    <w:p>
      <w:pPr>
        <w:pStyle w:val="Normal"/>
        <w:ind w:start="720" w:end="0"/>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Nakonthai Strip Mill (NSM) Thailand</w:t>
      </w:r>
    </w:p>
    <w:p>
      <w:pPr>
        <w:pStyle w:val="Subject"/>
        <w:tabs>
          <w:tab w:val="clear" w:pos="720"/>
          <w:tab w:val="left" w:pos="540" w:leader="none"/>
        </w:tabs>
        <w:rPr>
          <w:rFonts w:ascii="Times New Roman" w:hAnsi="Times New Roman" w:cs="Times New Roman"/>
          <w:bCs/>
        </w:rPr>
      </w:pPr>
      <w:r>
        <w:rPr>
          <w:rFonts w:cs="Times New Roman" w:ascii="Times New Roman" w:hAnsi="Times New Roman"/>
          <w:bCs/>
        </w:rPr>
        <w:t>(Los Angeles State Court) (Millbank, Tweed)</w:t>
      </w:r>
    </w:p>
    <w:p>
      <w:pPr>
        <w:pStyle w:val="Normal"/>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6"/>
        </w:numPr>
        <w:jc w:val="both"/>
        <w:rPr>
          <w:rFonts w:ascii="Times New Roman" w:hAnsi="Times New Roman" w:cs="Times New Roman"/>
          <w:bCs/>
        </w:rPr>
      </w:pPr>
      <w:r>
        <w:rPr>
          <w:rFonts w:cs="Times New Roman" w:ascii="Times New Roman" w:hAnsi="Times New Roman"/>
          <w:bCs/>
        </w:rPr>
        <w:t>ECT Securities was an underwriter for approximately $25 million of the bonds and may have liability for any misrepresentations contained in the offering memorandum.</w:t>
      </w:r>
    </w:p>
    <w:p>
      <w:pPr>
        <w:pStyle w:val="Normal"/>
        <w:numPr>
          <w:ilvl w:val="0"/>
          <w:numId w:val="16"/>
        </w:numPr>
        <w:jc w:val="both"/>
        <w:rPr>
          <w:rFonts w:ascii="Times New Roman" w:hAnsi="Times New Roman" w:cs="Times New Roman"/>
          <w:bCs/>
        </w:rPr>
      </w:pPr>
      <w:r>
        <w:rPr>
          <w:rFonts w:cs="Times New Roman" w:ascii="Times New Roman" w:hAnsi="Times New Roman"/>
          <w:bCs/>
        </w:rPr>
        <w:t>Several lawsuits have been filed against our co-underwriters claiming alleged misrepresentations in the offering memorandum.  The lawsuits are pending in Minneapolis, New Jersey, Chicago and Los Angeles.</w:t>
      </w:r>
    </w:p>
    <w:p>
      <w:pPr>
        <w:pStyle w:val="Normal"/>
        <w:numPr>
          <w:ilvl w:val="0"/>
          <w:numId w:val="16"/>
        </w:numPr>
        <w:jc w:val="both"/>
        <w:rPr>
          <w:rFonts w:ascii="Times New Roman" w:hAnsi="Times New Roman" w:cs="Times New Roman"/>
          <w:bCs/>
        </w:rPr>
      </w:pPr>
      <w:r>
        <w:rPr>
          <w:rFonts w:cs="Times New Roman" w:ascii="Times New Roman" w:hAnsi="Times New Roman"/>
          <w:bCs/>
        </w:rPr>
        <w:t>ECT Securities has been sued by Farrollan and Legg Mason in Los Angeles State District Court.</w:t>
      </w:r>
    </w:p>
    <w:p>
      <w:pPr>
        <w:pStyle w:val="Normal"/>
        <w:numPr>
          <w:ilvl w:val="0"/>
          <w:numId w:val="16"/>
        </w:numPr>
        <w:jc w:val="both"/>
        <w:rPr>
          <w:rFonts w:ascii="Times New Roman" w:hAnsi="Times New Roman" w:cs="Times New Roman"/>
          <w:bCs/>
        </w:rPr>
      </w:pPr>
      <w:r>
        <w:rPr>
          <w:rFonts w:cs="Times New Roman" w:ascii="Times New Roman" w:hAnsi="Times New Roman"/>
          <w:bCs/>
        </w:rPr>
        <w:t>Extensive discovery has been conducted to date.  Enron employees’ depositions are scheduled on February 14, 2001.  Trial is set in July 2001.</w:t>
      </w:r>
    </w:p>
    <w:p>
      <w:pPr>
        <w:pStyle w:val="Normal"/>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Grynberg</w:t>
      </w:r>
    </w:p>
    <w:p>
      <w:pPr>
        <w:pStyle w:val="Footer"/>
        <w:tabs>
          <w:tab w:val="clear" w:pos="4320"/>
          <w:tab w:val="clear" w:pos="8640"/>
          <w:tab w:val="left" w:pos="540" w:leader="none"/>
        </w:tabs>
        <w:rPr>
          <w:rFonts w:ascii="Times New Roman" w:hAnsi="Times New Roman" w:cs="Times New Roman"/>
          <w:bCs/>
        </w:rPr>
      </w:pPr>
      <w:r>
        <w:rPr>
          <w:rFonts w:cs="Times New Roman" w:ascii="Times New Roman" w:hAnsi="Times New Roman"/>
          <w:bCs/>
        </w:rPr>
        <w:t>(Wyoming Federal Court) (Gibbs &amp; Bruns) (Vinson &amp; Elkins)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Qui tam action brought against HPL, LRC, and all pipeline companies in America alleging fraudulent practices in the measurement of gas.</w:t>
      </w:r>
    </w:p>
    <w:p>
      <w:pPr>
        <w:pStyle w:val="Normal"/>
        <w:numPr>
          <w:ilvl w:val="0"/>
          <w:numId w:val="16"/>
        </w:numPr>
        <w:jc w:val="both"/>
        <w:rPr>
          <w:rFonts w:ascii="Times New Roman" w:hAnsi="Times New Roman" w:cs="Times New Roman"/>
          <w:bCs/>
        </w:rPr>
      </w:pPr>
      <w:r>
        <w:rPr>
          <w:rFonts w:cs="Times New Roman" w:ascii="Times New Roman" w:hAnsi="Times New Roman"/>
          <w:bCs/>
        </w:rPr>
        <w:t>All of the cases have been consolidated in Wyoming.</w:t>
      </w:r>
    </w:p>
    <w:p>
      <w:pPr>
        <w:pStyle w:val="Normal"/>
        <w:numPr>
          <w:ilvl w:val="0"/>
          <w:numId w:val="16"/>
        </w:numPr>
        <w:jc w:val="both"/>
        <w:rPr>
          <w:rFonts w:ascii="Times New Roman" w:hAnsi="Times New Roman" w:cs="Times New Roman"/>
          <w:bCs/>
        </w:rPr>
      </w:pPr>
      <w:r>
        <w:rPr>
          <w:rFonts w:cs="Times New Roman" w:ascii="Times New Roman" w:hAnsi="Times New Roman"/>
          <w:bCs/>
        </w:rPr>
        <w:t xml:space="preserve">On March 18, 2000,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bCs/>
          <w:u w:val="single"/>
        </w:rPr>
      </w:pPr>
      <w:r>
        <w:rPr>
          <w:rFonts w:cs="Times New Roman" w:ascii="Times New Roman" w:hAnsi="Times New Roman"/>
          <w:bCs/>
          <w:u w:val="single"/>
        </w:rPr>
      </w:r>
    </w:p>
    <w:p>
      <w:pPr>
        <w:pStyle w:val="Heading6"/>
        <w:ind w:hanging="0" w:start="0"/>
        <w:rPr>
          <w:rFonts w:ascii="Times New Roman" w:hAnsi="Times New Roman" w:cs="Times New Roman"/>
          <w:bCs/>
          <w:u w:val="single"/>
        </w:rPr>
      </w:pPr>
      <w:r>
        <w:rPr>
          <w:rFonts w:cs="Times New Roman" w:ascii="Times New Roman" w:hAnsi="Times New Roman"/>
          <w:bCs/>
          <w:u w:val="single"/>
        </w:rPr>
        <w:t>Qunique Case</w:t>
      </w:r>
    </w:p>
    <w:p>
      <w:pPr>
        <w:pStyle w:val="Footer"/>
        <w:tabs>
          <w:tab w:val="clear" w:pos="4320"/>
          <w:tab w:val="clear" w:pos="8640"/>
          <w:tab w:val="left" w:pos="540" w:leader="none"/>
        </w:tabs>
        <w:rPr>
          <w:rFonts w:ascii="Times New Roman" w:hAnsi="Times New Roman" w:cs="Times New Roman"/>
          <w:bCs/>
        </w:rPr>
      </w:pPr>
      <w:r>
        <w:rPr>
          <w:rFonts w:cs="Times New Roman" w:ascii="Times New Roman" w:hAnsi="Times New Roman"/>
          <w:bCs/>
        </w:rPr>
        <w:t>(Kansas State District Court) (Gibbs &amp; Bruns) (Vinson &amp; Elkins)</w:t>
      </w:r>
    </w:p>
    <w:p>
      <w:pPr>
        <w:pStyle w:val="Normal"/>
        <w:ind w:start="720" w:end="0"/>
        <w:jc w:val="both"/>
        <w:rPr>
          <w:rFonts w:ascii="Times New Roman" w:hAnsi="Times New Roman" w:cs="Times New Roman"/>
          <w:bCs/>
        </w:rPr>
      </w:pPr>
      <w:r>
        <w:rPr>
          <w:rFonts w:cs="Times New Roman" w:ascii="Times New Roman" w:hAnsi="Times New Roman"/>
          <w:bCs/>
        </w:rPr>
      </w:r>
    </w:p>
    <w:p>
      <w:pPr>
        <w:pStyle w:val="Normal"/>
        <w:numPr>
          <w:ilvl w:val="0"/>
          <w:numId w:val="16"/>
        </w:numPr>
        <w:jc w:val="both"/>
        <w:rPr>
          <w:rFonts w:ascii="Times New Roman" w:hAnsi="Times New Roman" w:cs="Times New Roman"/>
          <w:bCs/>
        </w:rPr>
      </w:pPr>
      <w:r>
        <w:rPr>
          <w:rFonts w:cs="Times New Roman" w:ascii="Times New Roman" w:hAnsi="Times New Roman"/>
          <w:bCs/>
        </w:rPr>
        <w:t>This is a national class action filed in State District Court in Kansas on behalf of all gas producers and royalty interest owners alleging fraudulent practices in the measurement of gas.</w:t>
      </w:r>
    </w:p>
    <w:p>
      <w:pPr>
        <w:pStyle w:val="Normal"/>
        <w:numPr>
          <w:ilvl w:val="0"/>
          <w:numId w:val="16"/>
        </w:numPr>
        <w:jc w:val="both"/>
        <w:rPr>
          <w:rFonts w:ascii="Times New Roman" w:hAnsi="Times New Roman" w:cs="Times New Roman"/>
          <w:bCs/>
        </w:rPr>
      </w:pPr>
      <w:r>
        <w:rPr>
          <w:rFonts w:cs="Times New Roman" w:ascii="Times New Roman" w:hAnsi="Times New Roman"/>
          <w:bCs/>
        </w:rPr>
        <w:t>Enron removed the case to the Federal District Court of Kansas City alleging Federal Question jurisdiction.</w:t>
      </w:r>
    </w:p>
    <w:p>
      <w:pPr>
        <w:pStyle w:val="Normal"/>
        <w:numPr>
          <w:ilvl w:val="0"/>
          <w:numId w:val="16"/>
        </w:numPr>
        <w:jc w:val="both"/>
        <w:rPr>
          <w:rFonts w:ascii="Times New Roman" w:hAnsi="Times New Roman" w:cs="Times New Roman"/>
          <w:bCs/>
        </w:rPr>
      </w:pPr>
      <w:r>
        <w:rPr>
          <w:rFonts w:cs="Times New Roman" w:ascii="Times New Roman" w:hAnsi="Times New Roman"/>
          <w:bCs/>
        </w:rPr>
        <w:t>Plaintiffs filed a motion to remand to State District Court.  On January 10</w:t>
      </w:r>
      <w:r>
        <w:rPr>
          <w:rFonts w:cs="Times New Roman" w:ascii="Times New Roman" w:hAnsi="Times New Roman"/>
          <w:bCs/>
          <w:vertAlign w:val="superscript"/>
        </w:rPr>
        <w:t>th</w:t>
      </w:r>
      <w:r>
        <w:rPr>
          <w:rFonts w:cs="Times New Roman" w:ascii="Times New Roman" w:hAnsi="Times New Roman"/>
          <w:bCs/>
        </w:rPr>
        <w:t xml:space="preserve"> the Federal District Court granted Plaintiff’s motion to remand and sent the case back to the State District Court.</w:t>
      </w:r>
    </w:p>
    <w:p>
      <w:pPr>
        <w:pStyle w:val="Normal"/>
        <w:numPr>
          <w:ilvl w:val="0"/>
          <w:numId w:val="16"/>
        </w:numPr>
        <w:jc w:val="both"/>
        <w:rPr>
          <w:rFonts w:ascii="Times New Roman" w:hAnsi="Times New Roman" w:cs="Times New Roman"/>
          <w:bCs/>
        </w:rPr>
      </w:pPr>
      <w:r>
        <w:rPr>
          <w:rFonts w:cs="Times New Roman" w:ascii="Times New Roman" w:hAnsi="Times New Roman"/>
          <w:bCs/>
        </w:rPr>
        <w:t>We expect Plaintiffs to move for class certification within 6-8 weeks.</w:t>
      </w:r>
      <w:r>
        <w:br w:type="page"/>
      </w:r>
    </w:p>
    <w:p>
      <w:pPr>
        <w:pStyle w:val="Heading6"/>
        <w:ind w:hanging="0" w:start="0"/>
        <w:rPr>
          <w:rFonts w:ascii="Times New Roman" w:hAnsi="Times New Roman" w:cs="Times New Roman"/>
          <w:bCs/>
          <w:u w:val="single"/>
        </w:rPr>
      </w:pPr>
      <w:r>
        <w:rPr>
          <w:rFonts w:cs="Times New Roman" w:ascii="Times New Roman" w:hAnsi="Times New Roman"/>
          <w:bCs/>
          <w:u w:val="single"/>
        </w:rPr>
        <w:t>Enron Power Marketing v. Calpine Corp.</w:t>
      </w:r>
    </w:p>
    <w:p>
      <w:pPr>
        <w:pStyle w:val="Normal"/>
        <w:jc w:val="both"/>
        <w:rPr>
          <w:rFonts w:ascii="Times New Roman" w:hAnsi="Times New Roman" w:cs="Times New Roman"/>
          <w:bCs/>
        </w:rPr>
      </w:pPr>
      <w:r>
        <w:rPr>
          <w:rFonts w:cs="Times New Roman" w:ascii="Times New Roman" w:hAnsi="Times New Roman"/>
          <w:bCs/>
        </w:rPr>
        <w:t>(Houston Federal District Court) (Bill Ogden)</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EPMI filed a lawsuit against Calpine alleging that Calpine breached its contract with EPMI to assume certain power contracts EPMI had with the Lower Colorado River Authority.</w:t>
      </w:r>
    </w:p>
    <w:p>
      <w:pPr>
        <w:pStyle w:val="Normal"/>
        <w:numPr>
          <w:ilvl w:val="0"/>
          <w:numId w:val="15"/>
        </w:numPr>
        <w:jc w:val="both"/>
        <w:rPr>
          <w:rFonts w:ascii="Times New Roman" w:hAnsi="Times New Roman" w:cs="Times New Roman"/>
          <w:bCs/>
        </w:rPr>
      </w:pPr>
      <w:r>
        <w:rPr>
          <w:rFonts w:cs="Times New Roman" w:ascii="Times New Roman" w:hAnsi="Times New Roman"/>
          <w:bCs/>
        </w:rPr>
        <w:t>EPMI's damages will depend on the cost of covering Calpine's position.  The damages are estimated to be $2.4-7.2 million.</w:t>
      </w:r>
    </w:p>
    <w:p>
      <w:pPr>
        <w:pStyle w:val="Normal"/>
        <w:numPr>
          <w:ilvl w:val="0"/>
          <w:numId w:val="15"/>
        </w:numPr>
        <w:jc w:val="both"/>
        <w:rPr>
          <w:rFonts w:ascii="Times New Roman" w:hAnsi="Times New Roman" w:cs="Times New Roman"/>
          <w:bCs/>
        </w:rPr>
      </w:pPr>
      <w:r>
        <w:rPr>
          <w:rFonts w:cs="Times New Roman" w:ascii="Times New Roman" w:hAnsi="Times New Roman"/>
          <w:bCs/>
        </w:rPr>
        <w:t>On March 6, 2000, Calpine filed an answer and removed this case to Federal Court.</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w:t>
      </w:r>
    </w:p>
    <w:p>
      <w:pPr>
        <w:pStyle w:val="Normal"/>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PCA v. Enron Power Marketing</w:t>
      </w:r>
    </w:p>
    <w:p>
      <w:pPr>
        <w:pStyle w:val="Normal"/>
        <w:jc w:val="both"/>
        <w:rPr>
          <w:rFonts w:ascii="Times New Roman" w:hAnsi="Times New Roman" w:cs="Times New Roman"/>
          <w:bCs/>
        </w:rPr>
      </w:pPr>
      <w:r>
        <w:rPr>
          <w:rFonts w:cs="Times New Roman" w:ascii="Times New Roman" w:hAnsi="Times New Roman"/>
          <w:bCs/>
        </w:rPr>
        <w:t>(Connecticut Federal District Court) (Weil Gotshal &amp; Manges/Melanie Gray)</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Lawsuit filed by the PCA bankruptcy trustee alleging wrongful termination of PCA’s power contract.</w:t>
      </w:r>
    </w:p>
    <w:p>
      <w:pPr>
        <w:pStyle w:val="Normal"/>
        <w:numPr>
          <w:ilvl w:val="0"/>
          <w:numId w:val="15"/>
        </w:numPr>
        <w:jc w:val="both"/>
        <w:rPr>
          <w:rFonts w:ascii="Times New Roman" w:hAnsi="Times New Roman" w:cs="Times New Roman"/>
          <w:bCs/>
        </w:rPr>
      </w:pPr>
      <w:r>
        <w:rPr>
          <w:rFonts w:cs="Times New Roman" w:ascii="Times New Roman" w:hAnsi="Times New Roman"/>
          <w:bCs/>
        </w:rPr>
        <w:t>Alleged damages are between $4-12 million.</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w:t>
      </w:r>
    </w:p>
    <w:p>
      <w:pPr>
        <w:pStyle w:val="Heading1"/>
        <w:rPr>
          <w:rFonts w:ascii="Times New Roman" w:hAnsi="Times New Roman" w:cs="Times New Roman"/>
          <w:b w:val="false"/>
          <w:bCs/>
          <w:sz w:val="20"/>
        </w:rPr>
      </w:pPr>
      <w:r>
        <w:rPr>
          <w:rFonts w:cs="Times New Roman"/>
          <w:b w:val="false"/>
          <w:bCs/>
          <w:sz w:val="20"/>
        </w:rPr>
      </w:r>
    </w:p>
    <w:p>
      <w:pPr>
        <w:pStyle w:val="Heading6"/>
        <w:ind w:hanging="0" w:start="0"/>
        <w:rPr>
          <w:rFonts w:ascii="Times New Roman" w:hAnsi="Times New Roman" w:cs="Times New Roman"/>
          <w:bCs/>
          <w:u w:val="single"/>
        </w:rPr>
      </w:pPr>
      <w:r>
        <w:rPr>
          <w:rFonts w:cs="Times New Roman" w:ascii="Times New Roman" w:hAnsi="Times New Roman"/>
          <w:bCs/>
          <w:u w:val="single"/>
        </w:rPr>
        <w:t>Enron v. Antarra Resources</w:t>
      </w:r>
    </w:p>
    <w:p>
      <w:pPr>
        <w:pStyle w:val="Normal"/>
        <w:jc w:val="both"/>
        <w:rPr>
          <w:rFonts w:ascii="Times New Roman" w:hAnsi="Times New Roman" w:cs="Times New Roman"/>
          <w:bCs/>
        </w:rPr>
      </w:pPr>
      <w:r>
        <w:rPr>
          <w:rFonts w:cs="Times New Roman" w:ascii="Times New Roman" w:hAnsi="Times New Roman"/>
          <w:bCs/>
        </w:rPr>
        <w:t xml:space="preserve">(Harris County District Court) (Buck, Keenan &amp; Gage/Jim Keenan) </w:t>
      </w:r>
    </w:p>
    <w:p>
      <w:pPr>
        <w:pStyle w:val="Normal"/>
        <w:numPr>
          <w:ilvl w:val="0"/>
          <w:numId w:val="15"/>
        </w:numPr>
        <w:jc w:val="both"/>
        <w:rPr>
          <w:rFonts w:ascii="Times New Roman" w:hAnsi="Times New Roman" w:cs="Times New Roman"/>
          <w:bCs/>
        </w:rPr>
      </w:pPr>
      <w:r>
        <w:rPr>
          <w:rFonts w:cs="Times New Roman" w:ascii="Times New Roman" w:hAnsi="Times New Roman"/>
          <w:bCs/>
        </w:rPr>
        <w:t>Badack Resources, a subsidiary of Antarra, defaulted on a gas sales agreement with ENA.</w:t>
      </w:r>
    </w:p>
    <w:p>
      <w:pPr>
        <w:pStyle w:val="Normal"/>
        <w:numPr>
          <w:ilvl w:val="0"/>
          <w:numId w:val="15"/>
        </w:numPr>
        <w:jc w:val="both"/>
        <w:rPr>
          <w:rFonts w:ascii="Times New Roman" w:hAnsi="Times New Roman" w:cs="Times New Roman"/>
          <w:bCs/>
        </w:rPr>
      </w:pPr>
      <w:r>
        <w:rPr>
          <w:rFonts w:cs="Times New Roman" w:ascii="Times New Roman" w:hAnsi="Times New Roman"/>
          <w:bCs/>
        </w:rPr>
        <w:t>ENA’s damages are approximately $8.4 million.</w:t>
      </w:r>
    </w:p>
    <w:p>
      <w:pPr>
        <w:pStyle w:val="Normal"/>
        <w:numPr>
          <w:ilvl w:val="0"/>
          <w:numId w:val="15"/>
        </w:numPr>
        <w:jc w:val="both"/>
        <w:rPr>
          <w:rFonts w:ascii="Times New Roman" w:hAnsi="Times New Roman" w:cs="Times New Roman"/>
          <w:bCs/>
        </w:rPr>
      </w:pPr>
      <w:r>
        <w:rPr>
          <w:rFonts w:cs="Times New Roman" w:ascii="Times New Roman" w:hAnsi="Times New Roman"/>
          <w:bCs/>
        </w:rPr>
        <w:t>Antarra was sued under a corporate guaranty.</w:t>
      </w:r>
    </w:p>
    <w:p>
      <w:pPr>
        <w:pStyle w:val="Normal"/>
        <w:numPr>
          <w:ilvl w:val="0"/>
          <w:numId w:val="15"/>
        </w:numPr>
        <w:jc w:val="both"/>
        <w:rPr>
          <w:rFonts w:ascii="Times New Roman" w:hAnsi="Times New Roman" w:cs="Times New Roman"/>
          <w:bCs/>
        </w:rPr>
      </w:pPr>
      <w:r>
        <w:rPr>
          <w:rFonts w:cs="Times New Roman" w:ascii="Times New Roman" w:hAnsi="Times New Roman"/>
          <w:bCs/>
        </w:rPr>
        <w:t>ENA filed a motion for summary judgment on the issue of liability under the gas sales contract.  On December 12, 2000, the Court granted Enron’s motion.</w:t>
      </w:r>
    </w:p>
    <w:p>
      <w:pPr>
        <w:pStyle w:val="Normal"/>
        <w:numPr>
          <w:ilvl w:val="0"/>
          <w:numId w:val="15"/>
        </w:numPr>
        <w:jc w:val="both"/>
        <w:rPr>
          <w:rFonts w:ascii="Times New Roman" w:hAnsi="Times New Roman" w:cs="Times New Roman"/>
          <w:bCs/>
        </w:rPr>
      </w:pPr>
      <w:r>
        <w:rPr>
          <w:rFonts w:cs="Times New Roman" w:ascii="Times New Roman" w:hAnsi="Times New Roman"/>
          <w:bCs/>
        </w:rPr>
        <w:t>Discovery is proceeding on the issue of damages.</w:t>
      </w:r>
    </w:p>
    <w:p>
      <w:pPr>
        <w:pStyle w:val="Normal"/>
        <w:numPr>
          <w:ilvl w:val="0"/>
          <w:numId w:val="15"/>
        </w:numPr>
        <w:jc w:val="both"/>
        <w:rPr>
          <w:rFonts w:ascii="Times New Roman" w:hAnsi="Times New Roman" w:cs="Times New Roman"/>
          <w:bCs/>
        </w:rPr>
      </w:pPr>
      <w:r>
        <w:rPr>
          <w:rFonts w:cs="Times New Roman" w:ascii="Times New Roman" w:hAnsi="Times New Roman"/>
          <w:bCs/>
        </w:rPr>
        <w:t>Plaintiffs have filed a counterclaim alleging breach of a confidentiality agreement and fraud.</w:t>
      </w:r>
    </w:p>
    <w:p>
      <w:pPr>
        <w:pStyle w:val="Normal"/>
        <w:jc w:val="both"/>
        <w:rPr>
          <w:rFonts w:ascii="Times New Roman" w:hAnsi="Times New Roman" w:cs="Times New Roman"/>
          <w:bCs/>
        </w:rPr>
      </w:pPr>
      <w:r>
        <w:rPr>
          <w:rFonts w:cs="Times New Roman" w:ascii="Times New Roman" w:hAnsi="Times New Roman"/>
          <w:bCs/>
        </w:rPr>
      </w:r>
    </w:p>
    <w:p>
      <w:pPr>
        <w:pStyle w:val="Heading6"/>
        <w:ind w:hanging="0" w:start="0"/>
        <w:rPr>
          <w:rFonts w:ascii="Times New Roman" w:hAnsi="Times New Roman" w:cs="Times New Roman"/>
          <w:bCs/>
          <w:u w:val="single"/>
        </w:rPr>
      </w:pPr>
      <w:r>
        <w:rPr>
          <w:rFonts w:cs="Times New Roman" w:ascii="Times New Roman" w:hAnsi="Times New Roman"/>
          <w:bCs/>
          <w:u w:val="single"/>
        </w:rPr>
        <w:t>Wright v. Enron Corporation</w:t>
      </w:r>
    </w:p>
    <w:p>
      <w:pPr>
        <w:pStyle w:val="Normal"/>
        <w:jc w:val="both"/>
        <w:rPr>
          <w:rFonts w:ascii="Times New Roman" w:hAnsi="Times New Roman" w:cs="Times New Roman"/>
          <w:bCs/>
        </w:rPr>
      </w:pPr>
      <w:r>
        <w:rPr>
          <w:rFonts w:cs="Times New Roman" w:ascii="Times New Roman" w:hAnsi="Times New Roman"/>
          <w:bCs/>
        </w:rPr>
        <w:t>(Gibbs &amp; Bruns/Vinson &amp;  Elkins)</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Qui tam case alleging that all marketing affiliates, including ECT, were created to defraud the federal government of royalty obligations.</w:t>
      </w:r>
    </w:p>
    <w:p>
      <w:pPr>
        <w:pStyle w:val="Normal"/>
        <w:numPr>
          <w:ilvl w:val="0"/>
          <w:numId w:val="15"/>
        </w:numPr>
        <w:jc w:val="both"/>
        <w:rPr>
          <w:rFonts w:ascii="Times New Roman" w:hAnsi="Times New Roman" w:cs="Times New Roman"/>
          <w:bCs/>
        </w:rPr>
      </w:pPr>
      <w:r>
        <w:rPr>
          <w:rFonts w:cs="Times New Roman" w:ascii="Times New Roman" w:hAnsi="Times New Roman"/>
          <w:bCs/>
        </w:rPr>
        <w:t xml:space="preserve">This case has been consolidated with the </w:t>
      </w:r>
      <w:r>
        <w:rPr>
          <w:rFonts w:cs="Times New Roman" w:ascii="Times New Roman" w:hAnsi="Times New Roman"/>
          <w:bCs/>
          <w:u w:val="single"/>
        </w:rPr>
        <w:t>Grynberg</w:t>
      </w:r>
      <w:r>
        <w:rPr>
          <w:rFonts w:cs="Times New Roman" w:ascii="Times New Roman" w:hAnsi="Times New Roman"/>
          <w:bCs/>
        </w:rPr>
        <w:t xml:space="preserve"> case in Wyoming.</w:t>
      </w:r>
    </w:p>
    <w:p>
      <w:pPr>
        <w:pStyle w:val="Normal"/>
        <w:numPr>
          <w:ilvl w:val="0"/>
          <w:numId w:val="15"/>
        </w:numPr>
        <w:jc w:val="both"/>
        <w:rPr>
          <w:rFonts w:ascii="Times New Roman" w:hAnsi="Times New Roman" w:cs="Times New Roman"/>
          <w:bCs/>
        </w:rPr>
      </w:pPr>
      <w:r>
        <w:rPr>
          <w:rFonts w:cs="Times New Roman" w:ascii="Times New Roman" w:hAnsi="Times New Roman"/>
          <w:bCs/>
        </w:rPr>
        <w:t>The Department of Justice has not decided whether to intervene in this case.</w:t>
      </w:r>
    </w:p>
    <w:p>
      <w:pPr>
        <w:pStyle w:val="Body"/>
        <w:ind w:start="0" w:end="0"/>
        <w:rPr>
          <w:rFonts w:ascii="Times New Roman" w:hAnsi="Times New Roman" w:cs="Times New Roman"/>
          <w:bCs/>
        </w:rPr>
      </w:pPr>
      <w:r>
        <w:rPr>
          <w:rFonts w:cs="Times New Roman" w:ascii="Times New Roman" w:hAnsi="Times New Roman"/>
          <w:bCs/>
        </w:rPr>
      </w:r>
    </w:p>
    <w:p>
      <w:pPr>
        <w:pStyle w:val="Body"/>
        <w:ind w:start="0" w:end="0"/>
        <w:rPr>
          <w:b/>
        </w:rPr>
      </w:pPr>
      <w:r>
        <w:rPr>
          <w:b/>
        </w:rPr>
        <w:t>POTENTIAL LITIGATION</w:t>
      </w:r>
    </w:p>
    <w:p>
      <w:pPr>
        <w:pStyle w:val="Body"/>
        <w:ind w:start="0" w:end="0"/>
        <w:rPr>
          <w:rFonts w:ascii="Times New Roman" w:hAnsi="Times New Roman" w:cs="Times New Roman"/>
          <w:b/>
          <w:bCs/>
          <w:u w:val="single"/>
        </w:rPr>
      </w:pPr>
      <w:r>
        <w:rPr>
          <w:rFonts w:cs="Times New Roman" w:ascii="Times New Roman" w:hAnsi="Times New Roman"/>
          <w:b/>
          <w:bCs/>
          <w:u w:val="single"/>
        </w:rPr>
      </w:r>
    </w:p>
    <w:p>
      <w:pPr>
        <w:pStyle w:val="Normal"/>
        <w:jc w:val="both"/>
        <w:rPr>
          <w:rFonts w:ascii="Times New Roman" w:hAnsi="Times New Roman" w:cs="Times New Roman"/>
          <w:bCs/>
          <w:i/>
          <w:i/>
          <w:u w:val="single"/>
        </w:rPr>
      </w:pPr>
      <w:r>
        <w:rPr>
          <w:rFonts w:cs="Times New Roman" w:ascii="Times New Roman" w:hAnsi="Times New Roman"/>
          <w:bCs/>
          <w:i/>
          <w:u w:val="single"/>
        </w:rPr>
        <w:t>Brazos River v.  Ponderosa Pine</w:t>
      </w:r>
    </w:p>
    <w:p>
      <w:pPr>
        <w:pStyle w:val="Normal"/>
        <w:jc w:val="both"/>
        <w:rPr>
          <w:rFonts w:ascii="Times New Roman" w:hAnsi="Times New Roman" w:cs="Times New Roman"/>
          <w:bCs/>
        </w:rPr>
      </w:pPr>
      <w:r>
        <w:rPr>
          <w:rFonts w:cs="Times New Roman" w:ascii="Times New Roman" w:hAnsi="Times New Roman"/>
          <w:bCs/>
        </w:rPr>
        <w:t>(Vinson &amp; Elkins/David Harvin)</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Brazos alleges that Ponderosa Pine has defaulted under their Power Purchase Agreement  (“PPA”) because Ponderosa Pine and Tenaska entered into an illegal assignment of the PPA.</w:t>
      </w:r>
    </w:p>
    <w:p>
      <w:pPr>
        <w:pStyle w:val="Normal"/>
        <w:numPr>
          <w:ilvl w:val="0"/>
          <w:numId w:val="15"/>
        </w:numPr>
        <w:jc w:val="both"/>
        <w:rPr>
          <w:rFonts w:ascii="Times New Roman" w:hAnsi="Times New Roman" w:cs="Times New Roman"/>
          <w:bCs/>
        </w:rPr>
      </w:pPr>
      <w:r>
        <w:rPr>
          <w:rFonts w:cs="Times New Roman" w:ascii="Times New Roman" w:hAnsi="Times New Roman"/>
          <w:bCs/>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15"/>
        </w:numPr>
        <w:jc w:val="both"/>
        <w:rPr>
          <w:rFonts w:ascii="Times New Roman" w:hAnsi="Times New Roman" w:cs="Times New Roman"/>
          <w:bCs/>
        </w:rPr>
      </w:pPr>
      <w:r>
        <w:rPr>
          <w:rFonts w:cs="Times New Roman" w:ascii="Times New Roman" w:hAnsi="Times New Roman"/>
          <w:bCs/>
        </w:rPr>
        <w:t>All attempts to resolve the disputes have been unsuccessful.</w:t>
      </w:r>
    </w:p>
    <w:p>
      <w:pPr>
        <w:pStyle w:val="Normal"/>
        <w:numPr>
          <w:ilvl w:val="0"/>
          <w:numId w:val="15"/>
        </w:numPr>
        <w:jc w:val="both"/>
        <w:rPr>
          <w:rFonts w:ascii="Times New Roman" w:hAnsi="Times New Roman" w:cs="Times New Roman"/>
          <w:bCs/>
        </w:rPr>
      </w:pPr>
      <w:r>
        <w:rPr>
          <w:rFonts w:cs="Times New Roman" w:ascii="Times New Roman" w:hAnsi="Times New Roman"/>
          <w:bCs/>
        </w:rPr>
        <w:t>No lawsuit has been filed.</w:t>
      </w:r>
    </w:p>
    <w:p>
      <w:pPr>
        <w:pStyle w:val="Heading7"/>
        <w:ind w:hanging="0" w:start="0"/>
        <w:rPr>
          <w:rFonts w:ascii="Times New Roman" w:hAnsi="Times New Roman" w:cs="Times New Roman"/>
          <w:b w:val="false"/>
          <w:bCs/>
        </w:rPr>
      </w:pPr>
      <w:r>
        <w:rPr>
          <w:rFonts w:cs="Times New Roman" w:ascii="Times New Roman" w:hAnsi="Times New Roman"/>
          <w:b w:val="false"/>
          <w:bCs/>
        </w:rPr>
      </w:r>
    </w:p>
    <w:p>
      <w:pPr>
        <w:pStyle w:val="Normal"/>
        <w:jc w:val="both"/>
        <w:rPr>
          <w:rFonts w:ascii="Times New Roman" w:hAnsi="Times New Roman" w:cs="Times New Roman"/>
          <w:bCs/>
          <w:i/>
          <w:i/>
          <w:u w:val="single"/>
        </w:rPr>
      </w:pPr>
      <w:r>
        <w:rPr>
          <w:rFonts w:cs="Times New Roman" w:ascii="Times New Roman" w:hAnsi="Times New Roman"/>
          <w:bCs/>
          <w:i/>
          <w:u w:val="single"/>
        </w:rPr>
        <w:t>Project Stanley</w:t>
      </w:r>
    </w:p>
    <w:p>
      <w:pPr>
        <w:pStyle w:val="Normal"/>
        <w:jc w:val="both"/>
        <w:rPr/>
      </w:pPr>
      <w:r>
        <w:rPr>
          <w:rFonts w:cs="Times New Roman" w:ascii="Times New Roman" w:hAnsi="Times New Roman"/>
          <w:bCs/>
        </w:rPr>
        <w:t>(</w:t>
      </w:r>
      <w:r>
        <w:rPr>
          <w:rFonts w:cs="Times New Roman" w:ascii="Times New Roman" w:hAnsi="Times New Roman"/>
          <w:bCs/>
          <w:color w:val="000000"/>
          <w:szCs w:val="18"/>
        </w:rPr>
        <w:t>Blake, Cassels &amp; Graydon – Glen Leslie</w:t>
      </w:r>
      <w:r>
        <w:rPr>
          <w:rFonts w:cs="Times New Roman" w:ascii="Times New Roman" w:hAnsi="Times New Roman"/>
          <w:bCs/>
        </w:rPr>
        <w:t>)</w:t>
      </w:r>
    </w:p>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15"/>
        </w:numPr>
        <w:jc w:val="both"/>
        <w:rPr>
          <w:rFonts w:ascii="Times New Roman" w:hAnsi="Times New Roman" w:cs="Times New Roman"/>
          <w:bCs/>
        </w:rPr>
      </w:pPr>
      <w:r>
        <w:rPr>
          <w:rFonts w:cs="Times New Roman" w:ascii="Times New Roman" w:hAnsi="Times New Roman"/>
          <w:bCs/>
        </w:rPr>
        <w:t>In May, the Canadian government executed a search warrant for certain information related to Enron Canada’s purchase of power from PowerX.  The alleged criminal violation is price fixing.</w:t>
      </w:r>
    </w:p>
    <w:p>
      <w:pPr>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pStyle w:val="Normal"/>
        <w:jc w:val="both"/>
        <w:rPr>
          <w:rFonts w:ascii="Times New Roman" w:hAnsi="Times New Roman" w:cs="Times New Roman"/>
          <w:bCs/>
        </w:rPr>
      </w:pPr>
      <w:r>
        <w:rPr>
          <w:rFonts w:cs="Times New Roman" w:ascii="Times New Roman" w:hAnsi="Times New Roman"/>
          <w:bCs/>
        </w:rPr>
        <w:t>In December, the Canadian Government issued a press release indicating that the investigation has been concluded.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bCs/>
          <w:sz w:val="22"/>
        </w:rPr>
      </w:pPr>
      <w:r>
        <w:rPr>
          <w:rFonts w:cs="Arial Rounded MT Bold" w:ascii="Arial Rounded MT Bold" w:hAnsi="Arial Rounded MT Bold"/>
          <w:bCs/>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jc w:val="both"/>
        <w:rPr/>
      </w:pPr>
      <w:r>
        <w:rPr>
          <w:u w:val="none"/>
        </w:rPr>
        <w:tab/>
      </w:r>
      <w:r>
        <w:rPr/>
        <w:t>Houston</w:t>
      </w:r>
      <w:r>
        <w:rPr>
          <w:u w:val="none"/>
        </w:rPr>
        <w:t xml:space="preserve">  (Jeff Hodge/Elizabeth Sager)</w:t>
      </w:r>
    </w:p>
    <w:p>
      <w:pPr>
        <w:pStyle w:val="Heading5"/>
        <w:keepNext w:val="false"/>
        <w:ind w:hanging="0" w:start="0"/>
        <w:jc w:val="both"/>
        <w:rPr/>
      </w:pPr>
      <w:r>
        <w:rPr>
          <w:u w:val="none"/>
        </w:rPr>
        <w:tab/>
      </w:r>
      <w:r>
        <w:rPr/>
        <w:t>Financial</w:t>
      </w:r>
      <w:r>
        <w:rPr>
          <w:u w:val="none"/>
        </w:rPr>
        <w:t xml:space="preserve">  (Mark Taylor)</w:t>
      </w:r>
    </w:p>
    <w:p>
      <w:pPr>
        <w:pStyle w:val="Heading5"/>
        <w:keepNext w:val="false"/>
        <w:ind w:hanging="0" w:start="0"/>
        <w:jc w:val="both"/>
        <w:rPr/>
      </w:pPr>
      <w:r>
        <w:rPr>
          <w:u w:val="none"/>
        </w:rPr>
        <w:tab/>
      </w:r>
      <w:r>
        <w:rPr/>
        <w:t>Portland</w:t>
      </w:r>
      <w:r>
        <w:rPr>
          <w:u w:val="none"/>
        </w:rPr>
        <w:t xml:space="preserve">  (Elizabeth Sager)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ENRON NET WORKS  (Mark Taylor)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EAST ORIGINATION  (Sheila Tweed/Barbara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WEST ORIGINATION  (Sheila Tweed)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UPSTREAM ORIGINATION  (Barbara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FINANCE/M&amp;A/ENERGY INVESTMENTS  (Lance Schuler/Travis McCullough)</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 xml:space="preserve">CANADA  </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LITIGATION  (Richard Sanders)</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b/>
          <w:sz w:val="22"/>
        </w:rPr>
      </w:pPr>
      <w:r>
        <w:rPr>
          <w:rFonts w:cs="Times New Roman" w:ascii="Times New Roman" w:hAnsi="Times New Roman"/>
          <w:b/>
          <w:sz w:val="22"/>
        </w:rPr>
      </w:r>
    </w:p>
    <w:sectPr>
      <w:headerReference w:type="default" r:id="rId4"/>
      <w:headerReference w:type="first" r:id="rId5"/>
      <w:footerReference w:type="default" r:id="rId6"/>
      <w:footerReference w:type="first" r:id="rId7"/>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Arial Rounded MT Bold">
    <w:charset w:val="00" w:characterSet="windows-1252"/>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/mnt/main-storage/datasets/enron-docs/doc/3.220438.L5VOVDG5H5N5DK3YCEAEQF2ZMTC4YHLOA.1.doc</w:t>
    </w:r>
    <w:r>
      <w:rPr>
        <w:rStyle w:val="PageNumber"/>
        <w:sz w:val="12"/>
      </w:rPr>
      <w:fldChar w:fldCharType="end"/>
    </w:r>
  </w:p>
  <w:p>
    <w:pPr>
      <w:pStyle w:val="Footer"/>
      <w:widowControl/>
      <w:tabs>
        <w:tab w:val="clear" w:pos="4320"/>
        <w:tab w:val="center" w:pos="4770" w:leader="none"/>
        <w:tab w:val="right" w:pos="8640" w:leader="none"/>
      </w:tabs>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w:t>
    </w:r>
    <w:r>
      <w:rPr>
        <w:rStyle w:val="PageNumber"/>
        <w:rFonts w:cs="Times New Roman" w:ascii="Times New Roman" w:hAnsi="Times New Roman"/>
      </w:rPr>
      <w:fldChar w:fldCharType="end"/>
    </w:r>
    <w:r>
      <w:rPr>
        <w:rStyle w:val="PageNumber"/>
        <w:rFonts w:cs="Times New Roman" w:ascii="Times New Roman" w:hAnsi="Times New Roman"/>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/mnt/main-storage/datasets/enron-docs/doc/3.220438.L5VOVDG5H5N5DK3YCEAEQF2ZMTC4YHLOA.1.doc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sz w:val="22"/>
      </w:rPr>
    </w:pPr>
    <w:r>
      <w:rPr>
        <w:b/>
        <w:i/>
        <w:sz w:val="22"/>
      </w:rPr>
      <w:t>PRIVILEGED AND CONFIDENTIAL</w:t>
    </w:r>
  </w:p>
  <w:p>
    <w:pPr>
      <w:pStyle w:val="Header"/>
      <w:widowControl/>
      <w:jc w:val="end"/>
      <w:rPr>
        <w:b/>
        <w:i/>
        <w:i/>
        <w:sz w:val="22"/>
      </w:rPr>
    </w:pPr>
    <w:r>
      <w:rPr>
        <w:b/>
        <w:i/>
        <w:sz w:val="22"/>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start w:val="1"/>
      <w:numFmt w:val="decimal"/>
      <w:lvlText w:val="%1."/>
      <w:lvlJc w:val="start"/>
      <w:pPr>
        <w:tabs>
          <w:tab w:val="num" w:pos="1080"/>
        </w:tabs>
        <w:ind w:start="1080" w:hanging="360"/>
      </w:pPr>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1080" w:hanging="360"/>
      </w:pPr>
      <w:rPr>
        <w:rFonts w:ascii="Symbol" w:hAnsi="Symbol" w:cs="Symbol" w:hint="default"/>
      </w:rPr>
    </w:lvl>
  </w:abstractNum>
  <w:abstractNum w:abstractNumId="16">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8z0">
    <w:name w:val="WW8Num28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Times New Roman" w:hAnsi="Times New Roman" w:eastAsia="Times New Roman" w:cs="Times New Roman"/>
      <w:i/>
    </w:rPr>
  </w:style>
  <w:style w:type="character" w:styleId="WW8Num44z2">
    <w:name w:val="WW8Num44z2"/>
    <w:qFormat/>
    <w:rPr>
      <w:rFonts w:ascii="Wingdings" w:hAnsi="Wingdings" w:cs="Wingdings"/>
    </w:rPr>
  </w:style>
  <w:style w:type="character" w:styleId="WW8Num44z4">
    <w:name w:val="WW8Num44z4"/>
    <w:qFormat/>
    <w:rPr>
      <w:rFonts w:ascii="Courier New" w:hAnsi="Courier New" w:cs="Courier New"/>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9z0">
    <w:name w:val="WW8Num49z0"/>
    <w:qFormat/>
    <w:rPr/>
  </w:style>
  <w:style w:type="character" w:styleId="WW8Num50z0">
    <w:name w:val="WW8Num50z0"/>
    <w:qFormat/>
    <w:rPr/>
  </w:style>
  <w:style w:type="character" w:styleId="WW8Num56z0">
    <w:name w:val="WW8Num56z0"/>
    <w:qFormat/>
    <w:rPr/>
  </w:style>
  <w:style w:type="character" w:styleId="WW8Num61z0">
    <w:name w:val="WW8Num61z0"/>
    <w:qFormat/>
    <w:rPr>
      <w:rFonts w:ascii="Tms Rmn;Times New Roman" w:hAnsi="Tms Rmn;Times New Roman" w:cs="Tms Rmn;Times New Roman"/>
    </w:rPr>
  </w:style>
  <w:style w:type="character" w:styleId="WW8Num64z0">
    <w:name w:val="WW8Num64z0"/>
    <w:qFormat/>
    <w:rPr/>
  </w:style>
  <w:style w:type="character" w:styleId="WW8Num65z0">
    <w:name w:val="WW8Num65z0"/>
    <w:qFormat/>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70z0">
    <w:name w:val="WW8Num70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2z0">
    <w:name w:val="WW8Num82z0"/>
    <w:qFormat/>
    <w:rPr/>
  </w:style>
  <w:style w:type="character" w:styleId="WW8Num82z1">
    <w:name w:val="WW8Num82z1"/>
    <w:qFormat/>
    <w:rPr>
      <w:rFonts w:ascii="Times New Roman" w:hAnsi="Times New Roman" w:eastAsia="Times New Roman" w:cs="Times New Roman"/>
    </w:rPr>
  </w:style>
  <w:style w:type="character" w:styleId="WW8Num83z1">
    <w:name w:val="WW8Num83z1"/>
    <w:qFormat/>
    <w:rPr>
      <w:rFonts w:ascii="Symbol" w:hAnsi="Symbol" w:cs="Symbol"/>
    </w:rPr>
  </w:style>
  <w:style w:type="character" w:styleId="WW8Num85z0">
    <w:name w:val="WW8Num85z0"/>
    <w:qFormat/>
    <w:rPr>
      <w:rFonts w:ascii="Times New Roman" w:hAnsi="Times New Roman"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2001-02-13T18:02:00Z</dcterms:created>
  <dc:creator>kyoung</dc:creator>
  <dc:description/>
  <dc:language>en-CA</dc:language>
  <cp:lastModifiedBy>kyoung</cp:lastModifiedBy>
  <cp:lastPrinted>2001-03-13T09:50:00Z</cp:lastPrinted>
  <dcterms:modified xsi:type="dcterms:W3CDTF">2001-03-13T14:25:00Z</dcterms:modified>
  <cp:revision>38</cp:revision>
  <dc:subject/>
  <dc:title>MEMO FORM</dc:title>
</cp:coreProperties>
</file>