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bidi w:val="0"/>
        <w:ind w:hanging="0" w:start="0" w:end="0"/>
        <w:jc w:val="center"/>
        <w:outlineLvl w:val="0"/>
        <w:rPr>
          <w:b/>
        </w:rPr>
      </w:pPr>
      <w:r>
        <w:rPr>
          <w:b/>
          <w:strike/>
        </w:rPr>
        <w:t>EnronOnline</w:t>
      </w:r>
      <w:r>
        <w:rPr>
          <w:b/>
        </w:rPr>
        <w:t xml:space="preserve"> </w:t>
      </w:r>
      <w:r>
        <w:rPr>
          <w:b/>
          <w:u w:val="double"/>
        </w:rPr>
        <w:t>DEALBENCH</w:t>
      </w:r>
      <w:r>
        <w:rPr>
          <w:b/>
        </w:rPr>
        <w:t xml:space="preserve"> </w:t>
      </w:r>
      <w:r>
        <w:rPr>
          <w:b/>
          <w:u w:val="double"/>
        </w:rPr>
        <w:t>L.L.C.</w:t>
      </w:r>
      <w:r>
        <w:rPr>
          <w:b/>
        </w:rPr>
        <w:t xml:space="preserve"> LINKING AGREEMENT</w:t>
      </w:r>
    </w:p>
    <w:p>
      <w:pPr>
        <w:pStyle w:val="Normal"/>
        <w:bidi w:val="0"/>
        <w:ind w:hanging="0" w:start="0" w:end="0"/>
        <w:jc w:val="center"/>
        <w:rPr>
          <w:b/>
        </w:rPr>
      </w:pPr>
      <w:r>
        <w:rPr>
          <w:b/>
        </w:rPr>
      </w:r>
    </w:p>
    <w:p>
      <w:pPr>
        <w:pStyle w:val="Normal"/>
        <w:bidi w:val="0"/>
        <w:ind w:hanging="0" w:start="0" w:end="0"/>
        <w:jc w:val="start"/>
        <w:rPr>
          <w:sz w:val="22"/>
        </w:rPr>
      </w:pPr>
      <w:r>
        <w:rPr>
          <w:sz w:val="22"/>
        </w:rPr>
      </w:r>
    </w:p>
    <w:p>
      <w:pPr>
        <w:pStyle w:val="Normal"/>
        <w:bidi w:val="0"/>
        <w:ind w:hanging="0" w:start="0" w:end="0"/>
        <w:jc w:val="start"/>
        <w:rPr>
          <w:strike/>
          <w:sz w:val="22"/>
        </w:rPr>
      </w:pPr>
      <w:r>
        <w:rPr>
          <w:strike/>
          <w:sz w:val="22"/>
        </w:rPr>
      </w:r>
    </w:p>
    <w:p>
      <w:pPr>
        <w:pStyle w:val="Normal"/>
        <w:bidi w:val="0"/>
        <w:ind w:hanging="0" w:start="0" w:end="0"/>
        <w:jc w:val="start"/>
        <w:rPr>
          <w:strike/>
          <w:sz w:val="22"/>
        </w:rPr>
      </w:pPr>
      <w:r>
        <w:rPr>
          <w:strike/>
          <w:sz w:val="22"/>
        </w:rPr>
        <w:t>(Envera LLC)</w:t>
      </w:r>
    </w:p>
    <w:p>
      <w:pPr>
        <w:pStyle w:val="Normal"/>
        <w:bidi w:val="0"/>
        <w:ind w:hanging="0" w:start="0" w:end="0"/>
        <w:jc w:val="start"/>
        <w:rPr>
          <w:sz w:val="22"/>
        </w:rPr>
      </w:pPr>
      <w:r>
        <w:rPr>
          <w:sz w:val="22"/>
        </w:rPr>
      </w:r>
    </w:p>
    <w:p>
      <w:pPr>
        <w:pStyle w:val="Normal"/>
        <w:bidi w:val="0"/>
        <w:ind w:hanging="0" w:start="0" w:end="0"/>
        <w:jc w:val="both"/>
        <w:rPr>
          <w:sz w:val="22"/>
        </w:rPr>
      </w:pPr>
      <w:r>
        <w:rPr>
          <w:sz w:val="22"/>
        </w:rPr>
        <w:tab/>
        <w:t xml:space="preserve">This Linking Agreement </w:t>
      </w:r>
      <w:r>
        <w:rPr>
          <w:strike/>
          <w:sz w:val="22"/>
        </w:rPr>
        <w:t>(the</w:t>
      </w:r>
      <w:r>
        <w:rPr>
          <w:b/>
          <w:sz w:val="22"/>
          <w:u w:val="double"/>
        </w:rPr>
        <w:t>(this</w:t>
      </w:r>
      <w:r>
        <w:rPr>
          <w:sz w:val="22"/>
        </w:rPr>
        <w:t xml:space="preserve"> "Agreement") is made and entered into as of December ___, </w:t>
      </w:r>
      <w:r>
        <w:rPr>
          <w:strike/>
          <w:sz w:val="22"/>
        </w:rPr>
        <w:t>2000</w:t>
      </w:r>
      <w:r>
        <w:rPr>
          <w:sz w:val="22"/>
        </w:rPr>
        <w:t xml:space="preserve"> </w:t>
      </w:r>
      <w:r>
        <w:rPr>
          <w:b/>
          <w:sz w:val="22"/>
          <w:u w:val="double"/>
        </w:rPr>
        <w:t>2001</w:t>
      </w:r>
      <w:r>
        <w:rPr>
          <w:sz w:val="22"/>
        </w:rPr>
        <w:t xml:space="preserve"> (the "Effective Date") by and between </w:t>
      </w:r>
      <w:r>
        <w:rPr>
          <w:b/>
          <w:strike/>
          <w:sz w:val="22"/>
        </w:rPr>
        <w:t>EnronOnline LLC ("EOL"),</w:t>
      </w:r>
      <w:r>
        <w:rPr>
          <w:b/>
          <w:sz w:val="22"/>
        </w:rPr>
        <w:t xml:space="preserve"> </w:t>
      </w:r>
      <w:r>
        <w:rPr>
          <w:b/>
          <w:sz w:val="22"/>
          <w:u w:val="double"/>
        </w:rPr>
        <w:t>DealBench L.L.C.</w:t>
      </w:r>
      <w:r>
        <w:rPr>
          <w:sz w:val="22"/>
        </w:rPr>
        <w:t xml:space="preserve"> </w:t>
      </w:r>
      <w:r>
        <w:rPr>
          <w:b/>
          <w:sz w:val="22"/>
          <w:u w:val="double"/>
        </w:rPr>
        <w:t>("DealBench"),</w:t>
      </w:r>
      <w:r>
        <w:rPr>
          <w:sz w:val="22"/>
        </w:rPr>
        <w:t xml:space="preserve"> a </w:t>
      </w:r>
      <w:r>
        <w:rPr>
          <w:strike/>
          <w:sz w:val="22"/>
        </w:rPr>
        <w:t>[</w:t>
      </w:r>
      <w:r>
        <w:rPr>
          <w:sz w:val="22"/>
        </w:rPr>
        <w:t xml:space="preserve">Delaware </w:t>
      </w:r>
      <w:r>
        <w:rPr>
          <w:strike/>
          <w:sz w:val="22"/>
        </w:rPr>
        <w:t>]</w:t>
      </w:r>
      <w:r>
        <w:rPr>
          <w:sz w:val="22"/>
        </w:rPr>
        <w:t xml:space="preserve"> limited liability company, and </w:t>
      </w:r>
      <w:r>
        <w:rPr>
          <w:b/>
          <w:sz w:val="22"/>
        </w:rPr>
        <w:t>Envera LLC</w:t>
      </w:r>
      <w:r>
        <w:rPr>
          <w:sz w:val="22"/>
        </w:rPr>
        <w:t xml:space="preserve"> ("Envera"), a Virginia limited liability company (individually a "party" and collectively, the "parties").</w:t>
      </w:r>
    </w:p>
    <w:p>
      <w:pPr>
        <w:pStyle w:val="Normal"/>
        <w:bidi w:val="0"/>
        <w:ind w:hanging="0" w:start="0" w:end="0"/>
        <w:jc w:val="start"/>
        <w:rPr>
          <w:sz w:val="22"/>
        </w:rPr>
      </w:pPr>
      <w:r>
        <w:rPr>
          <w:sz w:val="22"/>
        </w:rPr>
      </w:r>
    </w:p>
    <w:p>
      <w:pPr>
        <w:pStyle w:val="Normal"/>
        <w:numPr>
          <w:ilvl w:val="0"/>
          <w:numId w:val="0"/>
        </w:numPr>
        <w:bidi w:val="0"/>
        <w:ind w:hanging="0" w:start="0" w:end="0"/>
        <w:jc w:val="center"/>
        <w:outlineLvl w:val="0"/>
        <w:rPr>
          <w:sz w:val="22"/>
        </w:rPr>
      </w:pPr>
      <w:r>
        <w:rPr>
          <w:sz w:val="22"/>
        </w:rPr>
        <w:t>RECITALS</w:t>
      </w:r>
    </w:p>
    <w:p>
      <w:pPr>
        <w:pStyle w:val="Normal"/>
        <w:bidi w:val="0"/>
        <w:ind w:hanging="0" w:start="0" w:end="0"/>
        <w:jc w:val="start"/>
        <w:rPr>
          <w:sz w:val="22"/>
        </w:rPr>
      </w:pPr>
      <w:r>
        <w:rPr>
          <w:sz w:val="22"/>
        </w:rPr>
      </w:r>
    </w:p>
    <w:p>
      <w:pPr>
        <w:pStyle w:val="Normal"/>
        <w:bidi w:val="0"/>
        <w:ind w:hanging="0" w:start="0" w:end="0"/>
        <w:jc w:val="both"/>
        <w:rPr>
          <w:sz w:val="22"/>
        </w:rPr>
      </w:pPr>
      <w:r>
        <w:rPr>
          <w:sz w:val="22"/>
        </w:rPr>
        <w:tab/>
        <w:t>A.</w:t>
        <w:tab/>
      </w:r>
      <w:r>
        <w:rPr>
          <w:strike/>
          <w:sz w:val="22"/>
        </w:rPr>
        <w:t>EOL develops, markets and maintains an electronic trading platform and other electronic commerce, advertising and promotional services</w:t>
      </w:r>
      <w:r>
        <w:rPr>
          <w:sz w:val="22"/>
        </w:rPr>
        <w:t xml:space="preserve"> </w:t>
      </w:r>
      <w:r>
        <w:rPr>
          <w:b/>
          <w:sz w:val="22"/>
          <w:u w:val="double"/>
        </w:rPr>
        <w:t xml:space="preserve">DealBench has developed, owns and operates </w:t>
      </w:r>
      <w:r>
        <w:rPr>
          <w:b/>
          <w:i/>
          <w:sz w:val="22"/>
          <w:u w:val="double"/>
        </w:rPr>
        <w:t>DealBench</w:t>
      </w:r>
      <w:r>
        <w:rPr>
          <w:b/>
          <w:sz w:val="22"/>
          <w:u w:val="double"/>
        </w:rPr>
        <w:t>™, a proprietary Worldwide Web-based electronic commerce platform facilitating collaboration on transactions</w:t>
      </w:r>
      <w:r>
        <w:rPr>
          <w:sz w:val="22"/>
        </w:rPr>
        <w:t xml:space="preserve"> on the Internet at the web site located at </w:t>
      </w:r>
      <w:r>
        <w:rPr>
          <w:strike/>
          <w:sz w:val="22"/>
        </w:rPr>
        <w:t>URL: http://www.enrononline.com, or</w:t>
      </w:r>
      <w:r>
        <w:rPr>
          <w:sz w:val="22"/>
        </w:rPr>
        <w:t xml:space="preserve"> </w:t>
      </w:r>
      <w:r>
        <w:rPr>
          <w:b/>
          <w:sz w:val="22"/>
          <w:u w:val="double"/>
        </w:rPr>
        <w:t>uniform resource locater (“URL”): http://www.dealbench.com,</w:t>
      </w:r>
      <w:r>
        <w:rPr>
          <w:sz w:val="22"/>
        </w:rPr>
        <w:t xml:space="preserve"> and any replacement or successor URL (the </w:t>
      </w:r>
      <w:r>
        <w:rPr>
          <w:strike/>
          <w:sz w:val="22"/>
        </w:rPr>
        <w:t>"EOL</w:t>
      </w:r>
      <w:r>
        <w:rPr>
          <w:b/>
          <w:sz w:val="22"/>
          <w:u w:val="double"/>
        </w:rPr>
        <w:t>"DealBench</w:t>
      </w:r>
      <w:r>
        <w:rPr>
          <w:sz w:val="22"/>
        </w:rPr>
        <w:t xml:space="preserve"> Web Site").</w:t>
      </w:r>
    </w:p>
    <w:p>
      <w:pPr>
        <w:pStyle w:val="Normal"/>
        <w:bidi w:val="0"/>
        <w:ind w:hanging="0" w:start="0" w:end="0"/>
        <w:jc w:val="both"/>
        <w:rPr>
          <w:sz w:val="22"/>
        </w:rPr>
      </w:pPr>
      <w:r>
        <w:rPr>
          <w:sz w:val="22"/>
        </w:rPr>
      </w:r>
    </w:p>
    <w:p>
      <w:pPr>
        <w:pStyle w:val="Normal"/>
        <w:bidi w:val="0"/>
        <w:ind w:hanging="0" w:start="0" w:end="0"/>
        <w:jc w:val="both"/>
        <w:rPr>
          <w:sz w:val="22"/>
        </w:rPr>
      </w:pPr>
      <w:r>
        <w:rPr>
          <w:sz w:val="22"/>
        </w:rPr>
        <w:tab/>
        <w:t xml:space="preserve">B. </w:t>
        <w:tab/>
        <w:t>Envera is the provider of the “Envera Network,” an Internet and software-based infrastructure providing a secure electronic medium for facilitating business-to-business transactions with customers, suppliers, service providers, and other exchanges and hubs, which Envera promotes on the Internet through its web site located at URL: http://www.envera.com and any replacement or successor URL (the "Envera Web Site").</w:t>
      </w:r>
    </w:p>
    <w:p>
      <w:pPr>
        <w:pStyle w:val="Normal"/>
        <w:bidi w:val="0"/>
        <w:ind w:hanging="0" w:start="0" w:end="0"/>
        <w:jc w:val="both"/>
        <w:rPr>
          <w:sz w:val="22"/>
        </w:rPr>
      </w:pPr>
      <w:r>
        <w:rPr>
          <w:sz w:val="22"/>
        </w:rPr>
      </w:r>
    </w:p>
    <w:p>
      <w:pPr>
        <w:pStyle w:val="Normal"/>
        <w:bidi w:val="0"/>
        <w:ind w:hanging="0" w:start="0" w:end="0"/>
        <w:jc w:val="both"/>
        <w:rPr>
          <w:sz w:val="22"/>
        </w:rPr>
      </w:pPr>
      <w:r>
        <w:rPr>
          <w:sz w:val="22"/>
        </w:rPr>
        <w:tab/>
        <w:t>C.</w:t>
        <w:tab/>
      </w:r>
      <w:r>
        <w:rPr>
          <w:strike/>
          <w:sz w:val="22"/>
        </w:rPr>
        <w:t>EOL and</w:t>
      </w:r>
      <w:r>
        <w:rPr>
          <w:sz w:val="22"/>
        </w:rPr>
        <w:t xml:space="preserve"> Envera </w:t>
      </w:r>
      <w:r>
        <w:rPr>
          <w:strike/>
          <w:sz w:val="22"/>
        </w:rPr>
        <w:t>each desire</w:t>
      </w:r>
      <w:r>
        <w:rPr>
          <w:sz w:val="22"/>
        </w:rPr>
        <w:t xml:space="preserve"> </w:t>
      </w:r>
      <w:r>
        <w:rPr>
          <w:b/>
          <w:sz w:val="22"/>
          <w:u w:val="double"/>
        </w:rPr>
        <w:t>desires</w:t>
      </w:r>
      <w:r>
        <w:rPr>
          <w:sz w:val="22"/>
        </w:rPr>
        <w:t xml:space="preserve"> to promote the </w:t>
      </w:r>
      <w:r>
        <w:rPr>
          <w:strike/>
          <w:sz w:val="22"/>
        </w:rPr>
        <w:t>other party's web site</w:t>
      </w:r>
      <w:r>
        <w:rPr>
          <w:sz w:val="22"/>
        </w:rPr>
        <w:t xml:space="preserve"> </w:t>
      </w:r>
      <w:r>
        <w:rPr>
          <w:b/>
          <w:sz w:val="22"/>
          <w:u w:val="double"/>
        </w:rPr>
        <w:t>DealBench Web Site</w:t>
      </w:r>
      <w:r>
        <w:rPr>
          <w:sz w:val="22"/>
        </w:rPr>
        <w:t xml:space="preserve"> through </w:t>
      </w:r>
      <w:r>
        <w:rPr>
          <w:strike/>
          <w:sz w:val="22"/>
        </w:rPr>
        <w:t>cross links</w:t>
      </w:r>
      <w:r>
        <w:rPr>
          <w:sz w:val="22"/>
        </w:rPr>
        <w:t xml:space="preserve"> </w:t>
      </w:r>
      <w:r>
        <w:rPr>
          <w:b/>
          <w:sz w:val="22"/>
          <w:u w:val="double"/>
        </w:rPr>
        <w:t>a link</w:t>
      </w:r>
      <w:r>
        <w:rPr>
          <w:sz w:val="22"/>
        </w:rPr>
        <w:t xml:space="preserve"> upon the terms and subject to the conditions of this Agreement.</w:t>
      </w:r>
    </w:p>
    <w:p>
      <w:pPr>
        <w:pStyle w:val="Normal"/>
        <w:bidi w:val="0"/>
        <w:ind w:hanging="0" w:start="0" w:end="0"/>
        <w:jc w:val="start"/>
        <w:rPr>
          <w:sz w:val="22"/>
        </w:rPr>
      </w:pPr>
      <w:r>
        <w:rPr>
          <w:sz w:val="22"/>
        </w:rPr>
      </w:r>
    </w:p>
    <w:p>
      <w:pPr>
        <w:pStyle w:val="Normal"/>
        <w:numPr>
          <w:ilvl w:val="0"/>
          <w:numId w:val="0"/>
        </w:numPr>
        <w:bidi w:val="0"/>
        <w:ind w:hanging="0" w:start="0" w:end="0"/>
        <w:jc w:val="center"/>
        <w:outlineLvl w:val="0"/>
        <w:rPr>
          <w:sz w:val="22"/>
        </w:rPr>
      </w:pPr>
      <w:r>
        <w:rPr>
          <w:sz w:val="22"/>
        </w:rPr>
        <w:t>AGREEMENT</w:t>
      </w:r>
    </w:p>
    <w:p>
      <w:pPr>
        <w:pStyle w:val="Normal"/>
        <w:bidi w:val="0"/>
        <w:ind w:hanging="0" w:start="0" w:end="0"/>
        <w:jc w:val="start"/>
        <w:rPr>
          <w:sz w:val="22"/>
        </w:rPr>
      </w:pPr>
      <w:r>
        <w:rPr>
          <w:sz w:val="22"/>
        </w:rPr>
      </w:r>
    </w:p>
    <w:p>
      <w:pPr>
        <w:pStyle w:val="Normal"/>
        <w:bidi w:val="0"/>
        <w:ind w:hanging="0" w:start="0" w:end="0"/>
        <w:jc w:val="both"/>
        <w:rPr>
          <w:sz w:val="22"/>
        </w:rPr>
      </w:pPr>
      <w:r>
        <w:rPr>
          <w:sz w:val="22"/>
        </w:rPr>
        <w:tab/>
        <w:t>In consideration of the obligations set forth below, and for other good and valuable consideration, the receipt and sufficiency of which are hereby acknowledged, the parties hereto agree as follows:</w:t>
      </w:r>
    </w:p>
    <w:p>
      <w:pPr>
        <w:pStyle w:val="Normal"/>
        <w:bidi w:val="0"/>
        <w:ind w:hanging="0" w:start="0" w:end="0"/>
        <w:jc w:val="both"/>
        <w:rPr>
          <w:sz w:val="22"/>
        </w:rPr>
      </w:pPr>
      <w:r>
        <w:rPr>
          <w:sz w:val="22"/>
        </w:rPr>
      </w:r>
    </w:p>
    <w:p>
      <w:pPr>
        <w:pStyle w:val="Normal"/>
        <w:numPr>
          <w:ilvl w:val="0"/>
          <w:numId w:val="0"/>
        </w:numPr>
        <w:bidi w:val="0"/>
        <w:ind w:hanging="0" w:start="0" w:end="0"/>
        <w:jc w:val="both"/>
        <w:outlineLvl w:val="0"/>
        <w:rPr>
          <w:sz w:val="22"/>
        </w:rPr>
      </w:pPr>
      <w:r>
        <w:rPr>
          <w:b/>
          <w:sz w:val="22"/>
        </w:rPr>
        <w:t>1.</w:t>
        <w:tab/>
        <w:t>Definitions.</w:t>
      </w:r>
      <w:r>
        <w:rPr>
          <w:sz w:val="22"/>
        </w:rPr>
        <w:t xml:space="preserve">  Capitalized terms used in this Agreement shall have the meanings given below:</w:t>
      </w:r>
    </w:p>
    <w:p>
      <w:pPr>
        <w:pStyle w:val="Normal"/>
        <w:bidi w:val="0"/>
        <w:ind w:hanging="0" w:start="0" w:end="0"/>
        <w:jc w:val="both"/>
        <w:rPr>
          <w:sz w:val="22"/>
        </w:rPr>
      </w:pPr>
      <w:r>
        <w:rPr>
          <w:sz w:val="22"/>
        </w:rPr>
      </w:r>
    </w:p>
    <w:p>
      <w:pPr>
        <w:pStyle w:val="Normal"/>
        <w:bidi w:val="0"/>
        <w:ind w:hanging="0" w:start="0" w:end="0"/>
        <w:jc w:val="both"/>
        <w:rPr>
          <w:sz w:val="22"/>
        </w:rPr>
      </w:pPr>
      <w:r>
        <w:rPr>
          <w:sz w:val="22"/>
        </w:rPr>
        <w:tab/>
        <w:t>(a)</w:t>
        <w:tab/>
      </w:r>
      <w:r>
        <w:rPr>
          <w:strike/>
          <w:sz w:val="22"/>
        </w:rPr>
        <w:t>“Home</w:t>
      </w:r>
      <w:r>
        <w:rPr>
          <w:b/>
          <w:sz w:val="22"/>
          <w:u w:val="double"/>
        </w:rPr>
        <w:t>“DealBench Login</w:t>
      </w:r>
      <w:r>
        <w:rPr>
          <w:sz w:val="22"/>
          <w:u w:val="single"/>
        </w:rPr>
        <w:t xml:space="preserve"> Page</w:t>
      </w:r>
      <w:r>
        <w:rPr>
          <w:sz w:val="22"/>
        </w:rPr>
        <w:t xml:space="preserve">” shall mean the first page of </w:t>
      </w:r>
      <w:r>
        <w:rPr>
          <w:strike/>
          <w:sz w:val="22"/>
        </w:rPr>
        <w:t>a web site</w:t>
      </w:r>
      <w:r>
        <w:rPr>
          <w:sz w:val="22"/>
        </w:rPr>
        <w:t xml:space="preserve"> </w:t>
      </w:r>
      <w:r>
        <w:rPr>
          <w:b/>
          <w:sz w:val="22"/>
          <w:u w:val="double"/>
        </w:rPr>
        <w:t>the DealBench Website</w:t>
      </w:r>
      <w:r>
        <w:rPr>
          <w:sz w:val="22"/>
        </w:rPr>
        <w:t xml:space="preserve"> which is displayed when accessing the </w:t>
      </w:r>
      <w:r>
        <w:rPr>
          <w:strike/>
          <w:sz w:val="22"/>
        </w:rPr>
        <w:t>associated URL.</w:t>
      </w:r>
      <w:r>
        <w:rPr>
          <w:sz w:val="22"/>
        </w:rPr>
        <w:t xml:space="preserve"> </w:t>
      </w:r>
      <w:r>
        <w:rPr>
          <w:b/>
          <w:sz w:val="22"/>
          <w:u w:val="double"/>
        </w:rPr>
        <w:t>URL:  http://www.dealbench.com, or any other page designated by DealBench.</w:t>
      </w:r>
    </w:p>
    <w:p>
      <w:pPr>
        <w:pStyle w:val="Normal"/>
        <w:bidi w:val="0"/>
        <w:ind w:hanging="0" w:start="0" w:end="0"/>
        <w:jc w:val="both"/>
        <w:rPr>
          <w:sz w:val="22"/>
        </w:rPr>
      </w:pPr>
      <w:r>
        <w:rPr>
          <w:sz w:val="22"/>
        </w:rPr>
      </w:r>
    </w:p>
    <w:p>
      <w:pPr>
        <w:pStyle w:val="Normal"/>
        <w:bidi w:val="0"/>
        <w:ind w:hanging="0" w:start="0" w:end="0"/>
        <w:jc w:val="both"/>
        <w:rPr>
          <w:sz w:val="22"/>
        </w:rPr>
      </w:pPr>
      <w:r>
        <w:rPr>
          <w:strike/>
          <w:sz w:val="22"/>
        </w:rPr>
        <w:t>(b) “Links” shall mean hypertext, text, banner, logo and contextual links ("Graphical Image") which permit</w:t>
      </w:r>
    </w:p>
    <w:p>
      <w:pPr>
        <w:pStyle w:val="Normal"/>
        <w:bidi w:val="0"/>
        <w:ind w:hanging="0" w:start="0" w:end="0"/>
        <w:jc w:val="both"/>
        <w:rPr>
          <w:b/>
          <w:sz w:val="22"/>
          <w:u w:val="double"/>
        </w:rPr>
      </w:pPr>
      <w:r>
        <w:rPr>
          <w:sz w:val="22"/>
        </w:rPr>
        <w:tab/>
      </w:r>
      <w:r>
        <w:rPr>
          <w:b/>
          <w:sz w:val="22"/>
          <w:u w:val="double"/>
        </w:rPr>
        <w:t>(a)</w:t>
      </w:r>
      <w:r>
        <w:rPr>
          <w:sz w:val="22"/>
        </w:rPr>
        <w:tab/>
      </w:r>
      <w:r>
        <w:rPr>
          <w:b/>
          <w:sz w:val="22"/>
          <w:u w:val="double"/>
        </w:rPr>
        <w:t>“Envera Home Page” shall mean the first page of the Envera Website which is displayed when accessing the URL:  http://www.envera.com.</w:t>
      </w:r>
    </w:p>
    <w:p>
      <w:pPr>
        <w:pStyle w:val="Normal"/>
        <w:bidi w:val="0"/>
        <w:ind w:hanging="0" w:start="0" w:end="0"/>
        <w:jc w:val="both"/>
        <w:rPr>
          <w:b/>
          <w:sz w:val="22"/>
          <w:u w:val="double"/>
        </w:rPr>
      </w:pPr>
      <w:r>
        <w:rPr>
          <w:b/>
          <w:sz w:val="22"/>
          <w:u w:val="double"/>
        </w:rPr>
      </w:r>
    </w:p>
    <w:p>
      <w:pPr>
        <w:pStyle w:val="Normal"/>
        <w:bidi w:val="0"/>
        <w:ind w:hanging="0" w:start="0" w:end="0"/>
        <w:jc w:val="both"/>
        <w:rPr>
          <w:sz w:val="22"/>
        </w:rPr>
      </w:pPr>
      <w:r>
        <w:rPr>
          <w:sz w:val="22"/>
        </w:rPr>
        <w:tab/>
      </w:r>
      <w:r>
        <w:rPr>
          <w:b/>
          <w:sz w:val="22"/>
          <w:u w:val="double"/>
        </w:rPr>
        <w:t>(b)</w:t>
      </w:r>
      <w:r>
        <w:rPr>
          <w:sz w:val="22"/>
        </w:rPr>
        <w:tab/>
      </w:r>
      <w:r>
        <w:rPr>
          <w:b/>
          <w:sz w:val="22"/>
          <w:u w:val="double"/>
        </w:rPr>
        <w:t>“Link” shall mean a hypertext or logo link which, when clicked upon, permits</w:t>
      </w:r>
      <w:r>
        <w:rPr>
          <w:sz w:val="22"/>
        </w:rPr>
        <w:t xml:space="preserve"> a user to go from one party's web site to another</w:t>
      </w:r>
      <w:r>
        <w:rPr>
          <w:b/>
          <w:sz w:val="22"/>
          <w:u w:val="double"/>
        </w:rPr>
        <w:t>.</w:t>
      </w:r>
      <w:r>
        <w:rPr>
          <w:sz w:val="22"/>
        </w:rPr>
        <w:t xml:space="preserve"> </w:t>
      </w:r>
      <w:r>
        <w:rPr>
          <w:strike/>
          <w:sz w:val="22"/>
        </w:rPr>
        <w:t>by clicking on the Graphical Image.</w:t>
      </w:r>
    </w:p>
    <w:p>
      <w:pPr>
        <w:pStyle w:val="Normal"/>
        <w:bidi w:val="0"/>
        <w:ind w:hanging="0" w:start="0" w:end="0"/>
        <w:jc w:val="both"/>
        <w:rPr>
          <w:sz w:val="22"/>
        </w:rPr>
      </w:pPr>
      <w:r>
        <w:rPr>
          <w:sz w:val="22"/>
        </w:rPr>
      </w:r>
    </w:p>
    <w:p>
      <w:pPr>
        <w:pStyle w:val="Normal"/>
        <w:bidi w:val="0"/>
        <w:ind w:hanging="0" w:start="0" w:end="0"/>
        <w:jc w:val="both"/>
        <w:rPr>
          <w:sz w:val="22"/>
        </w:rPr>
      </w:pPr>
      <w:r>
        <w:rPr>
          <w:sz w:val="22"/>
        </w:rPr>
      </w:r>
    </w:p>
    <w:p>
      <w:pPr>
        <w:pStyle w:val="Normal"/>
        <w:bidi w:val="0"/>
        <w:ind w:hanging="0" w:start="0" w:end="0"/>
        <w:jc w:val="both"/>
        <w:rPr>
          <w:sz w:val="22"/>
        </w:rPr>
      </w:pPr>
      <w:r>
        <w:rPr>
          <w:strike/>
          <w:sz w:val="22"/>
        </w:rPr>
        <w:t>2. Linking.</w:t>
      </w:r>
    </w:p>
    <w:p>
      <w:pPr>
        <w:pStyle w:val="Normal"/>
        <w:bidi w:val="0"/>
        <w:ind w:hanging="0" w:start="0" w:end="0"/>
        <w:jc w:val="both"/>
        <w:rPr>
          <w:sz w:val="22"/>
        </w:rPr>
      </w:pPr>
      <w:r>
        <w:rPr>
          <w:sz w:val="22"/>
        </w:rPr>
      </w:r>
    </w:p>
    <w:p>
      <w:pPr>
        <w:pStyle w:val="Normal"/>
        <w:keepNext w:val="true"/>
        <w:numPr>
          <w:ilvl w:val="0"/>
          <w:numId w:val="0"/>
        </w:numPr>
        <w:bidi w:val="0"/>
        <w:ind w:hanging="0" w:start="0" w:end="0"/>
        <w:jc w:val="both"/>
        <w:outlineLvl w:val="0"/>
        <w:rPr>
          <w:sz w:val="22"/>
        </w:rPr>
      </w:pPr>
      <w:r>
        <w:rPr>
          <w:b/>
          <w:sz w:val="22"/>
          <w:u w:val="double"/>
        </w:rPr>
        <w:t>2.</w:t>
      </w:r>
      <w:r>
        <w:rPr>
          <w:b/>
          <w:sz w:val="22"/>
        </w:rPr>
        <w:tab/>
      </w:r>
      <w:r>
        <w:rPr>
          <w:b/>
          <w:sz w:val="22"/>
          <w:u w:val="double"/>
        </w:rPr>
        <w:t>Linking.</w:t>
      </w:r>
    </w:p>
    <w:p>
      <w:pPr>
        <w:pStyle w:val="Normal"/>
        <w:keepNext w:val="true"/>
        <w:bidi w:val="0"/>
        <w:ind w:hanging="0" w:start="0" w:end="0"/>
        <w:jc w:val="both"/>
        <w:rPr>
          <w:sz w:val="22"/>
        </w:rPr>
      </w:pPr>
      <w:r>
        <w:rPr>
          <w:sz w:val="22"/>
        </w:rPr>
      </w:r>
    </w:p>
    <w:p>
      <w:pPr>
        <w:pStyle w:val="Normal"/>
        <w:keepNext w:val="true"/>
        <w:bidi w:val="0"/>
        <w:ind w:hanging="0" w:start="0" w:end="0"/>
        <w:jc w:val="both"/>
        <w:rPr>
          <w:strike/>
          <w:sz w:val="22"/>
        </w:rPr>
      </w:pPr>
      <w:r>
        <w:rPr>
          <w:strike/>
          <w:sz w:val="22"/>
        </w:rPr>
        <w:t>(a) Subject to the terms and conditions of this Agreement, EOL hereby grants to Envera a limited license to establish and maintain a Link from the Envera Web Site Home Page to the EOL Web Site Home Page. In establishing and maintaining the Link, Envera shall comply with all specifications and technical requirements as adopted by EOL from time to time.</w:t>
      </w:r>
    </w:p>
    <w:p>
      <w:pPr>
        <w:pStyle w:val="Normal"/>
        <w:keepNext w:val="true"/>
        <w:bidi w:val="0"/>
        <w:ind w:hanging="0" w:start="0" w:end="0"/>
        <w:jc w:val="both"/>
        <w:rPr>
          <w:strike/>
          <w:sz w:val="22"/>
        </w:rPr>
      </w:pPr>
      <w:r>
        <w:rPr>
          <w:strike/>
          <w:sz w:val="22"/>
        </w:rPr>
      </w:r>
    </w:p>
    <w:p>
      <w:pPr>
        <w:pStyle w:val="Normal"/>
        <w:keepNext w:val="true"/>
        <w:bidi w:val="0"/>
        <w:ind w:hanging="0" w:start="0" w:end="0"/>
        <w:jc w:val="both"/>
        <w:rPr>
          <w:strike/>
          <w:sz w:val="22"/>
        </w:rPr>
      </w:pPr>
      <w:r>
        <w:rPr>
          <w:strike/>
          <w:sz w:val="22"/>
        </w:rPr>
        <w:t>[(b) Subject to the terms and conditions of this Agreement, Envera hereby grants to EOL a limited license to establish and maintain a Link from the EOL Web Site Home Page to the Envera Web Site Home Page. In establishing and maintaining the Link, EOL shall comply with all specifications and technical requirements as adopted by Envera from time to time.]</w:t>
      </w:r>
    </w:p>
    <w:p>
      <w:pPr>
        <w:pStyle w:val="Normal"/>
        <w:keepNext w:val="true"/>
        <w:bidi w:val="0"/>
        <w:ind w:hanging="0" w:start="0" w:end="0"/>
        <w:jc w:val="both"/>
        <w:rPr>
          <w:strike/>
          <w:sz w:val="22"/>
        </w:rPr>
      </w:pPr>
      <w:r>
        <w:rPr>
          <w:strike/>
          <w:sz w:val="22"/>
        </w:rPr>
      </w:r>
    </w:p>
    <w:p>
      <w:pPr>
        <w:pStyle w:val="Normal"/>
        <w:keepNext w:val="true"/>
        <w:bidi w:val="0"/>
        <w:ind w:hanging="0" w:start="0" w:end="0"/>
        <w:jc w:val="both"/>
        <w:rPr>
          <w:strike/>
          <w:sz w:val="22"/>
        </w:rPr>
      </w:pPr>
      <w:r>
        <w:rPr>
          <w:strike/>
          <w:sz w:val="22"/>
        </w:rPr>
        <w:t>3. Joint Marketing Efforts.</w:t>
      </w:r>
    </w:p>
    <w:p>
      <w:pPr>
        <w:pStyle w:val="Normal"/>
        <w:keepNext w:val="true"/>
        <w:bidi w:val="0"/>
        <w:ind w:hanging="0" w:start="0" w:end="0"/>
        <w:jc w:val="both"/>
        <w:rPr>
          <w:strike/>
          <w:sz w:val="22"/>
        </w:rPr>
      </w:pPr>
      <w:r>
        <w:rPr>
          <w:strike/>
          <w:sz w:val="22"/>
        </w:rPr>
      </w:r>
    </w:p>
    <w:p>
      <w:pPr>
        <w:pStyle w:val="Normal"/>
        <w:keepNext w:val="true"/>
        <w:bidi w:val="0"/>
        <w:ind w:hanging="0" w:start="0" w:end="0"/>
        <w:jc w:val="both"/>
        <w:rPr>
          <w:strike/>
          <w:sz w:val="22"/>
        </w:rPr>
      </w:pPr>
      <w:r>
        <w:rPr>
          <w:strike/>
          <w:sz w:val="22"/>
        </w:rPr>
        <w:t>(a) Where appropriate and at Envera's sole discretion, Envera will periodically feature EOL and the EOL Web Site on the Envera Web Site Home Page and in its marketing programs and marketing materials.</w:t>
      </w:r>
    </w:p>
    <w:p>
      <w:pPr>
        <w:pStyle w:val="Normal"/>
        <w:keepNext w:val="true"/>
        <w:bidi w:val="0"/>
        <w:ind w:hanging="0" w:start="0" w:end="0"/>
        <w:jc w:val="both"/>
        <w:rPr>
          <w:strike/>
          <w:sz w:val="22"/>
        </w:rPr>
      </w:pPr>
      <w:r>
        <w:rPr>
          <w:strike/>
          <w:sz w:val="22"/>
        </w:rPr>
      </w:r>
    </w:p>
    <w:p>
      <w:pPr>
        <w:pStyle w:val="Normal"/>
        <w:keepNext w:val="true"/>
        <w:bidi w:val="0"/>
        <w:ind w:hanging="0" w:start="0" w:end="0"/>
        <w:jc w:val="both"/>
        <w:rPr>
          <w:strike/>
          <w:sz w:val="22"/>
        </w:rPr>
      </w:pPr>
      <w:r>
        <w:rPr>
          <w:strike/>
          <w:sz w:val="22"/>
        </w:rPr>
        <w:t>[(b) Where appropriate and at EOL's sole discretion, EOL may periodically feature Envera and the Envera Web Site on the EOL Web Site Home Page and in other EOL marketing programs and marketing materials.]</w:t>
      </w:r>
    </w:p>
    <w:p>
      <w:pPr>
        <w:pStyle w:val="Normal"/>
        <w:keepNext w:val="true"/>
        <w:bidi w:val="0"/>
        <w:ind w:hanging="0" w:start="0" w:end="0"/>
        <w:jc w:val="both"/>
        <w:rPr>
          <w:strike/>
          <w:sz w:val="22"/>
        </w:rPr>
      </w:pPr>
      <w:r>
        <w:rPr>
          <w:strike/>
          <w:sz w:val="22"/>
        </w:rPr>
      </w:r>
    </w:p>
    <w:p>
      <w:pPr>
        <w:pStyle w:val="Normal"/>
        <w:keepNext w:val="true"/>
        <w:bidi w:val="0"/>
        <w:ind w:hanging="0" w:start="0" w:end="0"/>
        <w:jc w:val="both"/>
        <w:rPr>
          <w:strike/>
          <w:sz w:val="22"/>
        </w:rPr>
      </w:pPr>
      <w:r>
        <w:rPr>
          <w:strike/>
          <w:sz w:val="22"/>
        </w:rPr>
        <w:t>(c) EOL and Envera shall participate in joint sales and marketing discussions at mutually agreed times and locations to discuss how the parties can participate in additional joint marketing and business development opportunities.</w:t>
      </w:r>
    </w:p>
    <w:p>
      <w:pPr>
        <w:pStyle w:val="Normal"/>
        <w:keepNext w:val="true"/>
        <w:bidi w:val="0"/>
        <w:ind w:hanging="0" w:start="0" w:end="0"/>
        <w:jc w:val="both"/>
        <w:rPr>
          <w:strike/>
          <w:sz w:val="22"/>
        </w:rPr>
      </w:pPr>
      <w:r>
        <w:rPr>
          <w:strike/>
          <w:sz w:val="22"/>
        </w:rPr>
      </w:r>
    </w:p>
    <w:p>
      <w:pPr>
        <w:pStyle w:val="Normal"/>
        <w:keepNext w:val="true"/>
        <w:bidi w:val="0"/>
        <w:ind w:hanging="0" w:start="0" w:end="0"/>
        <w:jc w:val="both"/>
        <w:rPr>
          <w:strike/>
          <w:sz w:val="22"/>
        </w:rPr>
      </w:pPr>
      <w:r>
        <w:rPr>
          <w:strike/>
          <w:sz w:val="22"/>
        </w:rPr>
        <w:t>(d) Neither party will make any public statement, press release or other announcement relating to the terms or existence of this Agreement or the relationship between the parties without the prior written approval of the other. No party shall make any references on its web site to the other party without the other party’s prior written approval.</w:t>
      </w:r>
    </w:p>
    <w:p>
      <w:pPr>
        <w:pStyle w:val="Normal"/>
        <w:keepNext w:val="true"/>
        <w:bidi w:val="0"/>
        <w:ind w:hanging="0" w:start="0" w:end="0"/>
        <w:jc w:val="both"/>
        <w:rPr>
          <w:strike/>
          <w:sz w:val="22"/>
        </w:rPr>
      </w:pPr>
      <w:r>
        <w:rPr>
          <w:strike/>
          <w:sz w:val="22"/>
        </w:rPr>
      </w:r>
    </w:p>
    <w:p>
      <w:pPr>
        <w:pStyle w:val="Normal"/>
        <w:keepNext w:val="true"/>
        <w:bidi w:val="0"/>
        <w:ind w:hanging="0" w:start="0" w:end="0"/>
        <w:jc w:val="both"/>
        <w:rPr>
          <w:strike/>
          <w:sz w:val="22"/>
        </w:rPr>
      </w:pPr>
      <w:r>
        <w:rPr>
          <w:strike/>
          <w:sz w:val="22"/>
        </w:rPr>
        <w:t>4. Trademarks and Other Proprietary Matters.</w:t>
      </w:r>
    </w:p>
    <w:p>
      <w:pPr>
        <w:pStyle w:val="Normal"/>
        <w:keepNext w:val="true"/>
        <w:bidi w:val="0"/>
        <w:ind w:hanging="0" w:start="0" w:end="0"/>
        <w:jc w:val="both"/>
        <w:rPr>
          <w:strike/>
          <w:sz w:val="22"/>
        </w:rPr>
      </w:pPr>
      <w:r>
        <w:rPr>
          <w:strike/>
          <w:sz w:val="22"/>
        </w:rPr>
      </w:r>
    </w:p>
    <w:p>
      <w:pPr>
        <w:pStyle w:val="Normal"/>
        <w:keepNext w:val="true"/>
        <w:bidi w:val="0"/>
        <w:ind w:hanging="0" w:start="0" w:end="0"/>
        <w:jc w:val="both"/>
        <w:rPr>
          <w:sz w:val="22"/>
        </w:rPr>
      </w:pPr>
      <w:r>
        <w:rPr>
          <w:strike/>
          <w:sz w:val="22"/>
        </w:rPr>
        <w:t>(a) EOL Trademark License.</w:t>
      </w:r>
    </w:p>
    <w:p>
      <w:pPr>
        <w:pStyle w:val="Normal"/>
        <w:bidi w:val="0"/>
        <w:ind w:hanging="0" w:start="0" w:end="0"/>
        <w:jc w:val="both"/>
        <w:rPr>
          <w:sz w:val="22"/>
        </w:rPr>
      </w:pPr>
      <w:r>
        <w:rPr>
          <w:sz w:val="22"/>
        </w:rPr>
        <w:tab/>
      </w:r>
      <w:r>
        <w:rPr>
          <w:b/>
          <w:sz w:val="22"/>
          <w:u w:val="double"/>
        </w:rPr>
        <w:t>(a)</w:t>
      </w:r>
      <w:r>
        <w:rPr>
          <w:sz w:val="22"/>
        </w:rPr>
        <w:tab/>
      </w:r>
      <w:r>
        <w:rPr>
          <w:b/>
          <w:sz w:val="22"/>
          <w:u w:val="double"/>
        </w:rPr>
        <w:t>Link to DealBench Web Site.</w:t>
      </w:r>
      <w:r>
        <w:rPr>
          <w:sz w:val="22"/>
        </w:rPr>
        <w:t xml:space="preserve">  Subject to the terms and conditions of this Agreement, </w:t>
      </w:r>
      <w:r>
        <w:rPr>
          <w:strike/>
          <w:sz w:val="22"/>
        </w:rPr>
        <w:t>EOL</w:t>
      </w:r>
      <w:r>
        <w:rPr>
          <w:sz w:val="22"/>
        </w:rPr>
        <w:t xml:space="preserve"> </w:t>
      </w:r>
      <w:r>
        <w:rPr>
          <w:b/>
          <w:sz w:val="22"/>
          <w:u w:val="double"/>
        </w:rPr>
        <w:t>DealBench</w:t>
      </w:r>
      <w:r>
        <w:rPr>
          <w:sz w:val="22"/>
        </w:rPr>
        <w:t xml:space="preserve"> hereby grants to Envera a limited </w:t>
      </w:r>
      <w:r>
        <w:rPr>
          <w:strike/>
          <w:sz w:val="22"/>
        </w:rPr>
        <w:t>license to use the EOL trademarks as set forth on Exhibit A (the "EOL Marks")</w:t>
      </w:r>
      <w:r>
        <w:rPr>
          <w:b/>
          <w:sz w:val="22"/>
          <w:u w:val="double"/>
        </w:rPr>
        <w:t xml:space="preserve">, personal, revocable, non-exclusive license to establish and maintain a Link on the Envera Home Page to the DealBench Login Page for the term of this Agreement; provided, however, that (i) all matters related to the Link, including placement, size, proximity and make up of other links on the same page, and any references to DealBench or </w:t>
      </w:r>
      <w:r>
        <w:rPr>
          <w:b/>
          <w:i/>
          <w:sz w:val="22"/>
          <w:u w:val="double"/>
        </w:rPr>
        <w:t>DealBench</w:t>
      </w:r>
      <w:r>
        <w:rPr>
          <w:b/>
          <w:sz w:val="22"/>
          <w:u w:val="double"/>
        </w:rPr>
        <w:t>™</w:t>
      </w:r>
      <w:r>
        <w:rPr>
          <w:sz w:val="22"/>
        </w:rPr>
        <w:t xml:space="preserve"> on the Envera Web Site </w:t>
      </w:r>
      <w:r>
        <w:rPr>
          <w:strike/>
          <w:sz w:val="22"/>
        </w:rPr>
        <w:t>solely for purposes of establishing the links set forth in Section 2 and participating in the joint marketing efforts contemplated in Section 3. If Envera desires to use such EOL Marks other than on the Envera Web Site, Envera shall, in each instance, obtain EOL's</w:t>
      </w:r>
      <w:r>
        <w:rPr>
          <w:b/>
          <w:sz w:val="22"/>
          <w:u w:val="double"/>
        </w:rPr>
        <w:t xml:space="preserve">, and any communications or materials not prepared by DealBench concerning or referring to DealBench or </w:t>
      </w:r>
      <w:r>
        <w:rPr>
          <w:b/>
          <w:i/>
          <w:sz w:val="22"/>
          <w:u w:val="double"/>
        </w:rPr>
        <w:t>DealBench</w:t>
      </w:r>
      <w:r>
        <w:rPr>
          <w:b/>
          <w:sz w:val="22"/>
          <w:u w:val="double"/>
        </w:rPr>
        <w:t>™ shall be subject to</w:t>
      </w:r>
      <w:r>
        <w:rPr>
          <w:sz w:val="22"/>
        </w:rPr>
        <w:t xml:space="preserve"> prior written approval </w:t>
      </w:r>
      <w:r>
        <w:rPr>
          <w:strike/>
          <w:sz w:val="22"/>
        </w:rPr>
        <w:t>for use of the EOL Marks.</w:t>
      </w:r>
      <w:r>
        <w:rPr>
          <w:sz w:val="22"/>
        </w:rPr>
        <w:t xml:space="preserve"> </w:t>
      </w:r>
      <w:r>
        <w:rPr>
          <w:b/>
          <w:sz w:val="22"/>
          <w:u w:val="double"/>
        </w:rPr>
        <w:t>by DealBench; and (ii)in establishing and maintaining the Link, Envera shall comply with all specifications and technical requirements relating to the Link and/or the DealBench Login Page, as established by DealBench from time to time.</w:t>
      </w:r>
    </w:p>
    <w:p>
      <w:pPr>
        <w:pStyle w:val="Normal"/>
        <w:bidi w:val="0"/>
        <w:ind w:hanging="0" w:start="0" w:end="0"/>
        <w:jc w:val="both"/>
        <w:rPr>
          <w:sz w:val="22"/>
        </w:rPr>
      </w:pPr>
      <w:r>
        <w:rPr>
          <w:sz w:val="22"/>
        </w:rPr>
      </w:r>
    </w:p>
    <w:p>
      <w:pPr>
        <w:pStyle w:val="Normal"/>
        <w:bidi w:val="0"/>
        <w:ind w:hanging="0" w:start="0" w:end="0"/>
        <w:jc w:val="both"/>
        <w:rPr>
          <w:sz w:val="22"/>
        </w:rPr>
      </w:pPr>
      <w:r>
        <w:rPr>
          <w:strike/>
          <w:sz w:val="22"/>
        </w:rPr>
        <w:t xml:space="preserve">[(b) Envera </w:t>
      </w:r>
    </w:p>
    <w:p>
      <w:pPr>
        <w:pStyle w:val="Normal"/>
        <w:bidi w:val="0"/>
        <w:ind w:hanging="0" w:start="0" w:end="0"/>
        <w:jc w:val="both"/>
        <w:rPr>
          <w:b/>
          <w:sz w:val="22"/>
          <w:u w:val="double"/>
        </w:rPr>
      </w:pPr>
      <w:r>
        <w:rPr>
          <w:sz w:val="22"/>
        </w:rPr>
        <w:tab/>
      </w:r>
      <w:r>
        <w:rPr>
          <w:b/>
          <w:sz w:val="22"/>
          <w:u w:val="double"/>
        </w:rPr>
        <w:t>(b)</w:t>
      </w:r>
      <w:r>
        <w:rPr>
          <w:sz w:val="22"/>
        </w:rPr>
        <w:tab/>
      </w:r>
      <w:r>
        <w:rPr>
          <w:b/>
          <w:sz w:val="22"/>
          <w:u w:val="double"/>
        </w:rPr>
        <w:t>Prohibition of Deep Linking and Framing.  Envera shall not (i) establish or maintain a Link to any page of the DealBench Web Site other than the DealBench Login Page or (ii) frame any part of the Dealbench Web Site by segmenting the browser and displaying any DealBench page in a separate window or screen, or otherwise; or (iii) monitor, review or collect any data or information from, or received by, a user who has clicked on the Link on the DealBench Website, by screen scraping or otherwise.</w:t>
      </w:r>
    </w:p>
    <w:p>
      <w:pPr>
        <w:pStyle w:val="Normal"/>
        <w:bidi w:val="0"/>
        <w:ind w:hanging="0" w:start="0" w:end="0"/>
        <w:jc w:val="both"/>
        <w:rPr>
          <w:b/>
          <w:sz w:val="22"/>
          <w:u w:val="double"/>
        </w:rPr>
      </w:pPr>
      <w:r>
        <w:rPr>
          <w:b/>
          <w:sz w:val="22"/>
          <w:u w:val="double"/>
        </w:rPr>
      </w:r>
    </w:p>
    <w:p>
      <w:pPr>
        <w:pStyle w:val="Normal"/>
        <w:bidi w:val="0"/>
        <w:ind w:hanging="0" w:start="0" w:end="0"/>
        <w:jc w:val="both"/>
        <w:rPr>
          <w:b/>
          <w:sz w:val="22"/>
          <w:u w:val="double"/>
        </w:rPr>
      </w:pPr>
      <w:r>
        <w:rPr>
          <w:sz w:val="22"/>
        </w:rPr>
        <w:tab/>
      </w:r>
      <w:r>
        <w:rPr>
          <w:b/>
          <w:sz w:val="22"/>
          <w:u w:val="double"/>
        </w:rPr>
        <w:t>(c)</w:t>
      </w:r>
      <w:r>
        <w:rPr>
          <w:sz w:val="22"/>
        </w:rPr>
        <w:tab/>
      </w:r>
      <w:r>
        <w:rPr>
          <w:b/>
          <w:sz w:val="22"/>
          <w:u w:val="double"/>
        </w:rPr>
        <w:t xml:space="preserve">Use of DealBench Web Site.  The parties agree that any use of the </w:t>
      </w:r>
      <w:r>
        <w:rPr>
          <w:b/>
          <w:i/>
          <w:sz w:val="22"/>
          <w:u w:val="double"/>
        </w:rPr>
        <w:t>DealBench</w:t>
      </w:r>
      <w:r>
        <w:rPr>
          <w:b/>
          <w:sz w:val="22"/>
          <w:u w:val="double"/>
        </w:rPr>
        <w:t>™ services accessed via the Link on the Envera Home Page shall be subject to DealBench’s standard procedures and processes.  As between the parties, DealBench shall own any and all data and information that DealBench collects from users who access the DealBench Web Site through the Link.</w:t>
      </w:r>
    </w:p>
    <w:p>
      <w:pPr>
        <w:pStyle w:val="Normal"/>
        <w:bidi w:val="0"/>
        <w:ind w:hanging="0" w:start="0" w:end="0"/>
        <w:jc w:val="both"/>
        <w:rPr>
          <w:b/>
          <w:sz w:val="22"/>
          <w:u w:val="double"/>
        </w:rPr>
      </w:pPr>
      <w:r>
        <w:rPr>
          <w:b/>
          <w:sz w:val="22"/>
          <w:u w:val="double"/>
        </w:rPr>
      </w:r>
    </w:p>
    <w:p>
      <w:pPr>
        <w:pStyle w:val="Normal"/>
        <w:bidi w:val="0"/>
        <w:ind w:hanging="0" w:start="0" w:end="0"/>
        <w:jc w:val="both"/>
        <w:rPr>
          <w:b/>
          <w:sz w:val="22"/>
          <w:u w:val="double"/>
        </w:rPr>
      </w:pPr>
      <w:r>
        <w:rPr>
          <w:sz w:val="22"/>
        </w:rPr>
        <w:tab/>
      </w:r>
      <w:r>
        <w:rPr>
          <w:b/>
          <w:sz w:val="22"/>
          <w:u w:val="double"/>
        </w:rPr>
        <w:t>(d)</w:t>
      </w:r>
      <w:r>
        <w:rPr>
          <w:sz w:val="22"/>
        </w:rPr>
        <w:tab/>
      </w:r>
      <w:r>
        <w:rPr>
          <w:b/>
          <w:sz w:val="22"/>
          <w:u w:val="double"/>
        </w:rPr>
        <w:t xml:space="preserve">Exclusivity.  Envera shall not enter into any agreements similar to this Agreement with any individual or entity that provides services similar to those provided by DealBench. </w:t>
      </w:r>
    </w:p>
    <w:p>
      <w:pPr>
        <w:pStyle w:val="Normal"/>
        <w:bidi w:val="0"/>
        <w:ind w:hanging="0" w:start="0" w:end="0"/>
        <w:jc w:val="both"/>
        <w:rPr>
          <w:b/>
          <w:sz w:val="22"/>
          <w:u w:val="double"/>
        </w:rPr>
      </w:pPr>
      <w:r>
        <w:rPr>
          <w:b/>
          <w:sz w:val="22"/>
          <w:u w:val="double"/>
        </w:rPr>
      </w:r>
    </w:p>
    <w:p>
      <w:pPr>
        <w:pStyle w:val="Normal"/>
        <w:bidi w:val="0"/>
        <w:ind w:hanging="0" w:start="0" w:end="0"/>
        <w:jc w:val="both"/>
        <w:rPr>
          <w:b/>
          <w:sz w:val="22"/>
          <w:u w:val="double"/>
        </w:rPr>
      </w:pPr>
      <w:r>
        <w:rPr>
          <w:b/>
          <w:sz w:val="22"/>
          <w:u w:val="double"/>
        </w:rPr>
        <w:t>3.</w:t>
      </w:r>
      <w:r>
        <w:rPr>
          <w:b/>
          <w:sz w:val="22"/>
        </w:rPr>
        <w:tab/>
      </w:r>
      <w:r>
        <w:rPr>
          <w:b/>
          <w:sz w:val="22"/>
          <w:u w:val="double"/>
        </w:rPr>
        <w:t>Trademarks.</w:t>
      </w:r>
    </w:p>
    <w:p>
      <w:pPr>
        <w:pStyle w:val="Normal"/>
        <w:bidi w:val="0"/>
        <w:ind w:hanging="0" w:start="0" w:end="0"/>
        <w:jc w:val="both"/>
        <w:rPr>
          <w:b/>
          <w:sz w:val="22"/>
          <w:u w:val="double"/>
        </w:rPr>
      </w:pPr>
      <w:r>
        <w:rPr>
          <w:b/>
          <w:sz w:val="22"/>
          <w:u w:val="double"/>
        </w:rPr>
      </w:r>
    </w:p>
    <w:p>
      <w:pPr>
        <w:pStyle w:val="Normal"/>
        <w:bidi w:val="0"/>
        <w:ind w:hanging="0" w:start="0" w:end="0"/>
        <w:jc w:val="both"/>
        <w:rPr>
          <w:b/>
          <w:sz w:val="22"/>
          <w:u w:val="double"/>
        </w:rPr>
      </w:pPr>
      <w:r>
        <w:rPr>
          <w:sz w:val="22"/>
        </w:rPr>
        <w:tab/>
      </w:r>
      <w:r>
        <w:rPr>
          <w:b/>
          <w:sz w:val="22"/>
          <w:u w:val="double"/>
        </w:rPr>
        <w:t>(a)</w:t>
      </w:r>
      <w:r>
        <w:rPr>
          <w:sz w:val="22"/>
        </w:rPr>
        <w:tab/>
      </w:r>
      <w:r>
        <w:rPr>
          <w:b/>
          <w:sz w:val="22"/>
          <w:u w:val="double"/>
        </w:rPr>
        <w:t>DealBench</w:t>
      </w:r>
      <w:r>
        <w:rPr>
          <w:sz w:val="22"/>
          <w:u w:val="single"/>
        </w:rPr>
        <w:t xml:space="preserve"> Trademark License</w:t>
      </w:r>
      <w:r>
        <w:rPr>
          <w:sz w:val="22"/>
        </w:rPr>
        <w:t xml:space="preserve">.  Subject to the terms and conditions of this Agreement, </w:t>
      </w:r>
      <w:r>
        <w:rPr>
          <w:strike/>
          <w:sz w:val="22"/>
        </w:rPr>
        <w:t>Envera</w:t>
      </w:r>
      <w:r>
        <w:rPr>
          <w:sz w:val="22"/>
        </w:rPr>
        <w:t xml:space="preserve"> </w:t>
      </w:r>
      <w:r>
        <w:rPr>
          <w:b/>
          <w:sz w:val="22"/>
          <w:u w:val="double"/>
        </w:rPr>
        <w:t>DealBench</w:t>
      </w:r>
      <w:r>
        <w:rPr>
          <w:sz w:val="22"/>
        </w:rPr>
        <w:t xml:space="preserve"> hereby grants to </w:t>
      </w:r>
      <w:r>
        <w:rPr>
          <w:strike/>
          <w:sz w:val="22"/>
        </w:rPr>
        <w:t>EOL</w:t>
      </w:r>
      <w:r>
        <w:rPr>
          <w:sz w:val="22"/>
        </w:rPr>
        <w:t xml:space="preserve"> </w:t>
      </w:r>
      <w:r>
        <w:rPr>
          <w:b/>
          <w:sz w:val="22"/>
          <w:u w:val="double"/>
        </w:rPr>
        <w:t>Envera</w:t>
      </w:r>
      <w:r>
        <w:rPr>
          <w:sz w:val="22"/>
        </w:rPr>
        <w:t xml:space="preserve"> a limited </w:t>
      </w:r>
      <w:r>
        <w:rPr>
          <w:b/>
          <w:sz w:val="22"/>
          <w:u w:val="double"/>
        </w:rPr>
        <w:t>personal, revocable, non-exclusive</w:t>
      </w:r>
      <w:r>
        <w:rPr>
          <w:sz w:val="22"/>
        </w:rPr>
        <w:t xml:space="preserve"> license to use the </w:t>
      </w:r>
      <w:r>
        <w:rPr>
          <w:strike/>
          <w:sz w:val="22"/>
        </w:rPr>
        <w:t>Envera</w:t>
      </w:r>
      <w:r>
        <w:rPr>
          <w:sz w:val="22"/>
        </w:rPr>
        <w:t xml:space="preserve"> </w:t>
      </w:r>
      <w:r>
        <w:rPr>
          <w:b/>
          <w:sz w:val="22"/>
          <w:u w:val="double"/>
        </w:rPr>
        <w:t>DealBench</w:t>
      </w:r>
      <w:r>
        <w:rPr>
          <w:sz w:val="22"/>
        </w:rPr>
        <w:t xml:space="preserve"> trademarks </w:t>
      </w:r>
      <w:r>
        <w:rPr>
          <w:strike/>
          <w:sz w:val="22"/>
        </w:rPr>
        <w:t>as set forth on</w:t>
      </w:r>
      <w:r>
        <w:rPr>
          <w:sz w:val="22"/>
        </w:rPr>
        <w:t xml:space="preserve"> </w:t>
      </w:r>
      <w:r>
        <w:rPr>
          <w:b/>
          <w:sz w:val="22"/>
          <w:u w:val="double"/>
        </w:rPr>
        <w:t>identified in</w:t>
      </w:r>
      <w:r>
        <w:rPr>
          <w:sz w:val="22"/>
        </w:rPr>
        <w:t xml:space="preserve"> </w:t>
      </w:r>
      <w:r>
        <w:rPr>
          <w:sz w:val="22"/>
          <w:u w:val="single"/>
        </w:rPr>
        <w:t xml:space="preserve">Exhibit </w:t>
      </w:r>
      <w:r>
        <w:rPr>
          <w:strike/>
          <w:sz w:val="22"/>
          <w:u w:val="single"/>
        </w:rPr>
        <w:t>B</w:t>
      </w:r>
      <w:r>
        <w:rPr>
          <w:sz w:val="22"/>
          <w:u w:val="single"/>
        </w:rPr>
        <w:t xml:space="preserve"> </w:t>
      </w:r>
      <w:r>
        <w:rPr>
          <w:b/>
          <w:sz w:val="22"/>
          <w:u w:val="double"/>
        </w:rPr>
        <w:t>A</w:t>
      </w:r>
      <w:r>
        <w:rPr>
          <w:sz w:val="22"/>
        </w:rPr>
        <w:t xml:space="preserve"> (the </w:t>
      </w:r>
      <w:r>
        <w:rPr>
          <w:strike/>
          <w:sz w:val="22"/>
        </w:rPr>
        <w:t>"Envera</w:t>
      </w:r>
      <w:r>
        <w:rPr>
          <w:b/>
          <w:sz w:val="22"/>
          <w:u w:val="double"/>
        </w:rPr>
        <w:t>"DealBench</w:t>
      </w:r>
      <w:r>
        <w:rPr>
          <w:sz w:val="22"/>
        </w:rPr>
        <w:t xml:space="preserve"> Marks") on the </w:t>
      </w:r>
      <w:r>
        <w:rPr>
          <w:strike/>
          <w:sz w:val="22"/>
        </w:rPr>
        <w:t>EOL</w:t>
      </w:r>
      <w:r>
        <w:rPr>
          <w:sz w:val="22"/>
        </w:rPr>
        <w:t xml:space="preserve"> </w:t>
      </w:r>
      <w:r>
        <w:rPr>
          <w:b/>
          <w:sz w:val="22"/>
          <w:u w:val="double"/>
        </w:rPr>
        <w:t>Envera</w:t>
      </w:r>
      <w:r>
        <w:rPr>
          <w:sz w:val="22"/>
        </w:rPr>
        <w:t xml:space="preserve"> Web Site solely for purposes of establishing </w:t>
      </w:r>
      <w:r>
        <w:rPr>
          <w:strike/>
          <w:sz w:val="22"/>
        </w:rPr>
        <w:t>the links set forth in Section 2 and participating in the joint marketing efforts contemplated in Section 3. If EOL desires to use such Envera Marks other than on the EOL Web Site, EOL</w:t>
      </w:r>
      <w:r>
        <w:rPr>
          <w:sz w:val="22"/>
        </w:rPr>
        <w:t xml:space="preserve"> </w:t>
      </w:r>
      <w:r>
        <w:rPr>
          <w:b/>
          <w:sz w:val="22"/>
          <w:u w:val="double"/>
        </w:rPr>
        <w:t>and maintaining the Link described in Section 2.  All other uses of the DealBench Marks are strictly prohibited.  If Envera desires to use any DealBench Marks other than as expressly permitted in this Agreement, Envera</w:t>
      </w:r>
      <w:r>
        <w:rPr>
          <w:sz w:val="22"/>
        </w:rPr>
        <w:t xml:space="preserve"> shall, in each instance, obtain </w:t>
      </w:r>
      <w:r>
        <w:rPr>
          <w:strike/>
          <w:sz w:val="22"/>
        </w:rPr>
        <w:t>Envera's</w:t>
      </w:r>
      <w:r>
        <w:rPr>
          <w:sz w:val="22"/>
        </w:rPr>
        <w:t xml:space="preserve"> </w:t>
      </w:r>
      <w:r>
        <w:rPr>
          <w:b/>
          <w:sz w:val="22"/>
          <w:u w:val="double"/>
        </w:rPr>
        <w:t>DealBench's prior</w:t>
      </w:r>
      <w:r>
        <w:rPr>
          <w:sz w:val="22"/>
        </w:rPr>
        <w:t xml:space="preserve"> written approval for </w:t>
      </w:r>
      <w:r>
        <w:rPr>
          <w:strike/>
          <w:sz w:val="22"/>
        </w:rPr>
        <w:t>use of the Envera Marks.]</w:t>
      </w:r>
      <w:r>
        <w:rPr>
          <w:sz w:val="22"/>
        </w:rPr>
        <w:t xml:space="preserve"> </w:t>
      </w:r>
      <w:r>
        <w:rPr>
          <w:b/>
          <w:sz w:val="22"/>
          <w:u w:val="double"/>
        </w:rPr>
        <w:t>such use.</w:t>
      </w:r>
    </w:p>
    <w:p>
      <w:pPr>
        <w:pStyle w:val="Normal"/>
        <w:bidi w:val="0"/>
        <w:ind w:hanging="0" w:start="0" w:end="0"/>
        <w:jc w:val="both"/>
        <w:rPr>
          <w:b/>
          <w:sz w:val="22"/>
          <w:u w:val="double"/>
        </w:rPr>
      </w:pPr>
      <w:r>
        <w:rPr>
          <w:b/>
          <w:sz w:val="22"/>
          <w:u w:val="double"/>
        </w:rPr>
      </w:r>
    </w:p>
    <w:p>
      <w:pPr>
        <w:pStyle w:val="Normal"/>
        <w:bidi w:val="0"/>
        <w:ind w:hanging="0" w:start="0" w:end="0"/>
        <w:jc w:val="both"/>
        <w:rPr>
          <w:sz w:val="22"/>
        </w:rPr>
      </w:pPr>
      <w:r>
        <w:rPr>
          <w:sz w:val="22"/>
        </w:rPr>
        <w:tab/>
      </w:r>
      <w:r>
        <w:rPr>
          <w:b/>
          <w:sz w:val="22"/>
          <w:u w:val="double"/>
        </w:rPr>
        <w:t>(b)</w:t>
      </w:r>
      <w:r>
        <w:rPr>
          <w:sz w:val="22"/>
        </w:rPr>
        <w:tab/>
      </w:r>
      <w:r>
        <w:rPr>
          <w:b/>
          <w:sz w:val="22"/>
          <w:u w:val="double"/>
        </w:rPr>
        <w:t>All uses of the DealBench Marks by Envera shall be in accordance with proper trademark practice and usage and shall be in accordance with the quality control standards that DealBench may establish from time to time.  In this connection, DealBench shall, during the term of this Agreement, at reasonable times and during business hours, have access to Envera’s business premises and the Envera Home Page (and shall be granted all required security clearances), in order to monitor and review Envera’s use of the DealBench Marks, to ensure compliance with the terms of this Agreement.</w:t>
      </w:r>
    </w:p>
    <w:p>
      <w:pPr>
        <w:pStyle w:val="Normal"/>
        <w:bidi w:val="0"/>
        <w:ind w:hanging="0" w:start="0" w:end="0"/>
        <w:jc w:val="both"/>
        <w:rPr>
          <w:sz w:val="22"/>
        </w:rPr>
      </w:pPr>
      <w:r>
        <w:rPr>
          <w:sz w:val="22"/>
        </w:rPr>
      </w:r>
    </w:p>
    <w:p>
      <w:pPr>
        <w:pStyle w:val="Normal"/>
        <w:bidi w:val="0"/>
        <w:ind w:hanging="0" w:start="0" w:end="0"/>
        <w:jc w:val="both"/>
        <w:rPr>
          <w:b/>
          <w:sz w:val="22"/>
          <w:u w:val="double"/>
        </w:rPr>
      </w:pPr>
      <w:r>
        <w:rPr>
          <w:sz w:val="22"/>
        </w:rPr>
        <w:tab/>
        <w:t>(c)</w:t>
        <w:tab/>
      </w:r>
      <w:r>
        <w:rPr>
          <w:sz w:val="22"/>
          <w:u w:val="single"/>
        </w:rPr>
        <w:t>Reservation of Rights in Marks</w:t>
      </w:r>
      <w:r>
        <w:rPr>
          <w:sz w:val="22"/>
        </w:rPr>
        <w:t xml:space="preserve">.  </w:t>
      </w:r>
      <w:r>
        <w:rPr>
          <w:strike/>
          <w:sz w:val="22"/>
        </w:rPr>
        <w:t>The parties acknowledge and agree that (i) each party's</w:t>
      </w:r>
      <w:r>
        <w:rPr>
          <w:sz w:val="22"/>
        </w:rPr>
        <w:t xml:space="preserve"> </w:t>
      </w:r>
      <w:r>
        <w:rPr>
          <w:b/>
          <w:sz w:val="22"/>
          <w:u w:val="double"/>
        </w:rPr>
        <w:t>DealBench retains all rights in the DealBench Marks not expressly granted to Envera in this Agreement. Envera acknowledges and agrees that (i) the DealBench</w:t>
      </w:r>
      <w:r>
        <w:rPr>
          <w:sz w:val="22"/>
        </w:rPr>
        <w:t xml:space="preserve"> Marks are and shall remain the sole property of </w:t>
      </w:r>
      <w:r>
        <w:rPr>
          <w:strike/>
          <w:sz w:val="22"/>
        </w:rPr>
        <w:t>that party</w:t>
      </w:r>
      <w:r>
        <w:rPr>
          <w:sz w:val="22"/>
        </w:rPr>
        <w:t xml:space="preserve"> </w:t>
      </w:r>
      <w:r>
        <w:rPr>
          <w:b/>
          <w:sz w:val="22"/>
          <w:u w:val="double"/>
        </w:rPr>
        <w:t>DealBench</w:t>
      </w:r>
      <w:r>
        <w:rPr>
          <w:sz w:val="22"/>
        </w:rPr>
        <w:t xml:space="preserve">; (ii) nothing in this Agreement shall convey to </w:t>
      </w:r>
      <w:r>
        <w:rPr>
          <w:strike/>
          <w:sz w:val="22"/>
        </w:rPr>
        <w:t>either party</w:t>
      </w:r>
      <w:r>
        <w:rPr>
          <w:sz w:val="22"/>
        </w:rPr>
        <w:t xml:space="preserve"> </w:t>
      </w:r>
      <w:r>
        <w:rPr>
          <w:b/>
          <w:sz w:val="22"/>
          <w:u w:val="double"/>
        </w:rPr>
        <w:t>Envera</w:t>
      </w:r>
      <w:r>
        <w:rPr>
          <w:sz w:val="22"/>
        </w:rPr>
        <w:t xml:space="preserve"> any right of ownership in the </w:t>
      </w:r>
      <w:r>
        <w:rPr>
          <w:strike/>
          <w:sz w:val="22"/>
        </w:rPr>
        <w:t>other party's</w:t>
      </w:r>
      <w:r>
        <w:rPr>
          <w:sz w:val="22"/>
        </w:rPr>
        <w:t xml:space="preserve"> </w:t>
      </w:r>
      <w:r>
        <w:rPr>
          <w:b/>
          <w:sz w:val="22"/>
          <w:u w:val="double"/>
        </w:rPr>
        <w:t>DealBench</w:t>
      </w:r>
      <w:r>
        <w:rPr>
          <w:sz w:val="22"/>
        </w:rPr>
        <w:t xml:space="preserve"> Marks </w:t>
      </w:r>
      <w:r>
        <w:rPr>
          <w:strike/>
          <w:sz w:val="22"/>
        </w:rPr>
        <w:t>;</w:t>
      </w:r>
      <w:r>
        <w:rPr>
          <w:sz w:val="22"/>
        </w:rPr>
        <w:t xml:space="preserve"> </w:t>
      </w:r>
      <w:r>
        <w:rPr>
          <w:b/>
          <w:sz w:val="22"/>
          <w:u w:val="double"/>
        </w:rPr>
        <w:t>and</w:t>
      </w:r>
      <w:r>
        <w:rPr>
          <w:sz w:val="22"/>
        </w:rPr>
        <w:t xml:space="preserve"> (iii) </w:t>
      </w:r>
      <w:r>
        <w:rPr>
          <w:strike/>
          <w:sz w:val="22"/>
        </w:rPr>
        <w:t>neither party</w:t>
      </w:r>
      <w:r>
        <w:rPr>
          <w:sz w:val="22"/>
        </w:rPr>
        <w:t xml:space="preserve"> </w:t>
      </w:r>
      <w:r>
        <w:rPr>
          <w:b/>
          <w:sz w:val="22"/>
          <w:u w:val="double"/>
        </w:rPr>
        <w:t>Envera</w:t>
      </w:r>
      <w:r>
        <w:rPr>
          <w:sz w:val="22"/>
        </w:rPr>
        <w:t xml:space="preserve"> shall </w:t>
      </w:r>
      <w:r>
        <w:rPr>
          <w:b/>
          <w:sz w:val="22"/>
          <w:u w:val="double"/>
        </w:rPr>
        <w:t>not</w:t>
      </w:r>
      <w:r>
        <w:rPr>
          <w:sz w:val="22"/>
        </w:rPr>
        <w:t xml:space="preserve"> now </w:t>
      </w:r>
      <w:r>
        <w:rPr>
          <w:strike/>
          <w:sz w:val="22"/>
        </w:rPr>
        <w:t>or</w:t>
      </w:r>
      <w:r>
        <w:rPr>
          <w:sz w:val="22"/>
        </w:rPr>
        <w:t xml:space="preserve"> </w:t>
      </w:r>
      <w:r>
        <w:rPr>
          <w:b/>
          <w:sz w:val="22"/>
          <w:u w:val="double"/>
        </w:rPr>
        <w:t>nor</w:t>
      </w:r>
      <w:r>
        <w:rPr>
          <w:sz w:val="22"/>
        </w:rPr>
        <w:t xml:space="preserve"> in the future contest the validity of the </w:t>
      </w:r>
      <w:r>
        <w:rPr>
          <w:strike/>
          <w:sz w:val="22"/>
        </w:rPr>
        <w:t xml:space="preserve">other party's Marks; and (iv) neither party shall </w:t>
      </w:r>
      <w:r>
        <w:rPr>
          <w:b/>
          <w:sz w:val="22"/>
          <w:u w:val="double"/>
        </w:rPr>
        <w:t>DealBench Marks.</w:t>
      </w:r>
    </w:p>
    <w:p>
      <w:pPr>
        <w:pStyle w:val="Normal"/>
        <w:bidi w:val="0"/>
        <w:ind w:hanging="0" w:start="0" w:end="0"/>
        <w:jc w:val="both"/>
        <w:rPr>
          <w:b/>
          <w:sz w:val="22"/>
          <w:u w:val="double"/>
        </w:rPr>
      </w:pPr>
      <w:r>
        <w:rPr>
          <w:b/>
          <w:sz w:val="22"/>
          <w:u w:val="double"/>
        </w:rPr>
      </w:r>
    </w:p>
    <w:p>
      <w:pPr>
        <w:pStyle w:val="Normal"/>
        <w:bidi w:val="0"/>
        <w:ind w:firstLine="720" w:start="0" w:end="0"/>
        <w:jc w:val="both"/>
        <w:rPr>
          <w:b/>
          <w:sz w:val="22"/>
          <w:u w:val="double"/>
        </w:rPr>
      </w:pPr>
      <w:r>
        <w:rPr>
          <w:b/>
          <w:sz w:val="22"/>
          <w:u w:val="double"/>
        </w:rPr>
        <w:t>(d)</w:t>
      </w:r>
      <w:r>
        <w:rPr>
          <w:sz w:val="22"/>
        </w:rPr>
        <w:tab/>
      </w:r>
      <w:r>
        <w:rPr>
          <w:b/>
          <w:sz w:val="22"/>
          <w:u w:val="double"/>
        </w:rPr>
        <w:t xml:space="preserve">Business Practices.  </w:t>
      </w:r>
    </w:p>
    <w:p>
      <w:pPr>
        <w:pStyle w:val="Normal"/>
        <w:bidi w:val="0"/>
        <w:ind w:firstLine="720" w:start="0" w:end="0"/>
        <w:jc w:val="both"/>
        <w:rPr>
          <w:b/>
          <w:sz w:val="22"/>
          <w:u w:val="double"/>
        </w:rPr>
      </w:pPr>
      <w:r>
        <w:rPr>
          <w:b/>
          <w:sz w:val="22"/>
          <w:u w:val="double"/>
        </w:rPr>
      </w:r>
    </w:p>
    <w:p>
      <w:pPr>
        <w:pStyle w:val="Normal"/>
        <w:bidi w:val="0"/>
        <w:ind w:hanging="0" w:start="1440" w:end="0"/>
        <w:jc w:val="both"/>
        <w:rPr>
          <w:sz w:val="22"/>
        </w:rPr>
      </w:pPr>
      <w:r>
        <w:rPr>
          <w:b/>
          <w:sz w:val="22"/>
          <w:u w:val="double"/>
        </w:rPr>
        <w:t>(i)</w:t>
      </w:r>
      <w:r>
        <w:rPr>
          <w:sz w:val="22"/>
        </w:rPr>
        <w:tab/>
      </w:r>
      <w:r>
        <w:rPr>
          <w:b/>
          <w:sz w:val="22"/>
          <w:u w:val="double"/>
        </w:rPr>
        <w:t>Envera shall not</w:t>
      </w:r>
      <w:r>
        <w:rPr>
          <w:sz w:val="22"/>
        </w:rPr>
        <w:t xml:space="preserve"> in any manner take any action that would </w:t>
      </w:r>
      <w:r>
        <w:rPr>
          <w:b/>
          <w:sz w:val="22"/>
          <w:u w:val="double"/>
        </w:rPr>
        <w:t>disparage the DealBench Marks or</w:t>
      </w:r>
      <w:r>
        <w:rPr>
          <w:sz w:val="22"/>
        </w:rPr>
        <w:t xml:space="preserve"> impair the value of, or goodwill associated with, </w:t>
      </w:r>
      <w:r>
        <w:rPr>
          <w:strike/>
          <w:sz w:val="22"/>
        </w:rPr>
        <w:t>such Marks. The parties acknowledge and agree that all use of the other party's Marks by a party shall inure to the benefit of the party whose Marks are being used.</w:t>
      </w:r>
      <w:r>
        <w:rPr>
          <w:sz w:val="22"/>
        </w:rPr>
        <w:t xml:space="preserve"> </w:t>
      </w:r>
      <w:r>
        <w:rPr>
          <w:b/>
          <w:sz w:val="22"/>
          <w:u w:val="double"/>
        </w:rPr>
        <w:t>the DealBench Marks;</w:t>
      </w:r>
    </w:p>
    <w:p>
      <w:pPr>
        <w:pStyle w:val="Normal"/>
        <w:bidi w:val="0"/>
        <w:ind w:hanging="0" w:start="1440" w:end="0"/>
        <w:jc w:val="both"/>
        <w:rPr>
          <w:sz w:val="22"/>
        </w:rPr>
      </w:pPr>
      <w:r>
        <w:rPr>
          <w:sz w:val="22"/>
        </w:rPr>
      </w:r>
    </w:p>
    <w:p>
      <w:pPr>
        <w:pStyle w:val="Normal"/>
        <w:bidi w:val="0"/>
        <w:ind w:hanging="0" w:start="1440" w:end="0"/>
        <w:jc w:val="both"/>
        <w:rPr>
          <w:sz w:val="22"/>
        </w:rPr>
      </w:pPr>
      <w:r>
        <w:rPr>
          <w:strike/>
          <w:sz w:val="22"/>
        </w:rPr>
        <w:t>(d)</w:t>
      </w:r>
    </w:p>
    <w:p>
      <w:pPr>
        <w:pStyle w:val="Normal"/>
        <w:bidi w:val="0"/>
        <w:ind w:hanging="0" w:start="1440" w:end="0"/>
        <w:jc w:val="both"/>
        <w:rPr>
          <w:b/>
          <w:sz w:val="22"/>
          <w:u w:val="double"/>
        </w:rPr>
      </w:pPr>
      <w:r>
        <w:rPr>
          <w:b/>
          <w:sz w:val="22"/>
          <w:u w:val="double"/>
        </w:rPr>
        <w:t>(ii)</w:t>
      </w:r>
      <w:r>
        <w:rPr>
          <w:sz w:val="22"/>
        </w:rPr>
        <w:tab/>
      </w:r>
      <w:r>
        <w:rPr>
          <w:b/>
          <w:sz w:val="22"/>
          <w:u w:val="double"/>
        </w:rPr>
        <w:t>Envera shall conduct its business in a manner that reflects favorably at all times on the good name, goodwill and reputation of DealBench;</w:t>
      </w:r>
    </w:p>
    <w:p>
      <w:pPr>
        <w:pStyle w:val="Normal"/>
        <w:bidi w:val="0"/>
        <w:ind w:hanging="0" w:start="1440" w:end="0"/>
        <w:jc w:val="both"/>
        <w:rPr>
          <w:b/>
          <w:sz w:val="22"/>
          <w:u w:val="double"/>
        </w:rPr>
      </w:pPr>
      <w:r>
        <w:rPr>
          <w:b/>
          <w:sz w:val="22"/>
          <w:u w:val="double"/>
        </w:rPr>
      </w:r>
    </w:p>
    <w:p>
      <w:pPr>
        <w:pStyle w:val="Normal"/>
        <w:bidi w:val="0"/>
        <w:ind w:hanging="0" w:start="1440" w:end="0"/>
        <w:jc w:val="both"/>
        <w:rPr>
          <w:b/>
          <w:sz w:val="22"/>
          <w:u w:val="double"/>
        </w:rPr>
      </w:pPr>
      <w:r>
        <w:rPr>
          <w:b/>
          <w:sz w:val="22"/>
          <w:u w:val="double"/>
        </w:rPr>
        <w:t>(iii)</w:t>
      </w:r>
      <w:r>
        <w:rPr>
          <w:sz w:val="22"/>
        </w:rPr>
        <w:tab/>
      </w:r>
      <w:r>
        <w:rPr>
          <w:b/>
          <w:sz w:val="22"/>
          <w:u w:val="double"/>
        </w:rPr>
        <w:t>Envera shall avoid deceptive, misleading or unethical practices that are detrimental to DealBench or DealBench’s customers;</w:t>
      </w:r>
    </w:p>
    <w:p>
      <w:pPr>
        <w:pStyle w:val="Normal"/>
        <w:bidi w:val="0"/>
        <w:ind w:hanging="0" w:start="1440" w:end="0"/>
        <w:jc w:val="both"/>
        <w:rPr>
          <w:b/>
          <w:sz w:val="22"/>
          <w:u w:val="double"/>
        </w:rPr>
      </w:pPr>
      <w:r>
        <w:rPr>
          <w:b/>
          <w:sz w:val="22"/>
          <w:u w:val="double"/>
        </w:rPr>
      </w:r>
    </w:p>
    <w:p>
      <w:pPr>
        <w:pStyle w:val="Normal"/>
        <w:bidi w:val="0"/>
        <w:ind w:hanging="0" w:start="1440" w:end="0"/>
        <w:jc w:val="both"/>
        <w:rPr>
          <w:b/>
          <w:sz w:val="22"/>
          <w:u w:val="double"/>
        </w:rPr>
      </w:pPr>
      <w:r>
        <w:rPr>
          <w:b/>
          <w:sz w:val="22"/>
          <w:u w:val="double"/>
        </w:rPr>
        <w:t>(iv)</w:t>
      </w:r>
      <w:r>
        <w:rPr>
          <w:sz w:val="22"/>
        </w:rPr>
        <w:tab/>
      </w:r>
      <w:r>
        <w:rPr>
          <w:b/>
          <w:sz w:val="22"/>
          <w:u w:val="double"/>
        </w:rPr>
        <w:t>Envera shall not publish or employ or cooperate in the publication or employment of any misleading or deceptive advertising or promotional materials; and</w:t>
      </w:r>
    </w:p>
    <w:p>
      <w:pPr>
        <w:pStyle w:val="Normal"/>
        <w:bidi w:val="0"/>
        <w:ind w:hanging="0" w:start="1440" w:end="0"/>
        <w:jc w:val="both"/>
        <w:rPr>
          <w:b/>
          <w:sz w:val="22"/>
          <w:u w:val="double"/>
        </w:rPr>
      </w:pPr>
      <w:r>
        <w:rPr>
          <w:b/>
          <w:sz w:val="22"/>
          <w:u w:val="double"/>
        </w:rPr>
      </w:r>
    </w:p>
    <w:p>
      <w:pPr>
        <w:pStyle w:val="Normal"/>
        <w:bidi w:val="0"/>
        <w:ind w:hanging="0" w:start="1440" w:end="0"/>
        <w:jc w:val="both"/>
        <w:rPr>
          <w:b/>
          <w:sz w:val="22"/>
          <w:u w:val="double"/>
        </w:rPr>
      </w:pPr>
      <w:r>
        <w:rPr>
          <w:b/>
          <w:sz w:val="22"/>
          <w:u w:val="double"/>
        </w:rPr>
        <w:t>(v)</w:t>
      </w:r>
      <w:r>
        <w:rPr>
          <w:sz w:val="22"/>
        </w:rPr>
        <w:tab/>
      </w:r>
      <w:r>
        <w:rPr>
          <w:b/>
          <w:sz w:val="22"/>
          <w:u w:val="double"/>
        </w:rPr>
        <w:t xml:space="preserve">Envera shall take such steps as are reasonably necessary to ensure that neither it, nor any person under its control, </w:t>
      </w:r>
      <w:r>
        <w:rPr>
          <w:rStyle w:val="CommentReference"/>
          <w:vanish/>
          <w:lang w:val="en-US" w:eastAsia="en-US"/>
        </w:rPr>
        <w:t xml:space="preserve"> </w:t>
      </w:r>
      <w:r>
        <w:rPr>
          <w:b/>
          <w:sz w:val="22"/>
          <w:u w:val="double"/>
        </w:rPr>
        <w:t>nor Envera users, takes or causes to be taken any action that brings DealBench or the DealBench Marks into disrepute</w:t>
      </w:r>
    </w:p>
    <w:p>
      <w:pPr>
        <w:pStyle w:val="Normal"/>
        <w:bidi w:val="0"/>
        <w:ind w:hanging="0" w:start="0" w:end="0"/>
        <w:jc w:val="both"/>
        <w:rPr>
          <w:b/>
          <w:sz w:val="22"/>
          <w:u w:val="double"/>
        </w:rPr>
      </w:pPr>
      <w:r>
        <w:rPr>
          <w:sz w:val="22"/>
        </w:rPr>
        <w:t xml:space="preserve"> </w:t>
      </w:r>
    </w:p>
    <w:p>
      <w:pPr>
        <w:pStyle w:val="Normal"/>
        <w:keepNext w:val="true"/>
        <w:keepLines/>
        <w:bidi w:val="0"/>
        <w:ind w:hanging="0" w:start="0" w:end="0"/>
        <w:jc w:val="both"/>
        <w:rPr>
          <w:sz w:val="22"/>
        </w:rPr>
      </w:pPr>
      <w:r>
        <w:rPr>
          <w:sz w:val="22"/>
        </w:rPr>
        <w:tab/>
      </w:r>
      <w:r>
        <w:rPr>
          <w:b/>
          <w:sz w:val="22"/>
          <w:u w:val="double"/>
        </w:rPr>
        <w:t>(e)</w:t>
      </w:r>
      <w:r>
        <w:rPr>
          <w:sz w:val="22"/>
        </w:rPr>
        <w:tab/>
      </w:r>
      <w:r>
        <w:rPr>
          <w:sz w:val="22"/>
          <w:u w:val="single"/>
        </w:rPr>
        <w:t>Retention of Intellectual Property Rights</w:t>
      </w:r>
      <w:r>
        <w:rPr>
          <w:sz w:val="22"/>
        </w:rPr>
        <w:t xml:space="preserve">.  Except as expressly licensed under this Agreement, </w:t>
      </w:r>
      <w:r>
        <w:rPr>
          <w:strike/>
          <w:sz w:val="22"/>
        </w:rPr>
        <w:t>each party</w:t>
      </w:r>
      <w:r>
        <w:rPr>
          <w:sz w:val="22"/>
        </w:rPr>
        <w:t xml:space="preserve"> </w:t>
      </w:r>
      <w:r>
        <w:rPr>
          <w:b/>
          <w:sz w:val="22"/>
          <w:u w:val="double"/>
        </w:rPr>
        <w:t>DealBench</w:t>
      </w:r>
      <w:r>
        <w:rPr>
          <w:sz w:val="22"/>
        </w:rPr>
        <w:t xml:space="preserve"> shall retain all </w:t>
      </w:r>
      <w:r>
        <w:rPr>
          <w:strike/>
          <w:sz w:val="22"/>
        </w:rPr>
        <w:t>rights</w:t>
      </w:r>
      <w:r>
        <w:rPr>
          <w:sz w:val="22"/>
        </w:rPr>
        <w:t xml:space="preserve"> </w:t>
      </w:r>
      <w:r>
        <w:rPr>
          <w:b/>
          <w:sz w:val="22"/>
          <w:u w:val="double"/>
        </w:rPr>
        <w:t>right, title,</w:t>
      </w:r>
      <w:r>
        <w:rPr>
          <w:sz w:val="22"/>
        </w:rPr>
        <w:t xml:space="preserve"> and </w:t>
      </w:r>
      <w:r>
        <w:rPr>
          <w:strike/>
          <w:sz w:val="22"/>
        </w:rPr>
        <w:t>interests</w:t>
      </w:r>
      <w:r>
        <w:rPr>
          <w:sz w:val="22"/>
        </w:rPr>
        <w:t xml:space="preserve"> </w:t>
      </w:r>
      <w:r>
        <w:rPr>
          <w:b/>
          <w:sz w:val="22"/>
          <w:u w:val="double"/>
        </w:rPr>
        <w:t>interest,</w:t>
      </w:r>
      <w:r>
        <w:rPr>
          <w:sz w:val="22"/>
        </w:rPr>
        <w:t xml:space="preserve"> in </w:t>
      </w:r>
      <w:r>
        <w:rPr>
          <w:b/>
          <w:sz w:val="22"/>
          <w:u w:val="double"/>
        </w:rPr>
        <w:t>and to</w:t>
      </w:r>
      <w:r>
        <w:rPr>
          <w:sz w:val="22"/>
        </w:rPr>
        <w:t xml:space="preserve"> its web site, trademarks, copyrights, patents, trade secrets, and other intellectual property rights.</w:t>
      </w:r>
    </w:p>
    <w:p>
      <w:pPr>
        <w:pStyle w:val="Normal"/>
        <w:keepNext w:val="true"/>
        <w:keepLines/>
        <w:bidi w:val="0"/>
        <w:ind w:hanging="0" w:start="0" w:end="0"/>
        <w:jc w:val="both"/>
        <w:rPr>
          <w:sz w:val="22"/>
        </w:rPr>
      </w:pPr>
      <w:r>
        <w:rPr>
          <w:sz w:val="22"/>
        </w:rPr>
      </w:r>
    </w:p>
    <w:p>
      <w:pPr>
        <w:pStyle w:val="Normal"/>
        <w:keepNext w:val="true"/>
        <w:keepLines/>
        <w:bidi w:val="0"/>
        <w:ind w:hanging="0" w:start="0" w:end="0"/>
        <w:jc w:val="both"/>
        <w:rPr>
          <w:sz w:val="22"/>
        </w:rPr>
      </w:pPr>
      <w:r>
        <w:rPr>
          <w:sz w:val="22"/>
        </w:rPr>
      </w:r>
    </w:p>
    <w:p>
      <w:pPr>
        <w:pStyle w:val="Normal"/>
        <w:keepNext w:val="true"/>
        <w:keepLines/>
        <w:bidi w:val="0"/>
        <w:ind w:hanging="0" w:start="0" w:end="0"/>
        <w:jc w:val="both"/>
        <w:rPr>
          <w:sz w:val="22"/>
        </w:rPr>
      </w:pPr>
      <w:r>
        <w:rPr>
          <w:strike/>
          <w:sz w:val="22"/>
        </w:rPr>
        <w:t>5. Representations and Warranties; Indemnification.</w:t>
      </w:r>
    </w:p>
    <w:p>
      <w:pPr>
        <w:pStyle w:val="Normal"/>
        <w:keepNext w:val="true"/>
        <w:keepLines/>
        <w:bidi w:val="0"/>
        <w:ind w:hanging="0" w:start="0" w:end="0"/>
        <w:jc w:val="both"/>
        <w:rPr>
          <w:sz w:val="22"/>
        </w:rPr>
      </w:pPr>
      <w:r>
        <w:rPr>
          <w:sz w:val="22"/>
        </w:rPr>
      </w:r>
    </w:p>
    <w:p>
      <w:pPr>
        <w:pStyle w:val="Normal"/>
        <w:keepNext w:val="true"/>
        <w:keepLines/>
        <w:bidi w:val="0"/>
        <w:ind w:hanging="0" w:start="0" w:end="0"/>
        <w:jc w:val="both"/>
        <w:rPr>
          <w:sz w:val="22"/>
        </w:rPr>
      </w:pPr>
      <w:r>
        <w:rPr>
          <w:sz w:val="22"/>
        </w:rPr>
        <w:tab/>
      </w:r>
      <w:r>
        <w:rPr>
          <w:b/>
          <w:sz w:val="22"/>
          <w:u w:val="double"/>
        </w:rPr>
        <w:t>(f)</w:t>
      </w:r>
      <w:r>
        <w:rPr>
          <w:sz w:val="22"/>
        </w:rPr>
        <w:tab/>
      </w:r>
      <w:r>
        <w:rPr>
          <w:b/>
          <w:sz w:val="22"/>
          <w:u w:val="double"/>
        </w:rPr>
        <w:t>Goodwill; Derivations.  Envera acknowledges the goodwill associated with the DealBench Marks, and agrees that all goodwill, including any increase in the value of the DealBench Marks as a result of Envera’s use of the DealBench Marks pursuant to this Agreement, will inure solely to DealBench's benefit.  Envera will not claim any title or any proprietary right to the DealBench Marks or in any derivation, adaptation, or variation of the DealBench Marks (or in any goodwill associated with any derivation, adaptation or variation).</w:t>
      </w:r>
    </w:p>
    <w:p>
      <w:pPr>
        <w:pStyle w:val="Normal"/>
        <w:keepNext w:val="true"/>
        <w:keepLines/>
        <w:bidi w:val="0"/>
        <w:ind w:hanging="0" w:start="0" w:end="0"/>
        <w:jc w:val="both"/>
        <w:rPr>
          <w:sz w:val="22"/>
        </w:rPr>
      </w:pPr>
      <w:r>
        <w:rPr>
          <w:sz w:val="22"/>
        </w:rPr>
      </w:r>
    </w:p>
    <w:p>
      <w:pPr>
        <w:pStyle w:val="Normal"/>
        <w:keepNext w:val="true"/>
        <w:keepLines/>
        <w:bidi w:val="0"/>
        <w:ind w:hanging="0" w:start="0" w:end="0"/>
        <w:jc w:val="both"/>
        <w:rPr>
          <w:sz w:val="22"/>
        </w:rPr>
      </w:pPr>
      <w:r>
        <w:rPr>
          <w:strike/>
          <w:sz w:val="22"/>
        </w:rPr>
        <w:t>(a) EOL Warranty. EOL represents and warrants for the benefit of Envera that on the Effective Date and</w:t>
      </w:r>
    </w:p>
    <w:p>
      <w:pPr>
        <w:pStyle w:val="Normal"/>
        <w:keepNext w:val="true"/>
        <w:keepLines/>
        <w:bidi w:val="0"/>
        <w:ind w:hanging="0" w:start="0" w:end="0"/>
        <w:jc w:val="both"/>
        <w:rPr>
          <w:strike/>
          <w:sz w:val="22"/>
          <w:u w:val="single"/>
        </w:rPr>
      </w:pPr>
      <w:r>
        <w:rPr>
          <w:sz w:val="22"/>
        </w:rPr>
        <w:tab/>
      </w:r>
      <w:r>
        <w:rPr>
          <w:b/>
          <w:sz w:val="22"/>
          <w:u w:val="double"/>
        </w:rPr>
        <w:t>(g)</w:t>
      </w:r>
      <w:r>
        <w:rPr>
          <w:sz w:val="22"/>
        </w:rPr>
        <w:tab/>
      </w:r>
      <w:r>
        <w:rPr>
          <w:b/>
          <w:sz w:val="22"/>
          <w:u w:val="double"/>
        </w:rPr>
        <w:t>No Registration.  Envera shall not, either</w:t>
      </w:r>
      <w:r>
        <w:rPr>
          <w:sz w:val="22"/>
        </w:rPr>
        <w:t xml:space="preserve"> during the Term (as defined in </w:t>
      </w:r>
      <w:r>
        <w:rPr>
          <w:sz w:val="22"/>
          <w:u w:val="single"/>
        </w:rPr>
        <w:t xml:space="preserve">Section </w:t>
      </w:r>
      <w:r>
        <w:rPr>
          <w:strike/>
          <w:sz w:val="22"/>
          <w:u w:val="single"/>
        </w:rPr>
        <w:t>7) the: (i) content developed by EOL, or on its behalf, on the EOL Web Site does not and will not infringe any copyright or trademark of any third party, does not and will not misappropriate any trade secret of any third party, and does not and will not constitute a defamation or invasion of the rights of privacy or publicity of any kind of any third party, (ii) EOL Web Site does not violate the laws, statues or regulations of any jurisdiction, (iii) Envera's use of the EOL Marks pursuant to Section 4 does not violate the rights of any third party, including without limitation, copyright, trademark, trade secret, privacy, publicity or other right.</w:t>
      </w:r>
    </w:p>
    <w:p>
      <w:pPr>
        <w:pStyle w:val="Normal"/>
        <w:keepNext w:val="true"/>
        <w:keepLines/>
        <w:bidi w:val="0"/>
        <w:ind w:hanging="0" w:start="0" w:end="0"/>
        <w:jc w:val="both"/>
        <w:rPr>
          <w:strike/>
          <w:sz w:val="22"/>
          <w:u w:val="single"/>
        </w:rPr>
      </w:pPr>
      <w:r>
        <w:rPr>
          <w:strike/>
          <w:sz w:val="22"/>
          <w:u w:val="single"/>
        </w:rPr>
      </w:r>
    </w:p>
    <w:p>
      <w:pPr>
        <w:pStyle w:val="Normal"/>
        <w:keepNext w:val="true"/>
        <w:keepLines/>
        <w:bidi w:val="0"/>
        <w:ind w:hanging="0" w:start="0" w:end="0"/>
        <w:jc w:val="both"/>
        <w:rPr>
          <w:strike/>
          <w:sz w:val="22"/>
          <w:u w:val="single"/>
        </w:rPr>
      </w:pPr>
      <w:r>
        <w:rPr>
          <w:strike/>
          <w:sz w:val="22"/>
          <w:u w:val="single"/>
        </w:rPr>
        <w:t>[(b) Envera Warranty. Envera represents and warrants for the benefit of EOL that on the Effective Date and during the Term the: (i) content developed by Envera, or on its behalf, on the Envera Web Site does not and will not infringe any copyright or trademark of any third party, does not and will not misappropriate any trade secret of any third party, and does not and will not constitute a defamation or invasion of the rights of privacy or publicity of any kind of any third party, (ii) Envera Web Site does not violate the laws, statues or regulations of any jurisdiction, and (iii) EOL's use of the Envera Marks pursuant to Section 4 does not violate the rights of any third party, including without limitation, copyright, trademark, trade secret, privacy, publicity or other right.]</w:t>
      </w:r>
    </w:p>
    <w:p>
      <w:pPr>
        <w:pStyle w:val="Normal"/>
        <w:keepNext w:val="true"/>
        <w:keepLines/>
        <w:bidi w:val="0"/>
        <w:ind w:hanging="0" w:start="0" w:end="0"/>
        <w:jc w:val="both"/>
        <w:rPr>
          <w:strike/>
          <w:sz w:val="22"/>
          <w:u w:val="single"/>
        </w:rPr>
      </w:pPr>
      <w:r>
        <w:rPr>
          <w:strike/>
          <w:sz w:val="22"/>
          <w:u w:val="single"/>
        </w:rPr>
      </w:r>
    </w:p>
    <w:p>
      <w:pPr>
        <w:pStyle w:val="Normal"/>
        <w:keepNext w:val="true"/>
        <w:keepLines/>
        <w:bidi w:val="0"/>
        <w:ind w:hanging="0" w:start="0" w:end="0"/>
        <w:jc w:val="both"/>
        <w:rPr>
          <w:strike/>
          <w:sz w:val="22"/>
          <w:u w:val="single"/>
        </w:rPr>
      </w:pPr>
      <w:r>
        <w:rPr>
          <w:strike/>
          <w:sz w:val="22"/>
          <w:u w:val="single"/>
        </w:rPr>
        <w:t>(c) Indemnification by EOL. EOL agrees to indemnify, defend and hold harmless Envera, its officers, directors, employees and agents from and against any claims, demands, causes of action and judgments (including reasonable attorneys' fees, court costs and costs of appeal) (collectively, "Envera Claims") by any third party arising out of any breach or alleged breach of any of EOL's representations and warranties contained in Section 5(a), provided that Envera gives EOL prompt written notice of the assertion of any such Envera Claim. EOL shall undertake and control the defense and settlement of any such Envera Claim; provided, however, that (i) Envera may participate in any such proceeding at its own expense with counsel of its own choosing and (ii) if any settlement requires an affirmative obligation of, results in any ongoing liability of, or prejudices or detrimentally impacts Envera, then such settlement shall require Envera’s written consent (which shall not be unreasonably withheld).</w:t>
      </w:r>
    </w:p>
    <w:p>
      <w:pPr>
        <w:pStyle w:val="Normal"/>
        <w:keepNext w:val="true"/>
        <w:keepLines/>
        <w:bidi w:val="0"/>
        <w:ind w:hanging="0" w:start="0" w:end="0"/>
        <w:jc w:val="both"/>
        <w:rPr>
          <w:strike/>
          <w:sz w:val="22"/>
          <w:u w:val="single"/>
        </w:rPr>
      </w:pPr>
      <w:r>
        <w:rPr>
          <w:strike/>
          <w:sz w:val="22"/>
          <w:u w:val="single"/>
        </w:rPr>
      </w:r>
    </w:p>
    <w:p>
      <w:pPr>
        <w:pStyle w:val="Normal"/>
        <w:keepNext w:val="true"/>
        <w:keepLines/>
        <w:bidi w:val="0"/>
        <w:ind w:hanging="0" w:start="0" w:end="0"/>
        <w:jc w:val="both"/>
        <w:rPr>
          <w:strike/>
          <w:sz w:val="22"/>
          <w:u w:val="single"/>
        </w:rPr>
      </w:pPr>
      <w:r>
        <w:rPr>
          <w:strike/>
          <w:sz w:val="22"/>
          <w:u w:val="single"/>
        </w:rPr>
        <w:t>[(d) Indemnification by Envera. Envera agrees to indemnify, defend and hold harmless EOL, its officers, directors, employees and agents from and against any claims, demands, causes of action and judgments (including reasonable attorneys' fees and court costs) (collectively, "EOL Claims") by any third party arising out of any breach or alleged breach of any of Envera's representations and warranties contained in Section 5(b), provided that EOL gives Envera prompt written notice of the assertion of any such EOL Claim. Envera shall undertake and control the defense and settlement of any such Envera Claim; provided, however, that (i) EOL may participate in any such proceeding at its own expense with counsel of its own choosing and (ii) if any settlement requires an affirmative obligation of, results in any ongoing liability of, or prejudices or detrimentally impacts EOL, then such settlement shall require EOL’s written consent (which shall not be unreasonably withheld).]</w:t>
      </w:r>
    </w:p>
    <w:p>
      <w:pPr>
        <w:pStyle w:val="Normal"/>
        <w:keepNext w:val="true"/>
        <w:keepLines/>
        <w:bidi w:val="0"/>
        <w:ind w:hanging="0" w:start="0" w:end="0"/>
        <w:jc w:val="both"/>
        <w:rPr>
          <w:strike/>
          <w:sz w:val="22"/>
          <w:u w:val="single"/>
        </w:rPr>
      </w:pPr>
      <w:r>
        <w:rPr>
          <w:strike/>
          <w:sz w:val="22"/>
          <w:u w:val="single"/>
        </w:rPr>
      </w:r>
    </w:p>
    <w:p>
      <w:pPr>
        <w:pStyle w:val="Normal"/>
        <w:keepNext w:val="true"/>
        <w:keepLines/>
        <w:bidi w:val="0"/>
        <w:ind w:hanging="0" w:start="0" w:end="0"/>
        <w:jc w:val="both"/>
        <w:rPr>
          <w:b/>
          <w:sz w:val="22"/>
          <w:u w:val="double"/>
        </w:rPr>
      </w:pPr>
      <w:r>
        <w:rPr>
          <w:strike/>
          <w:sz w:val="22"/>
          <w:u w:val="single"/>
        </w:rPr>
        <w:t>6</w:t>
      </w:r>
      <w:r>
        <w:rPr>
          <w:sz w:val="22"/>
          <w:u w:val="single"/>
        </w:rPr>
        <w:t xml:space="preserve"> </w:t>
      </w:r>
      <w:r>
        <w:rPr>
          <w:b/>
          <w:sz w:val="22"/>
          <w:u w:val="double"/>
        </w:rPr>
        <w:t>6) or following the expiration or termination of this Agreement, attempt to register or assert any ownership in any of the DealBench Marks, either alone or in combination with other marks or indicia, nor shall Envera attempt to register any mark, domain name, trade name, material in which DealBench owns copyrights, or other intellectual property right, that is a derivation, adaptation, or variation of any DealBench Mark, or that is likely to be confused with any DealBench Mark.</w:t>
      </w:r>
    </w:p>
    <w:p>
      <w:pPr>
        <w:pStyle w:val="Normal"/>
        <w:bidi w:val="0"/>
        <w:ind w:hanging="0" w:start="0" w:end="0"/>
        <w:jc w:val="both"/>
        <w:rPr>
          <w:b/>
          <w:sz w:val="22"/>
          <w:u w:val="double"/>
        </w:rPr>
      </w:pPr>
      <w:r>
        <w:rPr>
          <w:b/>
          <w:sz w:val="22"/>
          <w:u w:val="double"/>
        </w:rPr>
      </w:r>
    </w:p>
    <w:p>
      <w:pPr>
        <w:pStyle w:val="Normal"/>
        <w:bidi w:val="0"/>
        <w:ind w:hanging="0" w:start="0" w:end="0"/>
        <w:jc w:val="both"/>
        <w:rPr>
          <w:b/>
          <w:sz w:val="22"/>
          <w:u w:val="double"/>
        </w:rPr>
      </w:pPr>
      <w:r>
        <w:rPr>
          <w:b/>
          <w:sz w:val="22"/>
          <w:u w:val="double"/>
        </w:rPr>
        <w:t>4.</w:t>
      </w:r>
      <w:r>
        <w:rPr>
          <w:b/>
          <w:sz w:val="22"/>
        </w:rPr>
        <w:tab/>
      </w:r>
      <w:r>
        <w:rPr>
          <w:b/>
          <w:sz w:val="22"/>
          <w:u w:val="double"/>
        </w:rPr>
        <w:t xml:space="preserve">Infringement. </w:t>
      </w:r>
    </w:p>
    <w:p>
      <w:pPr>
        <w:pStyle w:val="Normal"/>
        <w:bidi w:val="0"/>
        <w:ind w:hanging="0" w:start="0" w:end="0"/>
        <w:jc w:val="both"/>
        <w:rPr>
          <w:b/>
          <w:sz w:val="22"/>
          <w:u w:val="double"/>
        </w:rPr>
      </w:pPr>
      <w:r>
        <w:rPr>
          <w:b/>
          <w:sz w:val="22"/>
          <w:u w:val="double"/>
        </w:rPr>
      </w:r>
    </w:p>
    <w:p>
      <w:pPr>
        <w:pStyle w:val="Normal"/>
        <w:bidi w:val="0"/>
        <w:ind w:firstLine="720" w:start="0" w:end="0"/>
        <w:jc w:val="both"/>
        <w:rPr>
          <w:b/>
          <w:sz w:val="22"/>
          <w:u w:val="double"/>
        </w:rPr>
      </w:pPr>
      <w:r>
        <w:rPr>
          <w:sz w:val="22"/>
        </w:rPr>
        <w:t xml:space="preserve"> </w:t>
      </w:r>
      <w:r>
        <w:rPr>
          <w:b/>
          <w:sz w:val="22"/>
          <w:u w:val="double"/>
        </w:rPr>
        <w:t xml:space="preserve">(a) DealBench makes no representations and extends no warranties, either express or implied, that the DealBench Marks are or will be free from infringement of the rights of third parties in and to their names and marks, either in the United States or any foreign country, nor that DealBench will take steps to stop third parties from using names and Marks confusingly similar to the DealBench Marks.  However, in the event the use of the DealBench Marks by Envera allegedly infringes the dominant rights of some third party in the United States in and to its name and mark, DealBench shall take commercially reasonable efforts to adopt new marks or modify the existing marks to avoid such infringement problems, and in such case the new marks or modified marks shall be owned by DealBench and licensed to Envera under the terms of this Agreement.  </w:t>
      </w:r>
    </w:p>
    <w:p>
      <w:pPr>
        <w:pStyle w:val="Normal"/>
        <w:bidi w:val="0"/>
        <w:ind w:hanging="0" w:start="0" w:end="0"/>
        <w:jc w:val="both"/>
        <w:rPr>
          <w:b/>
          <w:sz w:val="22"/>
          <w:u w:val="double"/>
        </w:rPr>
      </w:pPr>
      <w:r>
        <w:rPr>
          <w:b/>
          <w:sz w:val="22"/>
          <w:u w:val="double"/>
        </w:rPr>
      </w:r>
    </w:p>
    <w:p>
      <w:pPr>
        <w:pStyle w:val="Normal"/>
        <w:bidi w:val="0"/>
        <w:ind w:firstLine="720" w:start="0" w:end="0"/>
        <w:jc w:val="both"/>
        <w:rPr>
          <w:b/>
          <w:sz w:val="22"/>
          <w:u w:val="double"/>
        </w:rPr>
      </w:pPr>
      <w:r>
        <w:rPr>
          <w:b/>
          <w:sz w:val="22"/>
          <w:u w:val="double"/>
        </w:rPr>
        <w:t>(b)</w:t>
      </w:r>
      <w:r>
        <w:rPr>
          <w:sz w:val="22"/>
        </w:rPr>
        <w:tab/>
      </w:r>
      <w:r>
        <w:rPr>
          <w:b/>
          <w:sz w:val="22"/>
          <w:u w:val="double"/>
        </w:rPr>
        <w:t>In the event that a third party is using a name or mark likely to cause confusion with the DealBench Marks and is infringing upon such DealBench Marks and Envera wishes that steps be taken to prevent such infringing use, Envera may notify DealBench in writing and request that DealBench take steps to abate such alleged infringing use.  In the event DealBench elects to initiate and conduct infringement litigation at its sole expense, DealBench shall control such litigation and shall be entitled to all recovery from the defendant which may be realized from such action.  In no event shall Envera have any right to prevent such infringing use.</w:t>
      </w:r>
    </w:p>
    <w:p>
      <w:pPr>
        <w:pStyle w:val="Normal"/>
        <w:bidi w:val="0"/>
        <w:ind w:hanging="0" w:start="0" w:end="0"/>
        <w:jc w:val="both"/>
        <w:rPr>
          <w:b/>
          <w:sz w:val="22"/>
          <w:u w:val="double"/>
        </w:rPr>
      </w:pPr>
      <w:r>
        <w:rPr>
          <w:b/>
          <w:sz w:val="22"/>
          <w:u w:val="double"/>
        </w:rPr>
      </w:r>
    </w:p>
    <w:p>
      <w:pPr>
        <w:pStyle w:val="Normal"/>
        <w:numPr>
          <w:ilvl w:val="0"/>
          <w:numId w:val="0"/>
        </w:numPr>
        <w:bidi w:val="0"/>
        <w:ind w:hanging="0" w:start="0" w:end="0"/>
        <w:jc w:val="both"/>
        <w:outlineLvl w:val="0"/>
        <w:rPr>
          <w:b/>
          <w:sz w:val="22"/>
        </w:rPr>
      </w:pPr>
      <w:r>
        <w:rPr>
          <w:b/>
          <w:sz w:val="22"/>
          <w:u w:val="double"/>
        </w:rPr>
        <w:t>5</w:t>
      </w:r>
      <w:r>
        <w:rPr>
          <w:b/>
          <w:sz w:val="22"/>
        </w:rPr>
        <w:t>.</w:t>
        <w:tab/>
        <w:t>Disclaimers; Limitation of Liability.</w:t>
      </w:r>
    </w:p>
    <w:p>
      <w:pPr>
        <w:pStyle w:val="Normal"/>
        <w:bidi w:val="0"/>
        <w:ind w:hanging="0" w:start="0" w:end="0"/>
        <w:jc w:val="both"/>
        <w:rPr>
          <w:sz w:val="22"/>
        </w:rPr>
      </w:pPr>
      <w:r>
        <w:rPr>
          <w:sz w:val="22"/>
        </w:rPr>
      </w:r>
    </w:p>
    <w:p>
      <w:pPr>
        <w:pStyle w:val="Normal"/>
        <w:bidi w:val="0"/>
        <w:ind w:hanging="0" w:start="0" w:end="0"/>
        <w:jc w:val="both"/>
        <w:rPr>
          <w:b/>
          <w:sz w:val="22"/>
        </w:rPr>
      </w:pPr>
      <w:r>
        <w:rPr>
          <w:b/>
          <w:sz w:val="22"/>
        </w:rPr>
        <w:tab/>
        <w:t>(a)</w:t>
        <w:tab/>
      </w:r>
      <w:r>
        <w:rPr>
          <w:b/>
          <w:strike/>
          <w:sz w:val="22"/>
        </w:rPr>
        <w:t>Warranty. This Agreement is an agreement for services. Notwithstanding the foregoing and except as expressly set forth in Section 5, both parties specifically disclaim</w:t>
      </w:r>
      <w:r>
        <w:rPr>
          <w:b/>
          <w:sz w:val="22"/>
        </w:rPr>
        <w:t xml:space="preserve"> </w:t>
      </w:r>
      <w:r>
        <w:rPr>
          <w:b/>
          <w:sz w:val="22"/>
          <w:u w:val="double"/>
        </w:rPr>
        <w:t>No Warranty.  DealBench makes no representations or warranties regarding access to the DealBench Login Page or the DealBench Website;  such access is provided “as is” and may be interrupted from time to time.  DealBench specifically disclaims</w:t>
      </w:r>
      <w:r>
        <w:rPr>
          <w:b/>
          <w:sz w:val="22"/>
        </w:rPr>
        <w:t xml:space="preserve"> all warranties </w:t>
      </w:r>
      <w:r>
        <w:rPr>
          <w:b/>
          <w:strike/>
          <w:sz w:val="22"/>
        </w:rPr>
        <w:t>with regard to the Envera and EOL Web Sites and information and services provided thereunder</w:t>
      </w:r>
      <w:r>
        <w:rPr>
          <w:b/>
          <w:sz w:val="22"/>
        </w:rPr>
        <w:t>, express or implied, including without limitation, the warranties of merchantability</w:t>
      </w:r>
      <w:r>
        <w:rPr>
          <w:b/>
          <w:sz w:val="22"/>
          <w:u w:val="double"/>
        </w:rPr>
        <w:t>, title, non-infringement, non-interference,</w:t>
      </w:r>
      <w:r>
        <w:rPr>
          <w:b/>
          <w:sz w:val="22"/>
        </w:rPr>
        <w:t xml:space="preserve"> or fitness for a particular </w:t>
      </w:r>
      <w:r>
        <w:rPr>
          <w:b/>
          <w:strike/>
          <w:sz w:val="22"/>
        </w:rPr>
        <w:t>purpose. In particular, and not by way of limitation, the parties do not warrant that the Envera and EOL Web Sites will operate error-free or without interruption.</w:t>
      </w:r>
      <w:r>
        <w:rPr>
          <w:b/>
          <w:sz w:val="22"/>
        </w:rPr>
        <w:t xml:space="preserve"> </w:t>
      </w:r>
      <w:r>
        <w:rPr>
          <w:b/>
          <w:sz w:val="22"/>
          <w:u w:val="double"/>
        </w:rPr>
        <w:t>purpose.with regard to (i) the DealBench Web Site and information and services provided thereunder, and (ii) the DealBench Marks.</w:t>
      </w:r>
    </w:p>
    <w:p>
      <w:pPr>
        <w:pStyle w:val="Normal"/>
        <w:bidi w:val="0"/>
        <w:ind w:hanging="0" w:start="0" w:end="0"/>
        <w:jc w:val="both"/>
        <w:rPr>
          <w:sz w:val="22"/>
        </w:rPr>
      </w:pPr>
      <w:r>
        <w:rPr>
          <w:sz w:val="22"/>
        </w:rPr>
      </w:r>
    </w:p>
    <w:p>
      <w:pPr>
        <w:pStyle w:val="Normal"/>
        <w:bidi w:val="0"/>
        <w:ind w:hanging="0" w:start="0" w:end="0"/>
        <w:jc w:val="both"/>
        <w:rPr>
          <w:sz w:val="22"/>
        </w:rPr>
      </w:pPr>
      <w:r>
        <w:rPr>
          <w:strike/>
          <w:sz w:val="22"/>
        </w:rPr>
        <w:t xml:space="preserve">(b) </w:t>
      </w:r>
    </w:p>
    <w:p>
      <w:pPr>
        <w:pStyle w:val="Normal"/>
        <w:bidi w:val="0"/>
        <w:ind w:hanging="0" w:start="0" w:end="0"/>
        <w:jc w:val="both"/>
        <w:rPr>
          <w:sz w:val="22"/>
        </w:rPr>
      </w:pPr>
      <w:r>
        <w:rPr>
          <w:sz w:val="22"/>
        </w:rPr>
        <w:tab/>
      </w:r>
      <w:r>
        <w:rPr>
          <w:b/>
          <w:sz w:val="22"/>
          <w:u w:val="double"/>
        </w:rPr>
        <w:t>(b)</w:t>
      </w:r>
      <w:r>
        <w:rPr>
          <w:b/>
          <w:sz w:val="22"/>
        </w:rPr>
        <w:tab/>
      </w:r>
      <w:r>
        <w:rPr>
          <w:b/>
          <w:sz w:val="22"/>
          <w:u w:val="double"/>
        </w:rPr>
        <w:t>Limitation on Consequential</w:t>
      </w:r>
      <w:r>
        <w:rPr>
          <w:b/>
          <w:sz w:val="22"/>
        </w:rPr>
        <w:t xml:space="preserve"> </w:t>
      </w:r>
      <w:r>
        <w:rPr>
          <w:b/>
          <w:sz w:val="22"/>
          <w:u w:val="single"/>
        </w:rPr>
        <w:t>Damages</w:t>
      </w:r>
      <w:r>
        <w:rPr>
          <w:b/>
          <w:sz w:val="22"/>
        </w:rPr>
        <w:t xml:space="preserve">.  Except to the extent that </w:t>
      </w:r>
      <w:r>
        <w:rPr>
          <w:b/>
          <w:strike/>
          <w:sz w:val="22"/>
        </w:rPr>
        <w:t>one party is required to indemnify the other under Section 5</w:t>
      </w:r>
      <w:r>
        <w:rPr>
          <w:b/>
          <w:sz w:val="22"/>
          <w:u w:val="double"/>
        </w:rPr>
        <w:t>(Envera is liable for violating a provision of Sections 2 or 3</w:t>
      </w:r>
      <w:r>
        <w:rPr>
          <w:b/>
          <w:sz w:val="22"/>
        </w:rPr>
        <w:t>, in no event shall either party be liable to the other for any indirect, special, incidental, punitive, or consequential damages, including, but not limited to, loss of profits, loss of data, loss of business or other loss arising out or resulting from this Agreement, even if either party has been advised of the possibility of such damages.  The foregoing shall apply regardless of the negligence or other fault of either party and regardless of whether such liability sounds in contract, negligence, tort or any other theory of liability</w:t>
      </w:r>
      <w:r>
        <w:rPr>
          <w:sz w:val="22"/>
        </w:rPr>
        <w:t xml:space="preserve">.  </w:t>
      </w:r>
    </w:p>
    <w:p>
      <w:pPr>
        <w:pStyle w:val="Normal"/>
        <w:bidi w:val="0"/>
        <w:ind w:hanging="0" w:start="0" w:end="0"/>
        <w:jc w:val="both"/>
        <w:rPr>
          <w:sz w:val="22"/>
        </w:rPr>
      </w:pPr>
      <w:r>
        <w:rPr>
          <w:sz w:val="22"/>
        </w:rPr>
      </w:r>
    </w:p>
    <w:p>
      <w:pPr>
        <w:pStyle w:val="Normal"/>
        <w:bidi w:val="0"/>
        <w:ind w:hanging="0" w:start="0" w:end="0"/>
        <w:jc w:val="both"/>
        <w:rPr>
          <w:sz w:val="22"/>
        </w:rPr>
      </w:pPr>
      <w:r>
        <w:rPr>
          <w:strike/>
          <w:sz w:val="22"/>
        </w:rPr>
        <w:t>Notwithstanding the foregoing, and except to the extent that one party is required to indemnify the other under Section 5, the</w:t>
      </w:r>
    </w:p>
    <w:p>
      <w:pPr>
        <w:pStyle w:val="Normal"/>
        <w:bidi w:val="0"/>
        <w:ind w:firstLine="720" w:start="0" w:end="0"/>
        <w:jc w:val="both"/>
        <w:rPr>
          <w:b/>
          <w:sz w:val="22"/>
        </w:rPr>
      </w:pPr>
      <w:r>
        <w:rPr>
          <w:b/>
          <w:sz w:val="22"/>
          <w:u w:val="double"/>
        </w:rPr>
        <w:t>(c)</w:t>
      </w:r>
      <w:r>
        <w:rPr>
          <w:sz w:val="22"/>
        </w:rPr>
        <w:tab/>
      </w:r>
      <w:r>
        <w:rPr>
          <w:b/>
          <w:sz w:val="22"/>
          <w:u w:val="double"/>
        </w:rPr>
        <w:t>Limitation on Liability.  The</w:t>
      </w:r>
      <w:r>
        <w:rPr>
          <w:b/>
          <w:sz w:val="22"/>
        </w:rPr>
        <w:t xml:space="preserve"> aggregate liability of either party arising with respect to this Agreement will not exceed the amount of $10,000</w:t>
      </w:r>
      <w:r>
        <w:rPr>
          <w:b/>
          <w:sz w:val="22"/>
          <w:u w:val="double"/>
        </w:rPr>
        <w:t>, except that the foregoing limitation shall not apply to the extent that Envera is liable for violating a provision of Sections 2 or 3.</w:t>
      </w:r>
    </w:p>
    <w:p>
      <w:pPr>
        <w:pStyle w:val="Normal"/>
        <w:bidi w:val="0"/>
        <w:ind w:hanging="0" w:start="0" w:end="0"/>
        <w:jc w:val="both"/>
        <w:rPr>
          <w:sz w:val="22"/>
        </w:rPr>
      </w:pPr>
      <w:r>
        <w:rPr>
          <w:sz w:val="22"/>
        </w:rPr>
      </w:r>
    </w:p>
    <w:p>
      <w:pPr>
        <w:pStyle w:val="Normal"/>
        <w:bidi w:val="0"/>
        <w:ind w:hanging="0" w:start="0" w:end="0"/>
        <w:jc w:val="both"/>
        <w:rPr>
          <w:sz w:val="22"/>
        </w:rPr>
      </w:pPr>
      <w:r>
        <w:rPr>
          <w:strike/>
          <w:sz w:val="22"/>
        </w:rPr>
        <w:t>7</w:t>
      </w:r>
    </w:p>
    <w:p>
      <w:pPr>
        <w:pStyle w:val="Normal"/>
        <w:numPr>
          <w:ilvl w:val="0"/>
          <w:numId w:val="0"/>
        </w:numPr>
        <w:bidi w:val="0"/>
        <w:ind w:hanging="0" w:start="0" w:end="0"/>
        <w:jc w:val="both"/>
        <w:outlineLvl w:val="0"/>
        <w:rPr>
          <w:b/>
          <w:sz w:val="22"/>
        </w:rPr>
      </w:pPr>
      <w:r>
        <w:rPr>
          <w:b/>
          <w:sz w:val="22"/>
          <w:u w:val="double"/>
        </w:rPr>
        <w:t>6</w:t>
      </w:r>
      <w:r>
        <w:rPr>
          <w:b/>
          <w:sz w:val="22"/>
        </w:rPr>
        <w:t>.</w:t>
        <w:tab/>
        <w:t>Term and Termination.</w:t>
      </w:r>
    </w:p>
    <w:p>
      <w:pPr>
        <w:pStyle w:val="Normal"/>
        <w:bidi w:val="0"/>
        <w:ind w:hanging="0" w:start="0" w:end="0"/>
        <w:jc w:val="both"/>
        <w:rPr>
          <w:sz w:val="22"/>
        </w:rPr>
      </w:pPr>
      <w:r>
        <w:rPr>
          <w:sz w:val="22"/>
        </w:rPr>
      </w:r>
    </w:p>
    <w:p>
      <w:pPr>
        <w:pStyle w:val="Normal"/>
        <w:bidi w:val="0"/>
        <w:ind w:hanging="0" w:start="0" w:end="0"/>
        <w:jc w:val="both"/>
        <w:rPr>
          <w:sz w:val="22"/>
        </w:rPr>
      </w:pPr>
      <w:r>
        <w:rPr>
          <w:sz w:val="22"/>
        </w:rPr>
        <w:tab/>
        <w:t>(a)</w:t>
        <w:tab/>
      </w:r>
      <w:r>
        <w:rPr>
          <w:sz w:val="22"/>
          <w:u w:val="single"/>
        </w:rPr>
        <w:t>Term</w:t>
      </w:r>
      <w:r>
        <w:rPr>
          <w:sz w:val="22"/>
        </w:rPr>
        <w:t>.  The term of this Agreement shall commence upon the Effective Date and shall continue for one year (the "Term").  Thereafter, this Agreement shall automatically renew for successive terms of one year each unless either of the parties provides written notice to the other of intent not to renew at least thirty (30) days prior to the end of the term or then-current renewal term.</w:t>
      </w:r>
    </w:p>
    <w:p>
      <w:pPr>
        <w:pStyle w:val="Normal"/>
        <w:bidi w:val="0"/>
        <w:ind w:hanging="0" w:start="0" w:end="0"/>
        <w:jc w:val="both"/>
        <w:rPr>
          <w:sz w:val="22"/>
        </w:rPr>
      </w:pPr>
      <w:r>
        <w:rPr>
          <w:sz w:val="22"/>
        </w:rPr>
      </w:r>
    </w:p>
    <w:p>
      <w:pPr>
        <w:pStyle w:val="Normal"/>
        <w:bidi w:val="0"/>
        <w:ind w:hanging="0" w:start="0" w:end="0"/>
        <w:jc w:val="both"/>
        <w:rPr>
          <w:sz w:val="22"/>
        </w:rPr>
      </w:pPr>
      <w:r>
        <w:rPr>
          <w:sz w:val="22"/>
        </w:rPr>
        <w:tab/>
        <w:t>(b)</w:t>
        <w:tab/>
      </w:r>
      <w:r>
        <w:rPr>
          <w:sz w:val="22"/>
          <w:u w:val="single"/>
        </w:rPr>
        <w:t>Termination for Convenience</w:t>
      </w:r>
      <w:r>
        <w:rPr>
          <w:sz w:val="22"/>
        </w:rPr>
        <w:t xml:space="preserve">.   </w:t>
      </w:r>
      <w:r>
        <w:rPr>
          <w:strike/>
          <w:sz w:val="22"/>
        </w:rPr>
        <w:t>Either party</w:t>
      </w:r>
      <w:r>
        <w:rPr>
          <w:sz w:val="22"/>
        </w:rPr>
        <w:t xml:space="preserve"> </w:t>
      </w:r>
      <w:r>
        <w:rPr>
          <w:b/>
          <w:sz w:val="22"/>
          <w:u w:val="double"/>
        </w:rPr>
        <w:t>DealBench</w:t>
      </w:r>
      <w:r>
        <w:rPr>
          <w:sz w:val="22"/>
        </w:rPr>
        <w:t xml:space="preserve"> shall have the right to terminate this Agreement, with or without cause, </w:t>
      </w:r>
      <w:r>
        <w:rPr>
          <w:b/>
          <w:sz w:val="22"/>
          <w:u w:val="double"/>
        </w:rPr>
        <w:t>at any time, immediately</w:t>
      </w:r>
      <w:r>
        <w:rPr>
          <w:sz w:val="22"/>
        </w:rPr>
        <w:t xml:space="preserve"> upon </w:t>
      </w:r>
      <w:r>
        <w:rPr>
          <w:strike/>
          <w:sz w:val="22"/>
        </w:rPr>
        <w:t>thirty (30) days prior</w:t>
      </w:r>
      <w:r>
        <w:rPr>
          <w:sz w:val="22"/>
        </w:rPr>
        <w:t xml:space="preserve"> written notice to </w:t>
      </w:r>
      <w:r>
        <w:rPr>
          <w:strike/>
          <w:sz w:val="22"/>
        </w:rPr>
        <w:t>the other party</w:t>
      </w:r>
      <w:r>
        <w:rPr>
          <w:sz w:val="22"/>
        </w:rPr>
        <w:t xml:space="preserve"> </w:t>
      </w:r>
      <w:r>
        <w:rPr>
          <w:b/>
          <w:sz w:val="22"/>
          <w:u w:val="double"/>
        </w:rPr>
        <w:t>Envera</w:t>
      </w:r>
      <w:r>
        <w:rPr>
          <w:sz w:val="22"/>
        </w:rPr>
        <w:t xml:space="preserve">. </w:t>
      </w:r>
    </w:p>
    <w:p>
      <w:pPr>
        <w:pStyle w:val="Normal"/>
        <w:bidi w:val="0"/>
        <w:ind w:hanging="0" w:start="0" w:end="0"/>
        <w:jc w:val="both"/>
        <w:rPr>
          <w:sz w:val="22"/>
        </w:rPr>
      </w:pPr>
      <w:r>
        <w:rPr>
          <w:sz w:val="22"/>
        </w:rPr>
      </w:r>
    </w:p>
    <w:p>
      <w:pPr>
        <w:pStyle w:val="Normal"/>
        <w:bidi w:val="0"/>
        <w:ind w:hanging="0" w:start="0" w:end="0"/>
        <w:jc w:val="both"/>
        <w:rPr>
          <w:sz w:val="22"/>
        </w:rPr>
      </w:pPr>
      <w:r>
        <w:rPr>
          <w:sz w:val="22"/>
        </w:rPr>
        <w:tab/>
        <w:t>(c)</w:t>
        <w:tab/>
      </w:r>
      <w:r>
        <w:rPr>
          <w:sz w:val="22"/>
          <w:u w:val="single"/>
        </w:rPr>
        <w:t>Termination for Regulatory Reasons</w:t>
      </w:r>
      <w:r>
        <w:rPr>
          <w:sz w:val="22"/>
        </w:rPr>
        <w:t xml:space="preserve">.  </w:t>
      </w:r>
      <w:r>
        <w:rPr>
          <w:strike/>
          <w:sz w:val="22"/>
        </w:rPr>
        <w:t>Either party</w:t>
      </w:r>
      <w:r>
        <w:rPr>
          <w:sz w:val="22"/>
        </w:rPr>
        <w:t xml:space="preserve"> </w:t>
      </w:r>
      <w:r>
        <w:rPr>
          <w:b/>
          <w:sz w:val="22"/>
          <w:u w:val="double"/>
        </w:rPr>
        <w:t>DealBench</w:t>
      </w:r>
      <w:r>
        <w:rPr>
          <w:sz w:val="22"/>
        </w:rPr>
        <w:t xml:space="preserve"> shall have the right to terminate this Agreement in writing immediately if </w:t>
      </w:r>
      <w:r>
        <w:rPr>
          <w:strike/>
          <w:sz w:val="22"/>
        </w:rPr>
        <w:t>the terminating party</w:t>
      </w:r>
      <w:r>
        <w:rPr>
          <w:sz w:val="22"/>
        </w:rPr>
        <w:t xml:space="preserve"> </w:t>
      </w:r>
      <w:r>
        <w:rPr>
          <w:b/>
          <w:sz w:val="22"/>
          <w:u w:val="double"/>
        </w:rPr>
        <w:t>DealBench</w:t>
      </w:r>
      <w:r>
        <w:rPr>
          <w:sz w:val="22"/>
        </w:rPr>
        <w:t xml:space="preserve"> determines in its sole discretion that the linking relationship established by this Agreement is prohibited by applicable law, rule or regulation, or that compliance with applicable law, rule or regulation would be </w:t>
      </w:r>
      <w:r>
        <w:rPr>
          <w:b/>
          <w:sz w:val="22"/>
          <w:u w:val="double"/>
        </w:rPr>
        <w:t>in DealBench’s sole discretion,</w:t>
      </w:r>
      <w:r>
        <w:rPr>
          <w:sz w:val="22"/>
        </w:rPr>
        <w:t xml:space="preserve"> excessively burdensome to </w:t>
      </w:r>
      <w:r>
        <w:rPr>
          <w:strike/>
          <w:sz w:val="22"/>
        </w:rPr>
        <w:t>the terminating party</w:t>
      </w:r>
      <w:r>
        <w:rPr>
          <w:sz w:val="22"/>
        </w:rPr>
        <w:t xml:space="preserve"> </w:t>
      </w:r>
      <w:r>
        <w:rPr>
          <w:b/>
          <w:sz w:val="22"/>
          <w:u w:val="double"/>
        </w:rPr>
        <w:t>DealBench</w:t>
      </w:r>
      <w:r>
        <w:rPr>
          <w:sz w:val="22"/>
        </w:rPr>
        <w:t>.</w:t>
      </w:r>
    </w:p>
    <w:p>
      <w:pPr>
        <w:pStyle w:val="Normal"/>
        <w:bidi w:val="0"/>
        <w:ind w:hanging="0" w:start="0" w:end="0"/>
        <w:jc w:val="both"/>
        <w:rPr>
          <w:sz w:val="22"/>
        </w:rPr>
      </w:pPr>
      <w:r>
        <w:rPr>
          <w:sz w:val="22"/>
        </w:rPr>
      </w:r>
    </w:p>
    <w:p>
      <w:pPr>
        <w:pStyle w:val="Normal"/>
        <w:bidi w:val="0"/>
        <w:ind w:hanging="0" w:start="0" w:end="0"/>
        <w:jc w:val="both"/>
        <w:rPr>
          <w:sz w:val="22"/>
        </w:rPr>
      </w:pPr>
      <w:r>
        <w:rPr>
          <w:sz w:val="22"/>
        </w:rPr>
        <w:tab/>
        <w:t>(d)</w:t>
        <w:tab/>
      </w:r>
      <w:r>
        <w:rPr>
          <w:sz w:val="22"/>
          <w:u w:val="single"/>
        </w:rPr>
        <w:t>Termination for Breach</w:t>
      </w:r>
      <w:r>
        <w:rPr>
          <w:sz w:val="22"/>
        </w:rPr>
        <w:t xml:space="preserve">.  If either party is in default of any </w:t>
      </w:r>
      <w:r>
        <w:rPr>
          <w:strike/>
          <w:sz w:val="22"/>
        </w:rPr>
        <w:t>material</w:t>
      </w:r>
      <w:r>
        <w:rPr>
          <w:sz w:val="22"/>
        </w:rPr>
        <w:t xml:space="preserve"> provision of this Agreement, the non-breaching party </w:t>
      </w:r>
      <w:r>
        <w:rPr>
          <w:strike/>
          <w:sz w:val="22"/>
        </w:rPr>
        <w:t>shall have the right to suspend the licenses granted under Sections 2 and 4 until such time as</w:t>
      </w:r>
      <w:r>
        <w:rPr>
          <w:sz w:val="22"/>
        </w:rPr>
        <w:t xml:space="preserve"> </w:t>
      </w:r>
      <w:r>
        <w:rPr>
          <w:b/>
          <w:sz w:val="22"/>
          <w:u w:val="double"/>
        </w:rPr>
        <w:t>may give written notice to the breaching party of</w:t>
      </w:r>
      <w:r>
        <w:rPr>
          <w:sz w:val="22"/>
        </w:rPr>
        <w:t xml:space="preserve"> the default.  </w:t>
      </w:r>
      <w:r>
        <w:rPr>
          <w:strike/>
          <w:sz w:val="22"/>
        </w:rPr>
        <w:t>is cured</w:t>
      </w:r>
      <w:r>
        <w:rPr>
          <w:sz w:val="22"/>
        </w:rPr>
        <w:t xml:space="preserve"> If such default is not cured within ten (10) days of receipt of written notice, the non-breaching party shall have the right to terminate this Agreement immediately </w:t>
      </w:r>
      <w:r>
        <w:rPr>
          <w:b/>
          <w:sz w:val="22"/>
          <w:u w:val="double"/>
        </w:rPr>
        <w:t>upon giving written notice of termination to the breaching party.  Additionally, if DealBench is the non-breaching party, DealBench shall have the right to suspend immediately (without regard to the cure period) the license granted under Sections 2</w:t>
      </w:r>
      <w:r>
        <w:rPr>
          <w:sz w:val="22"/>
        </w:rPr>
        <w:t xml:space="preserve"> </w:t>
      </w:r>
      <w:r>
        <w:rPr>
          <w:b/>
          <w:sz w:val="22"/>
          <w:u w:val="double"/>
        </w:rPr>
        <w:t>and 3</w:t>
      </w:r>
      <w:r>
        <w:rPr>
          <w:sz w:val="22"/>
        </w:rPr>
        <w:t xml:space="preserve"> </w:t>
      </w:r>
      <w:r>
        <w:rPr>
          <w:b/>
          <w:sz w:val="22"/>
          <w:u w:val="double"/>
        </w:rPr>
        <w:t>until such time as the default is cured to DealBench’s reasonable satisfaction or DealBench terminates this Agreement under this Section 6(d) or otherwise</w:t>
      </w:r>
      <w:r>
        <w:rPr>
          <w:sz w:val="22"/>
        </w:rPr>
        <w:t xml:space="preserve">.  </w:t>
      </w:r>
    </w:p>
    <w:p>
      <w:pPr>
        <w:pStyle w:val="Normal"/>
        <w:bidi w:val="0"/>
        <w:ind w:hanging="0" w:start="0" w:end="0"/>
        <w:jc w:val="both"/>
        <w:rPr>
          <w:sz w:val="22"/>
        </w:rPr>
      </w:pPr>
      <w:r>
        <w:rPr>
          <w:sz w:val="22"/>
        </w:rPr>
      </w:r>
    </w:p>
    <w:p>
      <w:pPr>
        <w:pStyle w:val="Normal"/>
        <w:bidi w:val="0"/>
        <w:ind w:hanging="0" w:start="0" w:end="0"/>
        <w:jc w:val="both"/>
        <w:rPr>
          <w:sz w:val="22"/>
        </w:rPr>
      </w:pPr>
      <w:r>
        <w:rPr>
          <w:sz w:val="22"/>
        </w:rPr>
        <w:tab/>
        <w:t>(e)</w:t>
        <w:tab/>
      </w:r>
      <w:r>
        <w:rPr>
          <w:sz w:val="22"/>
          <w:u w:val="single"/>
        </w:rPr>
        <w:t>Termination for Insolvency</w:t>
      </w:r>
      <w:r>
        <w:rPr>
          <w:sz w:val="22"/>
        </w:rPr>
        <w:t>.   Either party shall have the right to terminate this Agreement in writing immediately if the other party (i) voluntarily or involuntarily becomes the subject of a petition in bankruptcy or of any proceeding relating to insolvency, receivership, liquidation, or composition for the benefit of creditors; or (ii) admits in writing its inability to pay its debts as they become due.</w:t>
      </w:r>
    </w:p>
    <w:p>
      <w:pPr>
        <w:pStyle w:val="Normal"/>
        <w:bidi w:val="0"/>
        <w:ind w:hanging="0" w:start="0" w:end="0"/>
        <w:jc w:val="both"/>
        <w:rPr>
          <w:sz w:val="22"/>
        </w:rPr>
      </w:pPr>
      <w:r>
        <w:rPr>
          <w:sz w:val="22"/>
        </w:rPr>
      </w:r>
    </w:p>
    <w:p>
      <w:pPr>
        <w:pStyle w:val="Normal"/>
        <w:bidi w:val="0"/>
        <w:ind w:hanging="0" w:start="0" w:end="0"/>
        <w:jc w:val="both"/>
        <w:rPr>
          <w:b/>
          <w:sz w:val="22"/>
          <w:u w:val="double"/>
        </w:rPr>
      </w:pPr>
      <w:r>
        <w:rPr>
          <w:sz w:val="22"/>
        </w:rPr>
        <w:tab/>
        <w:t>(f)</w:t>
        <w:tab/>
      </w:r>
      <w:r>
        <w:rPr>
          <w:b/>
          <w:sz w:val="22"/>
          <w:u w:val="double"/>
        </w:rPr>
        <w:t>Effect of Termination.  Upon termination or expiration of this Agreement for any reason, all licenses granted to Envera shall automatically terminate, and Envera shall immediately cease all use of DealBench Marks and shall remove the Link from the Envera Home Page to the DealBench Login Page.</w:t>
      </w:r>
    </w:p>
    <w:p>
      <w:pPr>
        <w:pStyle w:val="Normal"/>
        <w:bidi w:val="0"/>
        <w:ind w:hanging="0" w:start="0" w:end="0"/>
        <w:jc w:val="both"/>
        <w:rPr>
          <w:b/>
          <w:sz w:val="22"/>
          <w:u w:val="double"/>
        </w:rPr>
      </w:pPr>
      <w:r>
        <w:rPr>
          <w:b/>
          <w:sz w:val="22"/>
          <w:u w:val="double"/>
        </w:rPr>
      </w:r>
    </w:p>
    <w:p>
      <w:pPr>
        <w:pStyle w:val="Normal"/>
        <w:bidi w:val="0"/>
        <w:ind w:hanging="0" w:start="0" w:end="0"/>
        <w:jc w:val="both"/>
        <w:rPr>
          <w:sz w:val="22"/>
        </w:rPr>
      </w:pPr>
      <w:r>
        <w:rPr>
          <w:sz w:val="22"/>
        </w:rPr>
        <w:tab/>
      </w:r>
      <w:r>
        <w:rPr>
          <w:b/>
          <w:sz w:val="22"/>
          <w:u w:val="double"/>
        </w:rPr>
        <w:t>(g)</w:t>
      </w:r>
      <w:r>
        <w:rPr>
          <w:sz w:val="22"/>
        </w:rPr>
        <w:tab/>
      </w:r>
      <w:r>
        <w:rPr>
          <w:sz w:val="22"/>
          <w:u w:val="single"/>
        </w:rPr>
        <w:t>Survival</w:t>
      </w:r>
      <w:r>
        <w:rPr>
          <w:sz w:val="22"/>
        </w:rPr>
        <w:t xml:space="preserve">.  The rights and obligations under </w:t>
      </w:r>
      <w:r>
        <w:rPr>
          <w:sz w:val="22"/>
          <w:u w:val="single"/>
        </w:rPr>
        <w:t xml:space="preserve">Sections </w:t>
      </w:r>
      <w:r>
        <w:rPr>
          <w:strike/>
          <w:sz w:val="22"/>
          <w:u w:val="single"/>
        </w:rPr>
        <w:t>4(c), 4(d), 5, 6</w:t>
      </w:r>
      <w:r>
        <w:rPr>
          <w:sz w:val="22"/>
          <w:u w:val="single"/>
        </w:rPr>
        <w:t xml:space="preserve"> </w:t>
      </w:r>
      <w:r>
        <w:rPr>
          <w:b/>
          <w:sz w:val="22"/>
          <w:u w:val="double"/>
        </w:rPr>
        <w:t>3(c),  3(e), 3(f), 3(g), 4 (to the extent accrued prior to termination), 5,</w:t>
      </w:r>
      <w:r>
        <w:rPr>
          <w:sz w:val="22"/>
        </w:rPr>
        <w:t xml:space="preserve"> </w:t>
      </w:r>
      <w:r>
        <w:rPr>
          <w:b/>
          <w:sz w:val="22"/>
          <w:u w:val="double"/>
        </w:rPr>
        <w:t>6(f)</w:t>
      </w:r>
      <w:r>
        <w:rPr>
          <w:sz w:val="22"/>
        </w:rPr>
        <w:t xml:space="preserve"> and 7 shall survive after the expiration or </w:t>
      </w:r>
      <w:r>
        <w:rPr>
          <w:strike/>
          <w:sz w:val="22"/>
        </w:rPr>
        <w:t>earlier</w:t>
      </w:r>
      <w:r>
        <w:rPr>
          <w:sz w:val="22"/>
        </w:rPr>
        <w:t xml:space="preserve"> termination of this Agreement.</w:t>
      </w:r>
    </w:p>
    <w:p>
      <w:pPr>
        <w:pStyle w:val="Normal"/>
        <w:bidi w:val="0"/>
        <w:ind w:hanging="0" w:start="0" w:end="0"/>
        <w:jc w:val="both"/>
        <w:rPr>
          <w:sz w:val="22"/>
        </w:rPr>
      </w:pPr>
      <w:r>
        <w:rPr>
          <w:sz w:val="22"/>
        </w:rPr>
      </w:r>
    </w:p>
    <w:p>
      <w:pPr>
        <w:pStyle w:val="Normal"/>
        <w:bidi w:val="0"/>
        <w:ind w:hanging="0" w:start="0" w:end="0"/>
        <w:jc w:val="both"/>
        <w:rPr>
          <w:sz w:val="22"/>
        </w:rPr>
      </w:pPr>
      <w:r>
        <w:rPr>
          <w:strike/>
          <w:sz w:val="22"/>
        </w:rPr>
        <w:t>8</w:t>
      </w:r>
    </w:p>
    <w:p>
      <w:pPr>
        <w:pStyle w:val="Normal"/>
        <w:numPr>
          <w:ilvl w:val="0"/>
          <w:numId w:val="0"/>
        </w:numPr>
        <w:bidi w:val="0"/>
        <w:ind w:hanging="0" w:start="0" w:end="0"/>
        <w:jc w:val="both"/>
        <w:outlineLvl w:val="0"/>
        <w:rPr>
          <w:b/>
          <w:sz w:val="22"/>
        </w:rPr>
      </w:pPr>
      <w:r>
        <w:rPr>
          <w:b/>
          <w:sz w:val="22"/>
          <w:u w:val="double"/>
        </w:rPr>
        <w:t>7</w:t>
      </w:r>
      <w:r>
        <w:rPr>
          <w:b/>
          <w:sz w:val="22"/>
        </w:rPr>
        <w:t>.</w:t>
        <w:tab/>
        <w:t>General.</w:t>
      </w:r>
    </w:p>
    <w:p>
      <w:pPr>
        <w:pStyle w:val="Normal"/>
        <w:bidi w:val="0"/>
        <w:ind w:hanging="0" w:start="0" w:end="0"/>
        <w:jc w:val="both"/>
        <w:rPr>
          <w:sz w:val="22"/>
        </w:rPr>
      </w:pPr>
      <w:r>
        <w:rPr>
          <w:sz w:val="22"/>
        </w:rPr>
      </w:r>
    </w:p>
    <w:p>
      <w:pPr>
        <w:pStyle w:val="Normal"/>
        <w:bidi w:val="0"/>
        <w:ind w:hanging="0" w:start="0" w:end="0"/>
        <w:jc w:val="both"/>
        <w:rPr>
          <w:sz w:val="22"/>
        </w:rPr>
      </w:pPr>
      <w:r>
        <w:rPr>
          <w:sz w:val="22"/>
        </w:rPr>
        <w:tab/>
        <w:t>(a)</w:t>
        <w:tab/>
      </w:r>
      <w:r>
        <w:rPr>
          <w:sz w:val="22"/>
          <w:u w:val="single"/>
        </w:rPr>
        <w:t>Assignment</w:t>
      </w:r>
      <w:r>
        <w:rPr>
          <w:sz w:val="22"/>
        </w:rPr>
        <w:t>.  Neither party may sell, assign, transfer or otherwise convey any of its rights or delegate any of its duties under this Agreement without the prior written consent of the other party, except that a party's rights hereunder may be transferred to a successor of all or substantially all of the business and assets of the party (no matter how the transaction or series of related transactions is structured).</w:t>
      </w:r>
    </w:p>
    <w:p>
      <w:pPr>
        <w:pStyle w:val="Normal"/>
        <w:bidi w:val="0"/>
        <w:ind w:hanging="0" w:start="0" w:end="0"/>
        <w:jc w:val="both"/>
        <w:rPr>
          <w:sz w:val="22"/>
        </w:rPr>
      </w:pPr>
      <w:r>
        <w:rPr>
          <w:sz w:val="22"/>
        </w:rPr>
      </w:r>
    </w:p>
    <w:p>
      <w:pPr>
        <w:pStyle w:val="Normal"/>
        <w:bidi w:val="0"/>
        <w:ind w:hanging="0" w:start="0" w:end="0"/>
        <w:jc w:val="both"/>
        <w:rPr>
          <w:sz w:val="22"/>
        </w:rPr>
      </w:pPr>
      <w:r>
        <w:rPr>
          <w:sz w:val="22"/>
        </w:rPr>
        <w:tab/>
        <w:t>(b)</w:t>
        <w:tab/>
      </w:r>
      <w:r>
        <w:rPr>
          <w:sz w:val="22"/>
          <w:u w:val="single"/>
        </w:rPr>
        <w:t>Entire Agreement</w:t>
      </w:r>
      <w:r>
        <w:rPr>
          <w:b/>
          <w:sz w:val="22"/>
          <w:u w:val="double"/>
        </w:rPr>
        <w:t>; Amendments</w:t>
      </w:r>
      <w:r>
        <w:rPr>
          <w:sz w:val="22"/>
        </w:rPr>
        <w:t xml:space="preserve">.  This Agreement constitutes the entire understanding and agreement between the parties </w:t>
      </w:r>
      <w:r>
        <w:rPr>
          <w:strike/>
          <w:sz w:val="22"/>
        </w:rPr>
        <w:t>,</w:t>
      </w:r>
      <w:r>
        <w:rPr>
          <w:sz w:val="22"/>
        </w:rPr>
        <w:t xml:space="preserve"> </w:t>
      </w:r>
      <w:r>
        <w:rPr>
          <w:b/>
          <w:sz w:val="22"/>
          <w:u w:val="double"/>
        </w:rPr>
        <w:t>relating to the subject matter of this Agreement</w:t>
      </w:r>
      <w:r>
        <w:rPr>
          <w:sz w:val="22"/>
        </w:rPr>
        <w:t xml:space="preserve"> and supersedes all previous </w:t>
      </w:r>
      <w:r>
        <w:rPr>
          <w:b/>
          <w:sz w:val="22"/>
          <w:u w:val="double"/>
        </w:rPr>
        <w:t>representations,</w:t>
      </w:r>
      <w:r>
        <w:rPr>
          <w:sz w:val="22"/>
        </w:rPr>
        <w:t xml:space="preserve"> agreements</w:t>
      </w:r>
      <w:r>
        <w:rPr>
          <w:b/>
          <w:sz w:val="22"/>
          <w:u w:val="double"/>
        </w:rPr>
        <w:t>, and understandings</w:t>
      </w:r>
      <w:r>
        <w:rPr>
          <w:sz w:val="22"/>
        </w:rPr>
        <w:t xml:space="preserve"> (whether written or oral) concerning the subject matter hereof.  This Agreement may not be amended or supplemented except by a written document executed by the parties to this Agreement.</w:t>
      </w:r>
    </w:p>
    <w:p>
      <w:pPr>
        <w:pStyle w:val="Normal"/>
        <w:bidi w:val="0"/>
        <w:ind w:hanging="0" w:start="0" w:end="0"/>
        <w:jc w:val="both"/>
        <w:rPr>
          <w:sz w:val="22"/>
        </w:rPr>
      </w:pPr>
      <w:r>
        <w:rPr>
          <w:sz w:val="22"/>
        </w:rPr>
      </w:r>
    </w:p>
    <w:p>
      <w:pPr>
        <w:pStyle w:val="Normal"/>
        <w:bidi w:val="0"/>
        <w:ind w:hanging="0" w:start="0" w:end="0"/>
        <w:jc w:val="both"/>
        <w:rPr>
          <w:sz w:val="22"/>
        </w:rPr>
      </w:pPr>
      <w:r>
        <w:rPr>
          <w:sz w:val="22"/>
        </w:rPr>
        <w:tab/>
        <w:t>(c)</w:t>
        <w:tab/>
      </w:r>
      <w:r>
        <w:rPr>
          <w:sz w:val="22"/>
          <w:u w:val="single"/>
        </w:rPr>
        <w:t>Governing Law</w:t>
      </w:r>
      <w:r>
        <w:rPr>
          <w:sz w:val="22"/>
        </w:rPr>
        <w:t xml:space="preserve">.  This Agreement shall be construed and enforced in accordance with the laws of the </w:t>
      </w:r>
      <w:r>
        <w:rPr>
          <w:strike/>
          <w:sz w:val="22"/>
        </w:rPr>
        <w:t>Commonwealth of Virginia</w:t>
      </w:r>
      <w:r>
        <w:rPr>
          <w:sz w:val="22"/>
        </w:rPr>
        <w:t xml:space="preserve"> </w:t>
      </w:r>
      <w:r>
        <w:rPr>
          <w:b/>
          <w:sz w:val="22"/>
          <w:u w:val="double"/>
        </w:rPr>
        <w:t>State of Texas</w:t>
      </w:r>
      <w:r>
        <w:rPr>
          <w:sz w:val="22"/>
        </w:rPr>
        <w:t>, but without giving effect to its laws or rules relating to conflicts of laws.</w:t>
      </w:r>
    </w:p>
    <w:p>
      <w:pPr>
        <w:pStyle w:val="Normal"/>
        <w:bidi w:val="0"/>
        <w:ind w:hanging="0" w:start="0" w:end="0"/>
        <w:jc w:val="both"/>
        <w:rPr>
          <w:sz w:val="22"/>
        </w:rPr>
      </w:pPr>
      <w:r>
        <w:rPr>
          <w:sz w:val="22"/>
        </w:rPr>
      </w:r>
    </w:p>
    <w:p>
      <w:pPr>
        <w:pStyle w:val="Normal"/>
        <w:bidi w:val="0"/>
        <w:ind w:hanging="0" w:start="0" w:end="0"/>
        <w:jc w:val="both"/>
        <w:rPr>
          <w:sz w:val="22"/>
        </w:rPr>
      </w:pPr>
      <w:r>
        <w:rPr>
          <w:sz w:val="22"/>
        </w:rPr>
        <w:tab/>
      </w:r>
      <w:r>
        <w:rPr>
          <w:b/>
          <w:sz w:val="22"/>
          <w:u w:val="double"/>
        </w:rPr>
        <w:t>(d)</w:t>
      </w:r>
      <w:r>
        <w:rPr>
          <w:sz w:val="22"/>
        </w:rPr>
        <w:tab/>
      </w:r>
      <w:r>
        <w:rPr>
          <w:b/>
          <w:sz w:val="22"/>
          <w:u w:val="double"/>
        </w:rPr>
        <w:t>Equitable Relief.</w:t>
      </w:r>
      <w:r>
        <w:rPr>
          <w:sz w:val="22"/>
        </w:rPr>
        <w:t xml:space="preserve">  </w:t>
      </w:r>
      <w:r>
        <w:rPr>
          <w:b/>
          <w:sz w:val="22"/>
          <w:u w:val="double"/>
        </w:rPr>
        <w:t>Envera acknowledges that any actual or threatened breach of Sections 2(a), 2(b) or 3</w:t>
      </w:r>
      <w:r>
        <w:rPr>
          <w:sz w:val="22"/>
        </w:rPr>
        <w:t xml:space="preserve"> </w:t>
      </w:r>
      <w:r>
        <w:rPr>
          <w:b/>
          <w:sz w:val="22"/>
          <w:u w:val="double"/>
        </w:rPr>
        <w:t>will constitute immediate, irreparable harm to DealBench for which monetary damages would be an inadequate remedy, and that injunctive relief is an appropriate remedy for such breach without necessity of posting bond or security, which necessity is hereby expressly waived by Envera.</w:t>
      </w:r>
    </w:p>
    <w:p>
      <w:pPr>
        <w:pStyle w:val="Normal"/>
        <w:bidi w:val="0"/>
        <w:ind w:hanging="0" w:start="0" w:end="0"/>
        <w:jc w:val="both"/>
        <w:rPr>
          <w:sz w:val="22"/>
        </w:rPr>
      </w:pPr>
      <w:r>
        <w:rPr>
          <w:sz w:val="22"/>
        </w:rPr>
      </w:r>
    </w:p>
    <w:p>
      <w:pPr>
        <w:pStyle w:val="Normal"/>
        <w:bidi w:val="0"/>
        <w:ind w:hanging="0" w:start="0" w:end="0"/>
        <w:jc w:val="both"/>
        <w:rPr>
          <w:sz w:val="22"/>
        </w:rPr>
      </w:pPr>
      <w:r>
        <w:rPr>
          <w:sz w:val="22"/>
        </w:rPr>
        <w:tab/>
        <w:t>(d)</w:t>
        <w:tab/>
      </w:r>
      <w:r>
        <w:rPr>
          <w:sz w:val="22"/>
          <w:u w:val="single"/>
        </w:rPr>
        <w:t>Notice</w:t>
      </w:r>
      <w:r>
        <w:rPr>
          <w:sz w:val="22"/>
        </w:rPr>
        <w:t>.  All notices, statements, and reports required or permitted by this Agreement shall be in writing and deemed to have been effectively given and received: (i) five (5) business days after the date of mailing if sent by registered or certified U.S.  mail, postage prepaid, with return receipt requested; (ii) when transmitted if sent by facsimile, provided a confirmation of transmission is produced by the sending machine and a copy of such facsimile is promptly sent by another means specified in this section; or (iii) when delivered if delivered personally or sent by express courier service.  Notices shall be addressed as follows:</w:t>
      </w:r>
    </w:p>
    <w:p>
      <w:pPr>
        <w:pStyle w:val="Normal"/>
        <w:bidi w:val="0"/>
        <w:ind w:hanging="0" w:start="0" w:end="0"/>
        <w:jc w:val="start"/>
        <w:rPr>
          <w:sz w:val="22"/>
        </w:rPr>
      </w:pPr>
      <w:r>
        <w:rPr>
          <w:sz w:val="22"/>
        </w:rPr>
      </w:r>
    </w:p>
    <w:tbl>
      <w:tblPr>
        <w:tblW w:w="9108" w:type="dxa"/>
        <w:jc w:val="start"/>
        <w:tblInd w:w="468" w:type="dxa"/>
        <w:tblLayout w:type="fixed"/>
        <w:tblCellMar>
          <w:top w:w="0" w:type="dxa"/>
          <w:start w:w="108" w:type="dxa"/>
          <w:bottom w:w="0" w:type="dxa"/>
          <w:end w:w="108" w:type="dxa"/>
        </w:tblCellMar>
      </w:tblPr>
      <w:tblGrid>
        <w:gridCol w:w="4554"/>
        <w:gridCol w:w="4553"/>
      </w:tblGrid>
      <w:tr>
        <w:trPr/>
        <w:tc>
          <w:tcPr>
            <w:tcW w:w="4554" w:type="dxa"/>
            <w:tcBorders/>
          </w:tcPr>
          <w:p>
            <w:pPr>
              <w:pStyle w:val="Normal"/>
              <w:tabs>
                <w:tab w:val="clear" w:pos="720"/>
              </w:tabs>
              <w:bidi w:val="0"/>
              <w:ind w:hanging="0" w:start="0" w:end="0"/>
              <w:jc w:val="start"/>
              <w:rPr>
                <w:sz w:val="22"/>
              </w:rPr>
            </w:pPr>
            <w:r>
              <w:rPr>
                <w:sz w:val="22"/>
              </w:rPr>
              <w:t xml:space="preserve">For </w:t>
            </w:r>
            <w:r>
              <w:rPr>
                <w:strike/>
                <w:sz w:val="22"/>
              </w:rPr>
              <w:t>EOL</w:t>
            </w:r>
            <w:r>
              <w:rPr>
                <w:sz w:val="22"/>
              </w:rPr>
              <w:t xml:space="preserve"> </w:t>
            </w:r>
            <w:r>
              <w:rPr>
                <w:b/>
                <w:sz w:val="22"/>
                <w:u w:val="double"/>
              </w:rPr>
              <w:t>DealBench</w:t>
            </w:r>
            <w:r>
              <w:rPr>
                <w:sz w:val="22"/>
              </w:rPr>
              <w:t>:</w:t>
            </w:r>
          </w:p>
          <w:p>
            <w:pPr>
              <w:pStyle w:val="Normal"/>
              <w:tabs>
                <w:tab w:val="clear" w:pos="720"/>
              </w:tabs>
              <w:bidi w:val="0"/>
              <w:ind w:hanging="0" w:start="0" w:end="0"/>
              <w:jc w:val="start"/>
              <w:rPr>
                <w:sz w:val="22"/>
              </w:rPr>
            </w:pPr>
            <w:r>
              <w:rPr>
                <w:sz w:val="22"/>
              </w:rPr>
            </w:r>
          </w:p>
        </w:tc>
        <w:tc>
          <w:tcPr>
            <w:tcW w:w="4553" w:type="dxa"/>
            <w:tcBorders/>
          </w:tcPr>
          <w:p>
            <w:pPr>
              <w:pStyle w:val="Normal"/>
              <w:tabs>
                <w:tab w:val="clear" w:pos="720"/>
              </w:tabs>
              <w:bidi w:val="0"/>
              <w:ind w:hanging="0" w:start="0" w:end="0"/>
              <w:jc w:val="start"/>
              <w:rPr/>
            </w:pPr>
            <w:r>
              <w:rPr>
                <w:sz w:val="22"/>
              </w:rPr>
              <w:t>For Envera:</w:t>
            </w:r>
          </w:p>
        </w:tc>
      </w:tr>
      <w:tr>
        <w:trPr/>
        <w:tc>
          <w:tcPr>
            <w:tcW w:w="4554" w:type="dxa"/>
            <w:tcBorders/>
          </w:tcPr>
          <w:p>
            <w:pPr>
              <w:pStyle w:val="Normal"/>
              <w:tabs>
                <w:tab w:val="clear" w:pos="720"/>
              </w:tabs>
              <w:bidi w:val="0"/>
              <w:ind w:hanging="0" w:start="0" w:end="0"/>
              <w:jc w:val="start"/>
              <w:rPr>
                <w:b/>
                <w:sz w:val="22"/>
                <w:u w:val="double"/>
              </w:rPr>
            </w:pPr>
            <w:r>
              <w:rPr>
                <w:b/>
                <w:sz w:val="22"/>
                <w:u w:val="double"/>
              </w:rPr>
              <w:t xml:space="preserve">1400 Smith Street </w:t>
            </w:r>
          </w:p>
          <w:p>
            <w:pPr>
              <w:pStyle w:val="Normal"/>
              <w:tabs>
                <w:tab w:val="clear" w:pos="720"/>
              </w:tabs>
              <w:bidi w:val="0"/>
              <w:ind w:hanging="0" w:start="0" w:end="0"/>
              <w:jc w:val="start"/>
              <w:rPr/>
            </w:pPr>
            <w:r>
              <w:rPr>
                <w:b/>
                <w:sz w:val="22"/>
                <w:u w:val="double"/>
              </w:rPr>
              <w:t>Houston, TX 77002</w:t>
            </w:r>
          </w:p>
        </w:tc>
        <w:tc>
          <w:tcPr>
            <w:tcW w:w="4553" w:type="dxa"/>
            <w:tcBorders/>
          </w:tcPr>
          <w:p>
            <w:pPr>
              <w:pStyle w:val="Normal"/>
              <w:tabs>
                <w:tab w:val="clear" w:pos="720"/>
              </w:tabs>
              <w:bidi w:val="0"/>
              <w:ind w:hanging="0" w:start="0" w:end="0"/>
              <w:jc w:val="start"/>
              <w:rPr>
                <w:sz w:val="22"/>
              </w:rPr>
            </w:pPr>
            <w:r>
              <w:rPr>
                <w:sz w:val="22"/>
              </w:rPr>
              <w:t>200 South 3rd Street</w:t>
            </w:r>
          </w:p>
          <w:p>
            <w:pPr>
              <w:pStyle w:val="Normal"/>
              <w:tabs>
                <w:tab w:val="clear" w:pos="720"/>
              </w:tabs>
              <w:bidi w:val="0"/>
              <w:ind w:hanging="0" w:start="0" w:end="0"/>
              <w:jc w:val="start"/>
              <w:rPr/>
            </w:pPr>
            <w:r>
              <w:rPr>
                <w:sz w:val="22"/>
              </w:rPr>
              <w:t>Richmond, VA  23219</w:t>
            </w:r>
          </w:p>
        </w:tc>
      </w:tr>
      <w:tr>
        <w:trPr/>
        <w:tc>
          <w:tcPr>
            <w:tcW w:w="4554" w:type="dxa"/>
            <w:tcBorders/>
          </w:tcPr>
          <w:p>
            <w:pPr>
              <w:pStyle w:val="Normal"/>
              <w:bidi w:val="0"/>
              <w:ind w:hanging="0" w:start="0" w:end="0"/>
              <w:jc w:val="start"/>
              <w:rPr/>
            </w:pPr>
            <w:r>
              <w:rPr>
                <w:b/>
                <w:sz w:val="22"/>
                <w:u w:val="double"/>
              </w:rPr>
              <w:t>Fax No:  713/646-8576</w:t>
            </w:r>
          </w:p>
        </w:tc>
        <w:tc>
          <w:tcPr>
            <w:tcW w:w="4553" w:type="dxa"/>
            <w:tcBorders/>
          </w:tcPr>
          <w:p>
            <w:pPr>
              <w:pStyle w:val="Normal"/>
              <w:bidi w:val="0"/>
              <w:ind w:hanging="0" w:start="0" w:end="0"/>
              <w:jc w:val="start"/>
              <w:rPr/>
            </w:pPr>
            <w:r>
              <w:rPr>
                <w:sz w:val="22"/>
              </w:rPr>
              <w:t>Fax:</w:t>
            </w:r>
          </w:p>
        </w:tc>
      </w:tr>
      <w:tr>
        <w:trPr/>
        <w:tc>
          <w:tcPr>
            <w:tcW w:w="4554" w:type="dxa"/>
            <w:tcBorders/>
          </w:tcPr>
          <w:p>
            <w:pPr>
              <w:pStyle w:val="Normal"/>
              <w:tabs>
                <w:tab w:val="clear" w:pos="720"/>
              </w:tabs>
              <w:bidi w:val="0"/>
              <w:ind w:hanging="0" w:start="0" w:end="0"/>
              <w:jc w:val="start"/>
              <w:rPr/>
            </w:pPr>
            <w:r>
              <w:rPr>
                <w:sz w:val="22"/>
              </w:rPr>
              <w:t xml:space="preserve">Attn: </w:t>
            </w:r>
          </w:p>
        </w:tc>
        <w:tc>
          <w:tcPr>
            <w:tcW w:w="4553" w:type="dxa"/>
            <w:tcBorders/>
          </w:tcPr>
          <w:p>
            <w:pPr>
              <w:pStyle w:val="Normal"/>
              <w:tabs>
                <w:tab w:val="clear" w:pos="720"/>
              </w:tabs>
              <w:bidi w:val="0"/>
              <w:ind w:hanging="0" w:start="0" w:end="0"/>
              <w:jc w:val="start"/>
              <w:rPr/>
            </w:pPr>
            <w:r>
              <w:rPr>
                <w:sz w:val="22"/>
              </w:rPr>
              <w:t xml:space="preserve">Attn: </w:t>
            </w:r>
          </w:p>
        </w:tc>
      </w:tr>
    </w:tbl>
    <w:p>
      <w:pPr>
        <w:pStyle w:val="Normal"/>
        <w:bidi w:val="0"/>
        <w:ind w:hanging="0" w:start="0" w:end="0"/>
        <w:jc w:val="start"/>
        <w:rPr>
          <w:sz w:val="22"/>
        </w:rPr>
      </w:pPr>
      <w:r>
        <w:rPr>
          <w:sz w:val="22"/>
        </w:rPr>
      </w:r>
    </w:p>
    <w:p>
      <w:pPr>
        <w:pStyle w:val="Normal"/>
        <w:bidi w:val="0"/>
        <w:ind w:hanging="0" w:start="0" w:end="0"/>
        <w:jc w:val="both"/>
        <w:rPr>
          <w:sz w:val="22"/>
        </w:rPr>
      </w:pPr>
      <w:r>
        <w:rPr>
          <w:sz w:val="22"/>
        </w:rPr>
        <w:t>Either party may change its address for the purpose of this paragraph by notice given pursuant to this paragraph.</w:t>
      </w:r>
    </w:p>
    <w:p>
      <w:pPr>
        <w:pStyle w:val="Normal"/>
        <w:bidi w:val="0"/>
        <w:ind w:hanging="0" w:start="0" w:end="0"/>
        <w:jc w:val="both"/>
        <w:rPr>
          <w:sz w:val="22"/>
        </w:rPr>
      </w:pPr>
      <w:r>
        <w:rPr>
          <w:sz w:val="22"/>
        </w:rPr>
      </w:r>
    </w:p>
    <w:p>
      <w:pPr>
        <w:pStyle w:val="Normal"/>
        <w:bidi w:val="0"/>
        <w:ind w:hanging="0" w:start="0" w:end="0"/>
        <w:jc w:val="both"/>
        <w:rPr>
          <w:sz w:val="22"/>
        </w:rPr>
      </w:pPr>
      <w:r>
        <w:rPr>
          <w:sz w:val="22"/>
        </w:rPr>
        <w:tab/>
        <w:t>(e)</w:t>
        <w:tab/>
      </w:r>
      <w:r>
        <w:rPr>
          <w:sz w:val="22"/>
          <w:u w:val="single"/>
        </w:rPr>
        <w:t>Force Majeure</w:t>
      </w:r>
      <w:r>
        <w:rPr>
          <w:sz w:val="22"/>
        </w:rPr>
        <w:t>.  Neither party hereto shall be in default hereunder by reason of its delay in the performance or failure to perform any of its obligations hereunder for any event, circumstance, or cause beyond its control such as, but not limited to, acts of God, strikes, lock-outs, general governmental orders or restrictions, war, threat of war, hostilities, revolution, riots, epidemics, power shortages, fire, earthquake, or flood.  The party affected by any such event shall notify the other party within a maximum period of ten (10) days from its occurrence.  The performance of this Agreement shall then be suspended for as long as any such event shall prevent the affected party from performing its obligations under this Agreement.</w:t>
      </w:r>
    </w:p>
    <w:p>
      <w:pPr>
        <w:pStyle w:val="Normal"/>
        <w:bidi w:val="0"/>
        <w:ind w:hanging="0" w:start="0" w:end="0"/>
        <w:jc w:val="both"/>
        <w:rPr>
          <w:sz w:val="22"/>
        </w:rPr>
      </w:pPr>
      <w:r>
        <w:rPr>
          <w:sz w:val="22"/>
        </w:rPr>
      </w:r>
    </w:p>
    <w:p>
      <w:pPr>
        <w:pStyle w:val="Normal"/>
        <w:bidi w:val="0"/>
        <w:ind w:hanging="0" w:start="0" w:end="0"/>
        <w:jc w:val="both"/>
        <w:rPr>
          <w:sz w:val="22"/>
        </w:rPr>
      </w:pPr>
      <w:r>
        <w:rPr>
          <w:sz w:val="22"/>
        </w:rPr>
        <w:tab/>
        <w:t>(f)</w:t>
        <w:tab/>
      </w:r>
      <w:r>
        <w:rPr>
          <w:sz w:val="22"/>
          <w:u w:val="single"/>
        </w:rPr>
        <w:t>Severability</w:t>
      </w:r>
      <w:r>
        <w:rPr>
          <w:sz w:val="22"/>
        </w:rPr>
        <w:t>.  The provisions of this Agreement are severable, and in the event any provision hereof is determined to be invalid or unenforceable, such invalidity or unenforceability shall not in any way affect the validity or enforceability of the remaining provisions hereof.</w:t>
      </w:r>
    </w:p>
    <w:p>
      <w:pPr>
        <w:pStyle w:val="Normal"/>
        <w:bidi w:val="0"/>
        <w:ind w:hanging="0" w:start="0" w:end="0"/>
        <w:jc w:val="both"/>
        <w:rPr>
          <w:sz w:val="22"/>
        </w:rPr>
      </w:pPr>
      <w:r>
        <w:rPr>
          <w:sz w:val="22"/>
        </w:rPr>
      </w:r>
    </w:p>
    <w:p>
      <w:pPr>
        <w:pStyle w:val="Normal"/>
        <w:bidi w:val="0"/>
        <w:ind w:hanging="0" w:start="0" w:end="0"/>
        <w:jc w:val="both"/>
        <w:rPr>
          <w:sz w:val="22"/>
        </w:rPr>
      </w:pPr>
      <w:r>
        <w:rPr>
          <w:sz w:val="22"/>
        </w:rPr>
        <w:tab/>
        <w:t>(g)</w:t>
        <w:tab/>
      </w:r>
      <w:r>
        <w:rPr>
          <w:sz w:val="22"/>
          <w:u w:val="single"/>
        </w:rPr>
        <w:t>Headings</w:t>
      </w:r>
      <w:r>
        <w:rPr>
          <w:sz w:val="22"/>
        </w:rPr>
        <w:t>.  The headings of the sections and several paragraphs of this Agreement are inserted for convenience of reference only and are not intended to be part of or to affect the meaning or interpretation of this Agreement.</w:t>
      </w:r>
    </w:p>
    <w:p>
      <w:pPr>
        <w:pStyle w:val="Normal"/>
        <w:bidi w:val="0"/>
        <w:ind w:hanging="0" w:start="0" w:end="0"/>
        <w:jc w:val="both"/>
        <w:rPr>
          <w:sz w:val="22"/>
        </w:rPr>
      </w:pPr>
      <w:r>
        <w:rPr>
          <w:sz w:val="22"/>
        </w:rPr>
      </w:r>
    </w:p>
    <w:p>
      <w:pPr>
        <w:pStyle w:val="Normal"/>
        <w:bidi w:val="0"/>
        <w:ind w:hanging="0" w:start="0" w:end="0"/>
        <w:jc w:val="both"/>
        <w:rPr>
          <w:sz w:val="22"/>
        </w:rPr>
      </w:pPr>
      <w:r>
        <w:rPr>
          <w:sz w:val="22"/>
        </w:rPr>
        <w:tab/>
        <w:t>(h)</w:t>
        <w:tab/>
      </w:r>
      <w:r>
        <w:rPr>
          <w:sz w:val="22"/>
          <w:u w:val="single"/>
        </w:rPr>
        <w:t>Waiver</w:t>
      </w:r>
      <w:r>
        <w:rPr>
          <w:sz w:val="22"/>
        </w:rPr>
        <w:t xml:space="preserve">.  The waiver of a default hereunder by one party may be effected only by a written acknowledgment signed by the other party and shall not constitute a waiver of any other default.  The failure of either party to enforce any right or remedy for any one default shall </w:t>
      </w:r>
      <w:r>
        <w:rPr>
          <w:b/>
          <w:sz w:val="22"/>
          <w:u w:val="double"/>
        </w:rPr>
        <w:t>not</w:t>
      </w:r>
      <w:r>
        <w:rPr>
          <w:sz w:val="22"/>
        </w:rPr>
        <w:t xml:space="preserve"> be deemed a waiver of said right or remedy </w:t>
      </w:r>
      <w:r>
        <w:rPr>
          <w:b/>
          <w:sz w:val="22"/>
          <w:u w:val="double"/>
        </w:rPr>
        <w:t>even</w:t>
      </w:r>
      <w:r>
        <w:rPr>
          <w:sz w:val="22"/>
        </w:rPr>
        <w:t xml:space="preserve"> if the party persists in such default or commits any other default, nor shall such failure in any way affect the validity of this Agreement or any part hereof.</w:t>
      </w:r>
    </w:p>
    <w:p>
      <w:pPr>
        <w:pStyle w:val="Normal"/>
        <w:bidi w:val="0"/>
        <w:ind w:hanging="0" w:start="0" w:end="0"/>
        <w:jc w:val="both"/>
        <w:rPr>
          <w:sz w:val="22"/>
        </w:rPr>
      </w:pPr>
      <w:r>
        <w:rPr>
          <w:sz w:val="22"/>
        </w:rPr>
      </w:r>
    </w:p>
    <w:p>
      <w:pPr>
        <w:pStyle w:val="Normal"/>
        <w:bidi w:val="0"/>
        <w:ind w:hanging="0" w:start="0" w:end="0"/>
        <w:jc w:val="both"/>
        <w:rPr>
          <w:sz w:val="22"/>
        </w:rPr>
      </w:pPr>
      <w:r>
        <w:rPr>
          <w:sz w:val="22"/>
        </w:rPr>
        <w:tab/>
        <w:t>(i)</w:t>
        <w:tab/>
      </w:r>
      <w:r>
        <w:rPr>
          <w:sz w:val="22"/>
          <w:u w:val="single"/>
        </w:rPr>
        <w:t>Independent Parties</w:t>
      </w:r>
      <w:r>
        <w:rPr>
          <w:sz w:val="22"/>
        </w:rPr>
        <w:t>.  Nothing in this Agreement shall be deemed to constitute, create, give effect to or otherwise recognize a partnership, joint venture or formal business entity of any kind or create a fiduciary or similar relationship among the parties; and the rights and obligations of the parties shall be limited to those expressly set forth herein.</w:t>
      </w:r>
    </w:p>
    <w:p>
      <w:pPr>
        <w:pStyle w:val="Normal"/>
        <w:bidi w:val="0"/>
        <w:ind w:hanging="0" w:start="0" w:end="0"/>
        <w:jc w:val="both"/>
        <w:rPr>
          <w:sz w:val="22"/>
        </w:rPr>
      </w:pPr>
      <w:r>
        <w:rPr>
          <w:sz w:val="22"/>
        </w:rPr>
      </w:r>
    </w:p>
    <w:p>
      <w:pPr>
        <w:pStyle w:val="Normal"/>
        <w:bidi w:val="0"/>
        <w:ind w:hanging="0" w:start="0" w:end="0"/>
        <w:jc w:val="both"/>
        <w:rPr>
          <w:sz w:val="22"/>
        </w:rPr>
      </w:pPr>
      <w:r>
        <w:rPr>
          <w:sz w:val="22"/>
        </w:rPr>
        <w:tab/>
        <w:t>IN WITNESS WHEREOF, the parties hereto have caused this Agreement to be duly executed as of the Effective Date.</w:t>
      </w:r>
    </w:p>
    <w:p>
      <w:pPr>
        <w:pStyle w:val="Normal"/>
        <w:bidi w:val="0"/>
        <w:ind w:hanging="0" w:start="0" w:end="0"/>
        <w:jc w:val="start"/>
        <w:rPr>
          <w:sz w:val="22"/>
        </w:rPr>
      </w:pPr>
      <w:r>
        <w:rPr>
          <w:sz w:val="22"/>
        </w:rPr>
      </w:r>
    </w:p>
    <w:tbl>
      <w:tblPr>
        <w:tblW w:w="9378" w:type="dxa"/>
        <w:jc w:val="start"/>
        <w:tblInd w:w="0" w:type="dxa"/>
        <w:tblLayout w:type="fixed"/>
        <w:tblCellMar>
          <w:top w:w="0" w:type="dxa"/>
          <w:start w:w="108" w:type="dxa"/>
          <w:bottom w:w="0" w:type="dxa"/>
          <w:end w:w="108" w:type="dxa"/>
        </w:tblCellMar>
      </w:tblPr>
      <w:tblGrid>
        <w:gridCol w:w="4248"/>
        <w:gridCol w:w="899"/>
        <w:gridCol w:w="4231"/>
      </w:tblGrid>
      <w:tr>
        <w:trPr/>
        <w:tc>
          <w:tcPr>
            <w:tcW w:w="4248" w:type="dxa"/>
            <w:tcBorders/>
          </w:tcPr>
          <w:p>
            <w:pPr>
              <w:pStyle w:val="Normal"/>
              <w:tabs>
                <w:tab w:val="clear" w:pos="720"/>
              </w:tabs>
              <w:bidi w:val="0"/>
              <w:ind w:hanging="0" w:start="0" w:end="0"/>
              <w:jc w:val="start"/>
              <w:textAlignment w:val="auto"/>
              <w:rPr>
                <w:b/>
                <w:sz w:val="22"/>
                <w:u w:val="double"/>
              </w:rPr>
            </w:pPr>
            <w:r>
              <w:rPr>
                <w:b/>
                <w:sz w:val="22"/>
                <w:u w:val="double"/>
              </w:rPr>
              <w:t>DealBench L.L.C.</w:t>
            </w:r>
          </w:p>
          <w:p>
            <w:pPr>
              <w:pStyle w:val="Normal"/>
              <w:tabs>
                <w:tab w:val="clear" w:pos="720"/>
              </w:tabs>
              <w:bidi w:val="0"/>
              <w:ind w:hanging="0" w:start="0" w:end="0"/>
              <w:jc w:val="start"/>
              <w:textAlignment w:val="auto"/>
              <w:rPr>
                <w:b/>
                <w:sz w:val="22"/>
                <w:u w:val="double"/>
              </w:rPr>
            </w:pPr>
            <w:r>
              <w:rPr>
                <w:b/>
                <w:sz w:val="22"/>
                <w:u w:val="double"/>
              </w:rPr>
            </w:r>
          </w:p>
          <w:p>
            <w:pPr>
              <w:pStyle w:val="Normal"/>
              <w:tabs>
                <w:tab w:val="clear" w:pos="720"/>
              </w:tabs>
              <w:bidi w:val="0"/>
              <w:ind w:hanging="0" w:start="0" w:end="0"/>
              <w:jc w:val="start"/>
              <w:textAlignment w:val="auto"/>
              <w:rPr>
                <w:b/>
                <w:sz w:val="22"/>
                <w:u w:val="double"/>
              </w:rPr>
            </w:pPr>
            <w:r>
              <w:rPr>
                <w:b/>
                <w:sz w:val="22"/>
                <w:u w:val="double"/>
              </w:rPr>
              <w:t>By:  Enron Net Works, L.L.C.,</w:t>
            </w:r>
          </w:p>
          <w:p>
            <w:pPr>
              <w:pStyle w:val="Normal"/>
              <w:tabs>
                <w:tab w:val="clear" w:pos="720"/>
              </w:tabs>
              <w:bidi w:val="0"/>
              <w:ind w:hanging="0" w:start="0" w:end="0"/>
              <w:jc w:val="start"/>
              <w:rPr/>
            </w:pPr>
            <w:r>
              <w:rPr>
                <w:sz w:val="22"/>
              </w:rPr>
              <w:t xml:space="preserve">     </w:t>
            </w:r>
            <w:r>
              <w:rPr>
                <w:b/>
                <w:sz w:val="22"/>
                <w:u w:val="double"/>
              </w:rPr>
              <w:t>its sole member</w:t>
            </w:r>
            <w:r>
              <w:rPr>
                <w:sz w:val="22"/>
              </w:rPr>
              <w:t xml:space="preserve"> </w:t>
            </w:r>
            <w:r>
              <w:rPr>
                <w:strike/>
                <w:sz w:val="22"/>
              </w:rPr>
              <w:t>EnronOnline LLC</w:t>
            </w:r>
            <w:r>
              <w:rPr>
                <w:sz w:val="22"/>
              </w:rPr>
              <w:t xml:space="preserve"> </w:t>
            </w:r>
          </w:p>
        </w:tc>
        <w:tc>
          <w:tcPr>
            <w:tcW w:w="899" w:type="dxa"/>
            <w:tcBorders/>
          </w:tcPr>
          <w:p>
            <w:pPr>
              <w:pStyle w:val="Normal"/>
              <w:tabs>
                <w:tab w:val="clear" w:pos="720"/>
              </w:tabs>
              <w:bidi w:val="0"/>
              <w:ind w:hanging="0" w:start="0" w:end="0"/>
              <w:jc w:val="start"/>
              <w:rPr>
                <w:sz w:val="22"/>
              </w:rPr>
            </w:pPr>
            <w:r>
              <w:rPr>
                <w:sz w:val="22"/>
              </w:rPr>
            </w:r>
          </w:p>
        </w:tc>
        <w:tc>
          <w:tcPr>
            <w:tcW w:w="4231" w:type="dxa"/>
            <w:tcBorders/>
          </w:tcPr>
          <w:p>
            <w:pPr>
              <w:pStyle w:val="Normal"/>
              <w:tabs>
                <w:tab w:val="clear" w:pos="720"/>
              </w:tabs>
              <w:bidi w:val="0"/>
              <w:ind w:hanging="0" w:start="0" w:end="0"/>
              <w:jc w:val="start"/>
              <w:rPr/>
            </w:pPr>
            <w:r>
              <w:rPr>
                <w:b/>
                <w:sz w:val="22"/>
              </w:rPr>
              <w:t>Envera LLC</w:t>
            </w:r>
          </w:p>
        </w:tc>
      </w:tr>
      <w:tr>
        <w:trPr/>
        <w:tc>
          <w:tcPr>
            <w:tcW w:w="4248" w:type="dxa"/>
            <w:tcBorders/>
          </w:tcPr>
          <w:p>
            <w:pPr>
              <w:pStyle w:val="Normal"/>
              <w:tabs>
                <w:tab w:val="clear" w:pos="720"/>
              </w:tabs>
              <w:bidi w:val="0"/>
              <w:ind w:hanging="0" w:start="0" w:end="0"/>
              <w:jc w:val="start"/>
              <w:rPr>
                <w:sz w:val="22"/>
              </w:rPr>
            </w:pPr>
            <w:r>
              <w:rPr>
                <w:sz w:val="22"/>
              </w:rPr>
            </w:r>
          </w:p>
          <w:p>
            <w:pPr>
              <w:pStyle w:val="Normal"/>
              <w:tabs>
                <w:tab w:val="clear" w:pos="720"/>
              </w:tabs>
              <w:bidi w:val="0"/>
              <w:ind w:hanging="0" w:start="0" w:end="0"/>
              <w:jc w:val="start"/>
              <w:rPr>
                <w:sz w:val="22"/>
              </w:rPr>
            </w:pPr>
            <w:r>
              <w:rPr>
                <w:sz w:val="22"/>
              </w:rPr>
            </w:r>
          </w:p>
        </w:tc>
        <w:tc>
          <w:tcPr>
            <w:tcW w:w="899" w:type="dxa"/>
            <w:tcBorders/>
          </w:tcPr>
          <w:p>
            <w:pPr>
              <w:pStyle w:val="Normal"/>
              <w:tabs>
                <w:tab w:val="clear" w:pos="720"/>
              </w:tabs>
              <w:bidi w:val="0"/>
              <w:ind w:hanging="0" w:start="0" w:end="0"/>
              <w:jc w:val="start"/>
              <w:rPr>
                <w:sz w:val="22"/>
              </w:rPr>
            </w:pPr>
            <w:r>
              <w:rPr>
                <w:sz w:val="22"/>
              </w:rPr>
            </w:r>
          </w:p>
        </w:tc>
        <w:tc>
          <w:tcPr>
            <w:tcW w:w="4231" w:type="dxa"/>
            <w:tcBorders/>
          </w:tcPr>
          <w:p>
            <w:pPr>
              <w:pStyle w:val="Normal"/>
              <w:tabs>
                <w:tab w:val="clear" w:pos="720"/>
              </w:tabs>
              <w:bidi w:val="0"/>
              <w:ind w:hanging="0" w:start="0" w:end="0"/>
              <w:jc w:val="start"/>
              <w:rPr>
                <w:sz w:val="22"/>
              </w:rPr>
            </w:pPr>
            <w:r>
              <w:rPr>
                <w:sz w:val="22"/>
              </w:rPr>
            </w:r>
          </w:p>
        </w:tc>
      </w:tr>
      <w:tr>
        <w:trPr/>
        <w:tc>
          <w:tcPr>
            <w:tcW w:w="4248" w:type="dxa"/>
            <w:tcBorders/>
          </w:tcPr>
          <w:p>
            <w:pPr>
              <w:pStyle w:val="Normal"/>
              <w:bidi w:val="0"/>
              <w:ind w:hanging="0" w:start="0" w:end="0"/>
              <w:jc w:val="start"/>
              <w:rPr/>
            </w:pPr>
            <w:r>
              <w:rPr>
                <w:sz w:val="22"/>
              </w:rPr>
              <w:t>By: _____________________________</w:t>
            </w:r>
          </w:p>
        </w:tc>
        <w:tc>
          <w:tcPr>
            <w:tcW w:w="899" w:type="dxa"/>
            <w:tcBorders/>
          </w:tcPr>
          <w:p>
            <w:pPr>
              <w:pStyle w:val="Normal"/>
              <w:bidi w:val="0"/>
              <w:ind w:hanging="0" w:start="0" w:end="0"/>
              <w:jc w:val="start"/>
              <w:rPr>
                <w:sz w:val="22"/>
              </w:rPr>
            </w:pPr>
            <w:r>
              <w:rPr>
                <w:sz w:val="22"/>
              </w:rPr>
            </w:r>
          </w:p>
        </w:tc>
        <w:tc>
          <w:tcPr>
            <w:tcW w:w="4231" w:type="dxa"/>
            <w:tcBorders/>
          </w:tcPr>
          <w:p>
            <w:pPr>
              <w:pStyle w:val="Normal"/>
              <w:bidi w:val="0"/>
              <w:ind w:hanging="0" w:start="0" w:end="0"/>
              <w:jc w:val="start"/>
              <w:rPr/>
            </w:pPr>
            <w:r>
              <w:rPr>
                <w:sz w:val="22"/>
              </w:rPr>
              <w:t>By: _____________________________</w:t>
            </w:r>
          </w:p>
        </w:tc>
      </w:tr>
      <w:tr>
        <w:trPr/>
        <w:tc>
          <w:tcPr>
            <w:tcW w:w="4248" w:type="dxa"/>
            <w:tcBorders/>
          </w:tcPr>
          <w:p>
            <w:pPr>
              <w:pStyle w:val="Normal"/>
              <w:bidi w:val="0"/>
              <w:ind w:hanging="0" w:start="0" w:end="0"/>
              <w:jc w:val="start"/>
              <w:rPr/>
            </w:pPr>
            <w:r>
              <w:rPr>
                <w:sz w:val="22"/>
              </w:rPr>
              <w:t xml:space="preserve">Name: </w:t>
            </w:r>
            <w:r>
              <w:rPr>
                <w:strike/>
                <w:sz w:val="22"/>
              </w:rPr>
              <w:t>__________________________</w:t>
            </w:r>
            <w:r>
              <w:rPr>
                <w:b/>
                <w:sz w:val="22"/>
                <w:u w:val="double"/>
              </w:rPr>
              <w:t>Harry Arora</w:t>
            </w:r>
          </w:p>
        </w:tc>
        <w:tc>
          <w:tcPr>
            <w:tcW w:w="899" w:type="dxa"/>
            <w:tcBorders/>
          </w:tcPr>
          <w:p>
            <w:pPr>
              <w:pStyle w:val="Normal"/>
              <w:bidi w:val="0"/>
              <w:ind w:hanging="0" w:start="0" w:end="0"/>
              <w:jc w:val="start"/>
              <w:rPr>
                <w:sz w:val="22"/>
              </w:rPr>
            </w:pPr>
            <w:r>
              <w:rPr>
                <w:sz w:val="22"/>
              </w:rPr>
            </w:r>
          </w:p>
        </w:tc>
        <w:tc>
          <w:tcPr>
            <w:tcW w:w="4231" w:type="dxa"/>
            <w:tcBorders/>
          </w:tcPr>
          <w:p>
            <w:pPr>
              <w:pStyle w:val="Normal"/>
              <w:bidi w:val="0"/>
              <w:ind w:hanging="0" w:start="0" w:end="0"/>
              <w:jc w:val="start"/>
              <w:rPr/>
            </w:pPr>
            <w:r>
              <w:rPr>
                <w:sz w:val="22"/>
              </w:rPr>
              <w:t>Name: __________________________</w:t>
            </w:r>
          </w:p>
        </w:tc>
      </w:tr>
      <w:tr>
        <w:trPr/>
        <w:tc>
          <w:tcPr>
            <w:tcW w:w="4248" w:type="dxa"/>
            <w:tcBorders/>
          </w:tcPr>
          <w:p>
            <w:pPr>
              <w:pStyle w:val="Normal"/>
              <w:bidi w:val="0"/>
              <w:ind w:hanging="0" w:start="0" w:end="0"/>
              <w:jc w:val="start"/>
              <w:rPr/>
            </w:pPr>
            <w:r>
              <w:rPr>
                <w:sz w:val="22"/>
              </w:rPr>
              <w:t xml:space="preserve">Title: </w:t>
            </w:r>
            <w:r>
              <w:rPr>
                <w:strike/>
                <w:sz w:val="22"/>
              </w:rPr>
              <w:t>____________________________</w:t>
            </w:r>
            <w:r>
              <w:rPr>
                <w:b/>
                <w:sz w:val="22"/>
                <w:u w:val="double"/>
              </w:rPr>
              <w:t>Vice President</w:t>
            </w:r>
          </w:p>
        </w:tc>
        <w:tc>
          <w:tcPr>
            <w:tcW w:w="899" w:type="dxa"/>
            <w:tcBorders/>
          </w:tcPr>
          <w:p>
            <w:pPr>
              <w:pStyle w:val="Normal"/>
              <w:bidi w:val="0"/>
              <w:ind w:hanging="0" w:start="0" w:end="0"/>
              <w:jc w:val="start"/>
              <w:rPr>
                <w:sz w:val="22"/>
              </w:rPr>
            </w:pPr>
            <w:r>
              <w:rPr>
                <w:sz w:val="22"/>
              </w:rPr>
            </w:r>
          </w:p>
        </w:tc>
        <w:tc>
          <w:tcPr>
            <w:tcW w:w="4231" w:type="dxa"/>
            <w:tcBorders/>
          </w:tcPr>
          <w:p>
            <w:pPr>
              <w:pStyle w:val="Normal"/>
              <w:bidi w:val="0"/>
              <w:ind w:hanging="0" w:start="0" w:end="0"/>
              <w:jc w:val="start"/>
              <w:rPr/>
            </w:pPr>
            <w:r>
              <w:rPr>
                <w:sz w:val="22"/>
              </w:rPr>
              <w:t>Title: ____________________________</w:t>
            </w:r>
          </w:p>
        </w:tc>
      </w:tr>
      <w:tr>
        <w:trPr/>
        <w:tc>
          <w:tcPr>
            <w:tcW w:w="4248" w:type="dxa"/>
            <w:tcBorders/>
          </w:tcPr>
          <w:p>
            <w:pPr>
              <w:pStyle w:val="Normal"/>
              <w:tabs>
                <w:tab w:val="clear" w:pos="720"/>
              </w:tabs>
              <w:bidi w:val="0"/>
              <w:ind w:hanging="0" w:start="0" w:end="0"/>
              <w:jc w:val="start"/>
              <w:rPr/>
            </w:pPr>
            <w:r>
              <w:rPr>
                <w:sz w:val="22"/>
              </w:rPr>
              <w:t>Date: ____________________________</w:t>
            </w:r>
          </w:p>
        </w:tc>
        <w:tc>
          <w:tcPr>
            <w:tcW w:w="899" w:type="dxa"/>
            <w:tcBorders/>
          </w:tcPr>
          <w:p>
            <w:pPr>
              <w:pStyle w:val="Normal"/>
              <w:tabs>
                <w:tab w:val="clear" w:pos="720"/>
              </w:tabs>
              <w:bidi w:val="0"/>
              <w:ind w:hanging="0" w:start="0" w:end="0"/>
              <w:jc w:val="start"/>
              <w:rPr>
                <w:sz w:val="22"/>
              </w:rPr>
            </w:pPr>
            <w:r>
              <w:rPr>
                <w:sz w:val="22"/>
              </w:rPr>
            </w:r>
          </w:p>
        </w:tc>
        <w:tc>
          <w:tcPr>
            <w:tcW w:w="4231" w:type="dxa"/>
            <w:tcBorders/>
          </w:tcPr>
          <w:p>
            <w:pPr>
              <w:pStyle w:val="Normal"/>
              <w:tabs>
                <w:tab w:val="clear" w:pos="720"/>
              </w:tabs>
              <w:bidi w:val="0"/>
              <w:ind w:hanging="0" w:start="0" w:end="0"/>
              <w:jc w:val="start"/>
              <w:rPr/>
            </w:pPr>
            <w:r>
              <w:rPr>
                <w:sz w:val="22"/>
              </w:rPr>
              <w:t>Date: ___________________________</w:t>
            </w:r>
          </w:p>
        </w:tc>
      </w:tr>
    </w:tbl>
    <w:p>
      <w:pPr>
        <w:pStyle w:val="Normal"/>
        <w:bidi w:val="0"/>
        <w:ind w:hanging="0" w:start="0" w:end="0"/>
        <w:jc w:val="start"/>
        <w:rPr>
          <w:sz w:val="22"/>
        </w:rPr>
      </w:pPr>
      <w:r>
        <w:rPr>
          <w:sz w:val="22"/>
        </w:rPr>
      </w:r>
    </w:p>
    <w:p>
      <w:pPr>
        <w:pStyle w:val="Normal"/>
        <w:numPr>
          <w:ilvl w:val="0"/>
          <w:numId w:val="0"/>
        </w:numPr>
        <w:bidi w:val="0"/>
        <w:ind w:hanging="0" w:start="0" w:end="0"/>
        <w:jc w:val="center"/>
        <w:outlineLvl w:val="0"/>
        <w:rPr>
          <w:b/>
        </w:rPr>
      </w:pPr>
      <w:r>
        <w:rPr>
          <w:b/>
        </w:rPr>
        <w:t>EXHIBIT A</w:t>
      </w:r>
    </w:p>
    <w:p>
      <w:pPr>
        <w:pStyle w:val="Normal"/>
        <w:numPr>
          <w:ilvl w:val="0"/>
          <w:numId w:val="0"/>
        </w:numPr>
        <w:bidi w:val="0"/>
        <w:ind w:hanging="0" w:start="0" w:end="0"/>
        <w:jc w:val="center"/>
        <w:outlineLvl w:val="0"/>
        <w:rPr>
          <w:b/>
        </w:rPr>
      </w:pPr>
      <w:r>
        <w:rPr>
          <w:b/>
        </w:rPr>
        <w:t xml:space="preserve"> </w:t>
      </w:r>
      <w:r>
        <w:rPr>
          <w:b/>
          <w:strike/>
        </w:rPr>
        <w:t>EOL Trademarks</w:t>
      </w:r>
    </w:p>
    <w:p>
      <w:pPr>
        <w:pStyle w:val="Normal"/>
        <w:numPr>
          <w:ilvl w:val="0"/>
          <w:numId w:val="0"/>
        </w:numPr>
        <w:bidi w:val="0"/>
        <w:ind w:hanging="0" w:start="0" w:end="0"/>
        <w:jc w:val="center"/>
        <w:outlineLvl w:val="0"/>
        <w:rPr>
          <w:b/>
        </w:rPr>
      </w:pPr>
      <w:r>
        <w:rPr>
          <w:b/>
          <w:u w:val="double"/>
        </w:rPr>
        <w:t>DealBench Trademarks</w:t>
      </w:r>
    </w:p>
    <w:p>
      <w:pPr>
        <w:pStyle w:val="Normal"/>
        <w:bidi w:val="0"/>
        <w:ind w:hanging="0" w:start="0" w:end="0"/>
        <w:jc w:val="center"/>
        <w:rPr>
          <w:sz w:val="22"/>
        </w:rPr>
      </w:pPr>
      <w:r>
        <w:rPr>
          <w:sz w:val="22"/>
        </w:rPr>
      </w:r>
    </w:p>
    <w:p>
      <w:pPr>
        <w:pStyle w:val="Normal"/>
        <w:bidi w:val="0"/>
        <w:ind w:hanging="0" w:start="0" w:end="0"/>
        <w:jc w:val="start"/>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strike/>
          <w:sz w:val="22"/>
        </w:rPr>
      </w:pPr>
      <w:r>
        <w:rPr>
          <w:strike/>
          <w:sz w:val="22"/>
        </w:rPr>
        <w:t>EXHIBIT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sz w:val="22"/>
        </w:rPr>
      </w:pPr>
      <w:r>
        <w:rPr>
          <w:strike/>
          <w:sz w:val="22"/>
        </w:rPr>
        <w:t>Envera Trademarks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sz w:val="22"/>
        </w:rPr>
      </w:pPr>
      <w:r>
        <w:rPr>
          <w:sz w:val="22"/>
        </w:rPr>
      </w:r>
    </w:p>
    <w:tbl>
      <w:tblPr>
        <w:tblW w:w="2520" w:type="dxa"/>
        <w:jc w:val="start"/>
        <w:tblInd w:w="1470" w:type="dxa"/>
        <w:tblLayout w:type="fixed"/>
        <w:tblCellMar>
          <w:top w:w="0" w:type="dxa"/>
          <w:start w:w="120" w:type="dxa"/>
          <w:bottom w:w="0" w:type="dxa"/>
          <w:end w:w="120" w:type="dxa"/>
        </w:tblCellMar>
      </w:tblPr>
      <w:tblGrid>
        <w:gridCol w:w="2520"/>
      </w:tblGrid>
      <w:tr>
        <w:trPr>
          <w:trHeight w:val="403" w:hRule="atLeast"/>
          <w:cantSplit w:val="true"/>
        </w:trPr>
        <w:tc>
          <w:tcPr>
            <w:tcW w:w="2520" w:type="dxa"/>
            <w:tcBorders/>
          </w:tcPr>
          <w:p>
            <w:pPr>
              <w:pStyle w:val="Normal"/>
              <w:tabs>
                <w:tab w:val="clear" w:pos="720"/>
              </w:tabs>
              <w:bidi w:val="0"/>
              <w:ind w:hanging="0" w:start="0" w:end="0"/>
              <w:jc w:val="start"/>
              <w:rPr/>
            </w:pPr>
            <w:r>
              <w:rPr>
                <w:sz w:val="22"/>
              </w:rPr>
              <w:t xml:space="preserve">       </w:t>
            </w:r>
            <w:r>
              <w:rPr>
                <w:b/>
                <w:sz w:val="22"/>
                <w:u w:val="double"/>
              </w:rPr>
              <w:t>Trademark</w:t>
            </w:r>
          </w:p>
        </w:tc>
      </w:tr>
      <w:tr>
        <w:trPr>
          <w:trHeight w:val="403" w:hRule="atLeast"/>
          <w:cantSplit w:val="true"/>
        </w:trPr>
        <w:tc>
          <w:tcPr>
            <w:tcW w:w="2520" w:type="dxa"/>
            <w:tcBorders/>
          </w:tcPr>
          <w:p>
            <w:pPr>
              <w:pStyle w:val="Normal"/>
              <w:tabs>
                <w:tab w:val="clear" w:pos="720"/>
              </w:tabs>
              <w:bidi w:val="0"/>
              <w:ind w:hanging="0" w:start="0" w:end="0"/>
              <w:jc w:val="start"/>
              <w:rPr/>
            </w:pPr>
            <w:r>
              <w:rPr>
                <w:b/>
                <w:sz w:val="22"/>
                <w:u w:val="double"/>
              </w:rPr>
              <w:t>DEALLINE</w:t>
            </w:r>
          </w:p>
        </w:tc>
      </w:tr>
      <w:tr>
        <w:trPr>
          <w:trHeight w:val="403" w:hRule="atLeast"/>
          <w:cantSplit w:val="true"/>
        </w:trPr>
        <w:tc>
          <w:tcPr>
            <w:tcW w:w="2520" w:type="dxa"/>
            <w:tcBorders/>
          </w:tcPr>
          <w:p>
            <w:pPr>
              <w:pStyle w:val="Normal"/>
              <w:bidi w:val="0"/>
              <w:ind w:hanging="0" w:start="0" w:end="0"/>
              <w:jc w:val="start"/>
              <w:rPr/>
            </w:pPr>
            <w:r>
              <w:rPr>
                <w:b/>
                <w:sz w:val="22"/>
                <w:u w:val="double"/>
              </w:rPr>
              <w:t>DEALNOTES</w:t>
            </w:r>
          </w:p>
        </w:tc>
      </w:tr>
      <w:tr>
        <w:trPr>
          <w:trHeight w:val="403" w:hRule="atLeast"/>
          <w:cantSplit w:val="true"/>
        </w:trPr>
        <w:tc>
          <w:tcPr>
            <w:tcW w:w="2520" w:type="dxa"/>
            <w:tcBorders/>
          </w:tcPr>
          <w:p>
            <w:pPr>
              <w:pStyle w:val="Normal"/>
              <w:bidi w:val="0"/>
              <w:ind w:hanging="0" w:start="0" w:end="0"/>
              <w:jc w:val="start"/>
              <w:rPr/>
            </w:pPr>
            <w:r>
              <w:rPr>
                <w:b/>
                <w:sz w:val="22"/>
                <w:u w:val="double"/>
              </w:rPr>
              <w:t>DEALMONITOR</w:t>
            </w:r>
          </w:p>
        </w:tc>
      </w:tr>
      <w:tr>
        <w:trPr>
          <w:trHeight w:val="403" w:hRule="atLeast"/>
          <w:cantSplit w:val="true"/>
        </w:trPr>
        <w:tc>
          <w:tcPr>
            <w:tcW w:w="2520" w:type="dxa"/>
            <w:tcBorders/>
          </w:tcPr>
          <w:p>
            <w:pPr>
              <w:pStyle w:val="Normal"/>
              <w:bidi w:val="0"/>
              <w:ind w:hanging="0" w:start="0" w:end="0"/>
              <w:jc w:val="start"/>
              <w:rPr/>
            </w:pPr>
            <w:r>
              <w:rPr>
                <w:b/>
                <w:sz w:val="22"/>
                <w:u w:val="double"/>
              </w:rPr>
              <w:t>DEALBENCH</w:t>
            </w:r>
          </w:p>
        </w:tc>
      </w:tr>
      <w:tr>
        <w:trPr>
          <w:trHeight w:val="403" w:hRule="atLeast"/>
          <w:cantSplit w:val="true"/>
        </w:trPr>
        <w:tc>
          <w:tcPr>
            <w:tcW w:w="2520" w:type="dxa"/>
            <w:tcBorders/>
          </w:tcPr>
          <w:p>
            <w:pPr>
              <w:pStyle w:val="Normal"/>
              <w:tabs>
                <w:tab w:val="clear" w:pos="720"/>
              </w:tabs>
              <w:bidi w:val="0"/>
              <w:ind w:hanging="0" w:start="0" w:end="0"/>
              <w:jc w:val="start"/>
              <w:rPr/>
            </w:pPr>
            <w:r>
              <w:rPr>
                <w:b/>
                <w:sz w:val="22"/>
                <w:u w:val="double"/>
              </w:rPr>
              <w:t>DealBench</w:t>
            </w:r>
          </w:p>
        </w:tc>
      </w:tr>
    </w:tbl>
    <w:p>
      <w:pPr>
        <w:pStyle w:val="Normal"/>
        <w:bidi w:val="0"/>
        <w:ind w:hanging="0" w:start="0" w:end="0"/>
        <w:jc w:val="start"/>
        <w:rPr>
          <w:sz w:val="22"/>
        </w:rPr>
      </w:pPr>
      <w:r>
        <w:rPr>
          <w:sz w:val="22"/>
        </w:rPr>
      </w:r>
    </w:p>
    <w:p>
      <w:pPr>
        <w:pStyle w:val="Normal"/>
        <w:bidi w:val="0"/>
        <w:ind w:hanging="0" w:start="0" w:end="0"/>
        <w:jc w:val="start"/>
        <w:rPr>
          <w:sz w:val="22"/>
        </w:rPr>
      </w:pPr>
      <w:r>
        <w:rPr>
          <w:sz w:val="22"/>
        </w:rPr>
      </w:r>
    </w:p>
    <w:p>
      <w:pPr>
        <w:pStyle w:val="Normal"/>
        <w:bidi w:val="0"/>
        <w:ind w:hanging="0" w:start="0" w:end="0"/>
        <w:jc w:val="start"/>
        <w:rPr/>
      </w:pPr>
      <w:r>
        <w:rPr/>
      </w:r>
    </w:p>
    <w:p>
      <w:pPr>
        <w:pStyle w:val="Normal"/>
        <w:bidi w:val="0"/>
        <w:ind w:hanging="0" w:start="0" w:end="0"/>
        <w:jc w:val="start"/>
        <w:rPr/>
      </w:pPr>
      <w:r>
        <w:rPr/>
        <w:t>------------------ COMPARISON OF HEADERS ------------------</w:t>
      </w:r>
    </w:p>
    <w:p>
      <w:pPr>
        <w:pStyle w:val="Normal"/>
        <w:bidi w:val="0"/>
        <w:ind w:hanging="0" w:start="0" w:end="0"/>
        <w:jc w:val="start"/>
        <w:rPr/>
      </w:pPr>
      <w:r>
        <w:rPr/>
      </w:r>
    </w:p>
    <w:p>
      <w:pPr>
        <w:pStyle w:val="Normal"/>
        <w:bidi w:val="0"/>
        <w:ind w:hanging="0" w:start="0" w:end="0"/>
        <w:jc w:val="start"/>
        <w:rPr/>
      </w:pPr>
      <w:r>
        <w:rPr/>
        <w:t>-HEADER 1-</w:t>
      </w:r>
    </w:p>
    <w:p>
      <w:pPr>
        <w:pStyle w:val="Normal"/>
        <w:bidi w:val="0"/>
        <w:ind w:hanging="0" w:start="0" w:end="0"/>
        <w:jc w:val="start"/>
        <w:rPr/>
      </w:pPr>
      <w:r>
        <w:rPr/>
        <w:t xml:space="preserve">CONFIDENTIAL DRAFT </w:t>
      </w:r>
      <w:r>
        <w:rPr>
          <w:b/>
          <w:u w:val="double"/>
        </w:rPr>
        <w:t>12/27/00</w:t>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t>------------------ COMPARISON OF FOOTERS ------------------</w:t>
      </w:r>
    </w:p>
    <w:p>
      <w:pPr>
        <w:pStyle w:val="Normal"/>
        <w:bidi w:val="0"/>
        <w:ind w:hanging="0" w:start="0" w:end="0"/>
        <w:jc w:val="start"/>
        <w:rPr/>
      </w:pPr>
      <w:r>
        <w:rPr/>
      </w:r>
    </w:p>
    <w:p>
      <w:pPr>
        <w:pStyle w:val="Normal"/>
        <w:bidi w:val="0"/>
        <w:ind w:hanging="0" w:start="0" w:end="0"/>
        <w:jc w:val="start"/>
        <w:rPr/>
      </w:pPr>
      <w:r>
        <w:rPr/>
        <w:t>-FOOTER 1-</w:t>
      </w:r>
    </w:p>
    <w:p>
      <w:pPr>
        <w:pStyle w:val="Normal"/>
        <w:bidi w:val="0"/>
        <w:ind w:hanging="0" w:start="0" w:end="0"/>
        <w:jc w:val="start"/>
        <w:rPr/>
      </w:pPr>
      <w:r>
        <w:rPr>
          <w:strike/>
        </w:rPr>
        <w:t>620305 - Rev. 12/26/00</w:t>
      </w:r>
      <w:r>
        <w:rPr/>
        <w:t xml:space="preserve"> Page 2 of 8</w:t>
      </w:r>
    </w:p>
    <w:p>
      <w:pPr>
        <w:pStyle w:val="Normal"/>
        <w:bidi w:val="0"/>
        <w:ind w:hanging="0" w:start="0" w:end="0"/>
        <w:jc w:val="start"/>
        <w:rPr/>
      </w:pPr>
      <w:r>
        <w:rPr>
          <w:strike/>
        </w:rPr>
        <w:t>E</w:t>
      </w:r>
      <w:r>
        <w:rPr/>
        <w:t xml:space="preserve"> </w:t>
      </w:r>
      <w:r>
        <w:rPr>
          <w:b/>
          <w:u w:val="double"/>
        </w:rPr>
        <w:t>D</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baselin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rStyle w:val="PageNumber"/>
        <w:sz w:val="16"/>
        <w:lang w:val="en-US" w:eastAsia="en-US"/>
      </w:rPr>
      <w:tab/>
      <w:tab/>
      <w:t xml:space="preserve">Page </w:t>
    </w:r>
    <w:r>
      <w:rPr>
        <w:rStyle w:val="PageNumber"/>
        <w:sz w:val="16"/>
        <w:lang w:val="en-CA" w:eastAsia="en-CA"/>
      </w:rPr>
      <w:fldChar w:fldCharType="begin"/>
    </w:r>
    <w:r>
      <w:rPr>
        <w:rStyle w:val="PageNumber"/>
        <w:sz w:val="16"/>
        <w:lang w:val="en-CA" w:eastAsia="en-CA"/>
      </w:rPr>
      <w:instrText xml:space="preserve"> PAGE </w:instrText>
    </w:r>
    <w:r>
      <w:rPr>
        <w:rStyle w:val="PageNumber"/>
        <w:sz w:val="16"/>
        <w:lang w:val="en-CA" w:eastAsia="en-CA"/>
      </w:rPr>
      <w:fldChar w:fldCharType="separate"/>
    </w:r>
    <w:r>
      <w:rPr>
        <w:rStyle w:val="PageNumber"/>
        <w:sz w:val="16"/>
        <w:lang w:val="en-CA" w:eastAsia="en-CA"/>
      </w:rPr>
      <w:t>11</w:t>
    </w:r>
    <w:r>
      <w:rPr>
        <w:rStyle w:val="PageNumber"/>
        <w:sz w:val="16"/>
        <w:lang w:val="en-CA" w:eastAsia="en-CA"/>
      </w:rPr>
      <w:fldChar w:fldCharType="end"/>
    </w:r>
    <w:r>
      <w:rPr>
        <w:rStyle w:val="PageNumber"/>
        <w:sz w:val="16"/>
        <w:lang w:val="en-US" w:eastAsia="en-US"/>
      </w:rPr>
      <w:t xml:space="preserve"> of 8</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rStyle w:val="PageNumber"/>
        <w:sz w:val="16"/>
        <w:lang w:val="en-US" w:eastAsia="en-US"/>
      </w:rPr>
      <w:tab/>
      <w:tab/>
      <w:t xml:space="preserve">Page </w:t>
    </w:r>
    <w:r>
      <w:rPr>
        <w:rStyle w:val="PageNumber"/>
        <w:sz w:val="16"/>
        <w:lang w:val="en-CA" w:eastAsia="en-CA"/>
      </w:rPr>
      <w:fldChar w:fldCharType="begin"/>
    </w:r>
    <w:r>
      <w:rPr>
        <w:rStyle w:val="PageNumber"/>
        <w:sz w:val="16"/>
        <w:lang w:val="en-CA" w:eastAsia="en-CA"/>
      </w:rPr>
      <w:instrText xml:space="preserve"> PAGE </w:instrText>
    </w:r>
    <w:r>
      <w:rPr>
        <w:rStyle w:val="PageNumber"/>
        <w:sz w:val="16"/>
        <w:lang w:val="en-CA" w:eastAsia="en-CA"/>
      </w:rPr>
      <w:fldChar w:fldCharType="separate"/>
    </w:r>
    <w:r>
      <w:rPr>
        <w:rStyle w:val="PageNumber"/>
        <w:sz w:val="16"/>
        <w:lang w:val="en-CA" w:eastAsia="en-CA"/>
      </w:rPr>
      <w:t>11</w:t>
    </w:r>
    <w:r>
      <w:rPr>
        <w:rStyle w:val="PageNumber"/>
        <w:sz w:val="16"/>
        <w:lang w:val="en-CA" w:eastAsia="en-CA"/>
      </w:rPr>
      <w:fldChar w:fldCharType="end"/>
    </w:r>
    <w:r>
      <w:rPr>
        <w:rStyle w:val="PageNumber"/>
        <w:sz w:val="16"/>
        <w:lang w:val="en-US" w:eastAsia="en-US"/>
      </w:rPr>
      <w:t xml:space="preserve"> of 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baseli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b/>
      </w:rPr>
    </w:pPr>
    <w:r>
      <w:rPr>
        <w:b/>
      </w:rPr>
      <w:t xml:space="preserve">CONFIDENTIAL </w:t>
      <w:tab/>
      <w:tab/>
      <w:t>DRAFT 12/27/00</w:t>
    </w:r>
  </w:p>
  <w:p>
    <w:pPr>
      <w:pStyle w:val="Header"/>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b/>
      </w:rPr>
    </w:pPr>
    <w:r>
      <w:rPr>
        <w:b/>
      </w:rPr>
      <w:t xml:space="preserve">CONFIDENTIAL </w:t>
      <w:tab/>
      <w:tab/>
      <w:t>DRAFT 12/27/00</w:t>
    </w:r>
  </w:p>
  <w:p>
    <w:pPr>
      <w:pStyle w:val="Header"/>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upperRoman"/>
      <w:lvlText w:val="%1."/>
      <w:lvlJc w:val="start"/>
      <w:pPr>
        <w:tabs>
          <w:tab w:val="num" w:pos="0"/>
        </w:tabs>
        <w:ind w:start="720" w:hanging="720"/>
      </w:pPr>
      <w:rPr/>
    </w:lvl>
    <w:lvl w:ilvl="1">
      <w:start w:val="1"/>
      <w:numFmt w:val="upperLetter"/>
      <w:lvlText w:val="%2."/>
      <w:lvlJc w:val="start"/>
      <w:pPr>
        <w:tabs>
          <w:tab w:val="num" w:pos="0"/>
        </w:tabs>
        <w:ind w:start="1440" w:hanging="720"/>
      </w:pPr>
      <w:rPr/>
    </w:lvl>
    <w:lvl w:ilvl="2">
      <w:start w:val="1"/>
      <w:numFmt w:val="decimal"/>
      <w:lvlText w:val="%3."/>
      <w:lvlJc w:val="start"/>
      <w:pPr>
        <w:tabs>
          <w:tab w:val="num" w:pos="0"/>
        </w:tabs>
        <w:ind w:start="2160" w:hanging="720"/>
      </w:pPr>
      <w:rPr/>
    </w:lvl>
    <w:lvl w:ilvl="3">
      <w:start w:val="1"/>
      <w:numFmt w:val="lowerLetter"/>
      <w:lvlText w:val="%4."/>
      <w:lvlJc w:val="start"/>
      <w:pPr>
        <w:tabs>
          <w:tab w:val="num" w:pos="0"/>
        </w:tabs>
        <w:ind w:start="2880" w:hanging="720"/>
      </w:pPr>
      <w:rPr/>
    </w:lvl>
    <w:lvl w:ilvl="4">
      <w:start w:val="1"/>
      <w:numFmt w:val="decimal"/>
      <w:lvlText w:val="(%5)"/>
      <w:lvlJc w:val="start"/>
      <w:pPr>
        <w:tabs>
          <w:tab w:val="num" w:pos="0"/>
        </w:tabs>
        <w:ind w:start="3600" w:hanging="720"/>
      </w:pPr>
      <w:rPr/>
    </w:lvl>
    <w:lvl w:ilvl="5">
      <w:start w:val="1"/>
      <w:numFmt w:val="lowerLetter"/>
      <w:lvlText w:val="(%6)"/>
      <w:lvlJc w:val="start"/>
      <w:pPr>
        <w:tabs>
          <w:tab w:val="num" w:pos="0"/>
        </w:tabs>
        <w:ind w:start="4320" w:hanging="720"/>
      </w:pPr>
      <w:rPr/>
    </w:lvl>
    <w:lvl w:ilvl="6">
      <w:start w:val="1"/>
      <w:numFmt w:val="lowerRoman"/>
      <w:lvlText w:val="%7)"/>
      <w:lvlJc w:val="start"/>
      <w:pPr>
        <w:tabs>
          <w:tab w:val="num" w:pos="0"/>
        </w:tabs>
        <w:ind w:start="5040" w:hanging="720"/>
      </w:pPr>
      <w:rPr/>
    </w:lvl>
    <w:lvl w:ilvl="7">
      <w:start w:val="1"/>
      <w:numFmt w:val="lowerLetter"/>
      <w:lvlText w:val="%8)"/>
      <w:lvlJc w:val="start"/>
      <w:pPr>
        <w:tabs>
          <w:tab w:val="num" w:pos="0"/>
        </w:tabs>
        <w:ind w:start="5760" w:hanging="720"/>
      </w:pPr>
      <w:rPr/>
    </w:lvl>
    <w:lvl w:ilvl="8">
      <w:start w:val="1"/>
      <w:numFmt w:val="lowerRoman"/>
      <w:lvlText w:val="(%9)"/>
      <w:lvlJc w:val="start"/>
      <w:pPr>
        <w:tabs>
          <w:tab w:val="num" w:pos="0"/>
        </w:tabs>
        <w:ind w:start="6480" w:hanging="720"/>
      </w:pPr>
      <w:rPr/>
    </w:lvl>
  </w:abstractNum>
  <w:num w:numId="1">
    <w:abstractNumId w:val="1"/>
  </w:num>
  <w:num w:numId="2">
    <w:abstractNumId w:val="2"/>
  </w:num>
</w:numbering>
</file>

<file path=word/settings.xml><?xml version="1.0" encoding="utf-8"?>
<w:settings xmlns:w="http://schemas.openxmlformats.org/wordprocessingml/2006/main">
  <w:zoom w:percent="110"/>
  <w:trackRevisions/>
  <w:defaultTabStop w:val="720"/>
  <w:autoHyphenation w:val="true"/>
  <w:doNotHyphenateCaps/>
  <w:hyphenationZone w:val="360"/>
  <w:compat>
    <w:doNotBreakWrappedTables/>
    <w:compatSetting w:name="compatibilityMode" w:uri="http://schemas.microsoft.com/office/word" w:val="12"/>
  </w:compat>
  <w:themeFontLang w:val="" w:eastAsia="" w:bidi=""/>
  <w:docVars>
    <w:docVar w:name="AuthorName" w:val="0"/>
    <w:docVar w:name="DocName" w:val="0"/>
    <w:docVar w:name="DocNumber" w:val="620305"/>
    <w:docVar w:name="Font" w:val="Arial"/>
    <w:docVar w:name="FontSize" w:val=" 8"/>
    <w:docVar w:name="InsertPageBreak" w:val="0"/>
    <w:docVar w:name="LastEditDate" w:val="0"/>
    <w:docVar w:name="LastEditTime" w:val="0"/>
    <w:docVar w:name="Position" w:val="0"/>
    <w:docVar w:name="Separator" w:val="0"/>
    <w:docVar w:name="Set" w:val="1"/>
    <w:docVar w:name="TypistName" w:val="0"/>
    <w:docVar w:name="UpdateOnSave"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jc w:val="start"/>
      <w:textAlignment w:val="baseline"/>
    </w:pPr>
    <w:rPr>
      <w:rFonts w:ascii="Arial" w:hAnsi="Arial" w:eastAsia="Tahoma" w:cs="Times New Roman"/>
      <w:color w:val="auto"/>
      <w:kern w:val="2"/>
      <w:sz w:val="24"/>
      <w:szCs w:val="24"/>
      <w:lang w:val="en-US" w:eastAsia="en-US" w:bidi="hi-IN"/>
    </w:rPr>
  </w:style>
  <w:style w:type="paragraph" w:styleId="Heading1">
    <w:name w:val="heading 1"/>
    <w:basedOn w:val="Heading"/>
    <w:qFormat/>
    <w:pPr>
      <w:keepNext w:val="true"/>
      <w:keepLines/>
      <w:widowControl/>
      <w:numPr>
        <w:ilvl w:val="0"/>
        <w:numId w:val="1"/>
      </w:numPr>
      <w:spacing w:before="240" w:after="240"/>
      <w:ind w:hanging="720" w:start="720" w:end="0"/>
      <w:jc w:val="start"/>
      <w:textAlignment w:val="baseline"/>
      <w:outlineLvl w:val="0"/>
    </w:pPr>
    <w:rPr>
      <w:rFonts w:ascii="Arial" w:hAnsi="Arial"/>
      <w:sz w:val="24"/>
      <w:lang w:val="en-US" w:eastAsia="en-US"/>
    </w:rPr>
  </w:style>
  <w:style w:type="paragraph" w:styleId="Heading2">
    <w:name w:val="heading 2"/>
    <w:basedOn w:val="Heading"/>
    <w:qFormat/>
    <w:pPr>
      <w:widowControl/>
      <w:numPr>
        <w:ilvl w:val="1"/>
        <w:numId w:val="1"/>
      </w:numPr>
      <w:spacing w:before="240" w:after="240"/>
      <w:ind w:hanging="720" w:start="1440" w:end="0"/>
      <w:jc w:val="start"/>
      <w:textAlignment w:val="baseline"/>
      <w:outlineLvl w:val="1"/>
    </w:pPr>
    <w:rPr>
      <w:rFonts w:ascii="Arial" w:hAnsi="Arial"/>
      <w:sz w:val="24"/>
      <w:lang w:val="en-US" w:eastAsia="en-US"/>
    </w:rPr>
  </w:style>
  <w:style w:type="paragraph" w:styleId="Heading3">
    <w:name w:val="heading 3"/>
    <w:basedOn w:val="Heading"/>
    <w:qFormat/>
    <w:pPr>
      <w:widowControl/>
      <w:numPr>
        <w:ilvl w:val="2"/>
        <w:numId w:val="1"/>
      </w:numPr>
      <w:spacing w:before="240" w:after="240"/>
      <w:ind w:hanging="720" w:start="2160" w:end="0"/>
      <w:jc w:val="start"/>
      <w:textAlignment w:val="baseline"/>
      <w:outlineLvl w:val="2"/>
    </w:pPr>
    <w:rPr>
      <w:rFonts w:ascii="Arial" w:hAnsi="Arial"/>
      <w:sz w:val="24"/>
      <w:lang w:val="en-US" w:eastAsia="en-US"/>
    </w:rPr>
  </w:style>
  <w:style w:type="paragraph" w:styleId="Heading4">
    <w:name w:val="heading 4"/>
    <w:basedOn w:val="Heading"/>
    <w:qFormat/>
    <w:pPr>
      <w:widowControl/>
      <w:numPr>
        <w:ilvl w:val="3"/>
        <w:numId w:val="1"/>
      </w:numPr>
      <w:spacing w:before="240" w:after="240"/>
      <w:ind w:hanging="720" w:start="2880" w:end="0"/>
      <w:jc w:val="start"/>
      <w:textAlignment w:val="baseline"/>
      <w:outlineLvl w:val="3"/>
    </w:pPr>
    <w:rPr>
      <w:rFonts w:ascii="Arial" w:hAnsi="Arial"/>
      <w:sz w:val="24"/>
      <w:lang w:val="en-US" w:eastAsia="en-US"/>
    </w:rPr>
  </w:style>
  <w:style w:type="paragraph" w:styleId="Heading5">
    <w:name w:val="heading 5"/>
    <w:basedOn w:val="Heading"/>
    <w:qFormat/>
    <w:pPr>
      <w:widowControl/>
      <w:numPr>
        <w:ilvl w:val="4"/>
        <w:numId w:val="1"/>
      </w:numPr>
      <w:spacing w:before="240" w:after="240"/>
      <w:ind w:hanging="720" w:start="3600" w:end="0"/>
      <w:jc w:val="start"/>
      <w:textAlignment w:val="baseline"/>
      <w:outlineLvl w:val="4"/>
    </w:pPr>
    <w:rPr>
      <w:rFonts w:ascii="Arial" w:hAnsi="Arial"/>
      <w:sz w:val="24"/>
      <w:lang w:val="en-US" w:eastAsia="en-US"/>
    </w:rPr>
  </w:style>
  <w:style w:type="paragraph" w:styleId="Heading6">
    <w:name w:val="heading 6"/>
    <w:basedOn w:val="Heading"/>
    <w:qFormat/>
    <w:pPr>
      <w:widowControl/>
      <w:numPr>
        <w:ilvl w:val="5"/>
        <w:numId w:val="1"/>
      </w:numPr>
      <w:spacing w:before="240" w:after="240"/>
      <w:ind w:hanging="720" w:start="4320" w:end="0"/>
      <w:jc w:val="start"/>
      <w:textAlignment w:val="baseline"/>
      <w:outlineLvl w:val="5"/>
    </w:pPr>
    <w:rPr>
      <w:rFonts w:ascii="Arial" w:hAnsi="Arial"/>
      <w:sz w:val="24"/>
      <w:lang w:val="en-US" w:eastAsia="en-US"/>
    </w:rPr>
  </w:style>
  <w:style w:type="paragraph" w:styleId="Heading7">
    <w:name w:val="heading 7"/>
    <w:basedOn w:val="Heading"/>
    <w:qFormat/>
    <w:pPr>
      <w:widowControl/>
      <w:numPr>
        <w:ilvl w:val="6"/>
        <w:numId w:val="1"/>
      </w:numPr>
      <w:spacing w:before="240" w:after="240"/>
      <w:ind w:hanging="720" w:start="5040" w:end="0"/>
      <w:jc w:val="start"/>
      <w:textAlignment w:val="baseline"/>
      <w:outlineLvl w:val="6"/>
    </w:pPr>
    <w:rPr>
      <w:rFonts w:ascii="Arial" w:hAnsi="Arial"/>
      <w:sz w:val="24"/>
      <w:lang w:val="en-US" w:eastAsia="en-US"/>
    </w:rPr>
  </w:style>
  <w:style w:type="paragraph" w:styleId="Heading8">
    <w:name w:val="heading 8"/>
    <w:basedOn w:val="Heading"/>
    <w:qFormat/>
    <w:pPr>
      <w:widowControl/>
      <w:numPr>
        <w:ilvl w:val="7"/>
        <w:numId w:val="1"/>
      </w:numPr>
      <w:spacing w:before="240" w:after="240"/>
      <w:ind w:hanging="720" w:start="5760" w:end="0"/>
      <w:jc w:val="start"/>
      <w:textAlignment w:val="baseline"/>
      <w:outlineLvl w:val="7"/>
    </w:pPr>
    <w:rPr>
      <w:rFonts w:ascii="Arial" w:hAnsi="Arial"/>
      <w:sz w:val="24"/>
      <w:lang w:val="en-US" w:eastAsia="en-US"/>
    </w:rPr>
  </w:style>
  <w:style w:type="paragraph" w:styleId="Heading9">
    <w:name w:val="heading 9"/>
    <w:basedOn w:val="Heading"/>
    <w:qFormat/>
    <w:pPr>
      <w:widowControl/>
      <w:numPr>
        <w:ilvl w:val="8"/>
        <w:numId w:val="1"/>
      </w:numPr>
      <w:spacing w:before="240" w:after="240"/>
      <w:ind w:hanging="720" w:start="6480" w:end="0"/>
      <w:jc w:val="start"/>
      <w:textAlignment w:val="baseline"/>
      <w:outlineLvl w:val="8"/>
    </w:pPr>
    <w:rPr>
      <w:rFonts w:ascii="Arial" w:hAnsi="Arial"/>
      <w:sz w:val="24"/>
      <w:lang w:val="en-US" w:eastAsia="en-U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CommentReference">
    <w:name w:val="annotation reference"/>
    <w:basedOn w:val="DefaultParagraphFont"/>
    <w:qFormat/>
    <w:rPr>
      <w:color w:val="0000FF"/>
      <w:sz w:val="20"/>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0" w:after="240"/>
      <w:ind w:firstLine="720" w:start="0" w:end="0"/>
      <w:jc w:val="start"/>
      <w:textAlignment w:val="baseline"/>
    </w:pPr>
    <w:rPr>
      <w:rFonts w:ascii="Arial" w:hAnsi="Arial"/>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680" w:leader="none"/>
        <w:tab w:val="right" w:pos="9360" w:leader="none"/>
      </w:tabs>
      <w:ind w:hanging="0" w:start="0" w:end="0"/>
      <w:jc w:val="start"/>
      <w:textAlignment w:val="baseline"/>
    </w:pPr>
    <w:rPr>
      <w:rFonts w:ascii="Arial" w:hAnsi="Arial"/>
      <w:sz w:val="24"/>
      <w:lang w:val="en-US" w:eastAsia="en-US"/>
    </w:rPr>
  </w:style>
  <w:style w:type="paragraph" w:styleId="Footer">
    <w:name w:val="footer"/>
    <w:basedOn w:val="Normal"/>
    <w:pPr>
      <w:widowControl/>
      <w:tabs>
        <w:tab w:val="clear" w:pos="720"/>
        <w:tab w:val="center" w:pos="4680" w:leader="none"/>
        <w:tab w:val="right" w:pos="9360" w:leader="none"/>
      </w:tabs>
      <w:ind w:hanging="0" w:start="0" w:end="0"/>
      <w:jc w:val="start"/>
      <w:textAlignment w:val="baseline"/>
    </w:pPr>
    <w:rPr>
      <w:rFonts w:ascii="Arial" w:hAnsi="Arial"/>
      <w:sz w:val="24"/>
      <w:lang w:val="en-US" w:eastAsia="en-US"/>
    </w:rPr>
  </w:style>
  <w:style w:type="paragraph" w:styleId="FootnoteText">
    <w:name w:val="footnote text"/>
    <w:basedOn w:val="Normal"/>
    <w:pPr>
      <w:widowControl/>
      <w:spacing w:before="0" w:after="120"/>
      <w:ind w:firstLine="720" w:start="0" w:end="0"/>
      <w:jc w:val="start"/>
      <w:textAlignment w:val="baseline"/>
    </w:pPr>
    <w:rPr>
      <w:rFonts w:ascii="Arial" w:hAnsi="Arial"/>
      <w:sz w:val="24"/>
      <w:lang w:val="en-US" w:eastAsia="en-US"/>
    </w:rPr>
  </w:style>
  <w:style w:type="paragraph" w:styleId="Index1">
    <w:name w:val="index 1"/>
    <w:basedOn w:val="Normal"/>
    <w:next w:val="Normal"/>
    <w:autoRedefine/>
    <w:pPr>
      <w:widowControl/>
      <w:tabs>
        <w:tab w:val="clear" w:pos="720"/>
        <w:tab w:val="right" w:pos="9360" w:leader="dot"/>
      </w:tabs>
      <w:ind w:hanging="240" w:start="240" w:end="0"/>
      <w:jc w:val="start"/>
      <w:textAlignment w:val="baseline"/>
    </w:pPr>
    <w:rPr>
      <w:rFonts w:ascii="Arial" w:hAnsi="Arial"/>
      <w:sz w:val="24"/>
      <w:lang w:val="en-US" w:eastAsia="en-US"/>
    </w:rPr>
  </w:style>
  <w:style w:type="paragraph" w:styleId="ListNumber4">
    <w:name w:val="List Number 4"/>
    <w:basedOn w:val="Normal"/>
    <w:pPr>
      <w:widowControl/>
      <w:ind w:hanging="360" w:start="1440" w:end="0"/>
      <w:jc w:val="start"/>
      <w:textAlignment w:val="baseline"/>
    </w:pPr>
    <w:rPr>
      <w:rFonts w:ascii="Arial" w:hAnsi="Arial"/>
      <w:sz w:val="24"/>
      <w:lang w:val="en-US" w:eastAsia="en-US"/>
    </w:rPr>
  </w:style>
  <w:style w:type="paragraph" w:styleId="NormalIndent">
    <w:name w:val="Normal Indent"/>
    <w:basedOn w:val="Normal"/>
    <w:qFormat/>
    <w:pPr>
      <w:widowControl/>
      <w:ind w:hanging="0" w:start="720" w:end="0"/>
      <w:jc w:val="start"/>
      <w:textAlignment w:val="baseline"/>
    </w:pPr>
    <w:rPr>
      <w:rFonts w:ascii="Arial" w:hAnsi="Arial"/>
      <w:sz w:val="24"/>
      <w:lang w:val="en-US" w:eastAsia="en-US"/>
    </w:rPr>
  </w:style>
  <w:style w:type="paragraph" w:styleId="Closing">
    <w:name w:val="Closing"/>
    <w:basedOn w:val="Normal"/>
    <w:pPr>
      <w:widowControl/>
      <w:ind w:hanging="0" w:start="4680" w:end="0"/>
      <w:jc w:val="start"/>
      <w:textAlignment w:val="baseline"/>
    </w:pPr>
    <w:rPr>
      <w:rFonts w:ascii="Arial" w:hAnsi="Arial"/>
      <w:sz w:val="24"/>
      <w:lang w:val="en-US" w:eastAsia="en-US"/>
    </w:rPr>
  </w:style>
  <w:style w:type="paragraph" w:styleId="EndnoteText">
    <w:name w:val="endnote text"/>
    <w:basedOn w:val="Normal"/>
    <w:pPr>
      <w:widowControl/>
      <w:spacing w:before="0" w:after="120"/>
      <w:ind w:hanging="0" w:start="0" w:end="0"/>
      <w:jc w:val="start"/>
      <w:textAlignment w:val="baseline"/>
    </w:pPr>
    <w:rPr>
      <w:rFonts w:ascii="Arial" w:hAnsi="Arial"/>
      <w:sz w:val="24"/>
      <w:lang w:val="en-US" w:eastAsia="en-US"/>
    </w:rPr>
  </w:style>
  <w:style w:type="paragraph" w:styleId="HeadingBase">
    <w:name w:val="Heading Base"/>
    <w:basedOn w:val="Normal"/>
    <w:next w:val="BodyText"/>
    <w:qFormat/>
    <w:pPr>
      <w:widowControl/>
      <w:spacing w:before="240" w:after="240"/>
      <w:ind w:hanging="0" w:start="0" w:end="0"/>
      <w:jc w:val="start"/>
      <w:textAlignment w:val="baseline"/>
    </w:pPr>
    <w:rPr>
      <w:rFonts w:ascii="Arial" w:hAnsi="Arial"/>
      <w:sz w:val="24"/>
      <w:lang w:val="en-US" w:eastAsia="en-US"/>
    </w:rPr>
  </w:style>
  <w:style w:type="paragraph" w:styleId="HeadingBody1">
    <w:name w:val="Heading Body 1"/>
    <w:basedOn w:val="BodyText"/>
    <w:qFormat/>
    <w:pPr>
      <w:widowControl/>
      <w:spacing w:before="0" w:after="240"/>
      <w:ind w:hanging="0" w:start="720" w:end="0"/>
      <w:jc w:val="start"/>
      <w:textAlignment w:val="baseline"/>
    </w:pPr>
    <w:rPr>
      <w:rFonts w:ascii="Arial" w:hAnsi="Arial"/>
      <w:sz w:val="24"/>
      <w:lang w:val="en-US" w:eastAsia="en-US"/>
    </w:rPr>
  </w:style>
  <w:style w:type="paragraph" w:styleId="CenteredHeading">
    <w:name w:val="Centered Heading"/>
    <w:basedOn w:val="HeadingBase"/>
    <w:next w:val="BodyText"/>
    <w:qFormat/>
    <w:pPr>
      <w:widowControl/>
      <w:spacing w:before="0" w:after="240"/>
      <w:ind w:hanging="0" w:start="0" w:end="0"/>
      <w:jc w:val="center"/>
      <w:textAlignment w:val="baseline"/>
    </w:pPr>
    <w:rPr>
      <w:rFonts w:ascii="Arial" w:hAnsi="Arial"/>
      <w:sz w:val="24"/>
      <w:u w:val="single"/>
      <w:lang w:val="en-US" w:eastAsia="en-US"/>
    </w:rPr>
  </w:style>
  <w:style w:type="paragraph" w:styleId="IndexHeading">
    <w:name w:val="index heading"/>
    <w:basedOn w:val="Normal"/>
    <w:next w:val="Index1"/>
    <w:pPr>
      <w:widowControl/>
      <w:ind w:hanging="0" w:start="0" w:end="0"/>
      <w:jc w:val="start"/>
      <w:textAlignment w:val="baseline"/>
    </w:pPr>
    <w:rPr>
      <w:rFonts w:ascii="Arial" w:hAnsi="Arial"/>
      <w:b/>
      <w:sz w:val="24"/>
      <w:lang w:val="en-US" w:eastAsia="en-US"/>
    </w:rPr>
  </w:style>
  <w:style w:type="paragraph" w:styleId="Signature">
    <w:name w:val="Signature"/>
    <w:basedOn w:val="Normal"/>
    <w:pPr>
      <w:widowControl/>
      <w:ind w:hanging="0" w:start="4680" w:end="0"/>
      <w:jc w:val="start"/>
      <w:textAlignment w:val="baseline"/>
    </w:pPr>
    <w:rPr>
      <w:rFonts w:ascii="Arial" w:hAnsi="Arial"/>
      <w:sz w:val="24"/>
      <w:lang w:val="en-US" w:eastAsia="en-US"/>
    </w:rPr>
  </w:style>
  <w:style w:type="paragraph" w:styleId="toaheading">
    <w:name w:val="toa heading"/>
    <w:basedOn w:val="Normal"/>
    <w:next w:val="Normal"/>
    <w:qFormat/>
    <w:pPr>
      <w:widowControl/>
      <w:spacing w:before="0" w:after="240"/>
      <w:ind w:hanging="0" w:start="0" w:end="0"/>
      <w:jc w:val="start"/>
      <w:textAlignment w:val="baseline"/>
    </w:pPr>
    <w:rPr>
      <w:rFonts w:ascii="Arial" w:hAnsi="Arial"/>
      <w:b/>
      <w:sz w:val="24"/>
      <w:lang w:val="en-US" w:eastAsia="en-US"/>
    </w:rPr>
  </w:style>
  <w:style w:type="paragraph" w:styleId="TOC9">
    <w:name w:val="toc 9"/>
    <w:basedOn w:val="Normal"/>
    <w:next w:val="Normal"/>
    <w:autoRedefine/>
    <w:pPr>
      <w:widowControl/>
      <w:tabs>
        <w:tab w:val="clear" w:pos="720"/>
        <w:tab w:val="left" w:pos="5760" w:leader="none"/>
        <w:tab w:val="right" w:pos="9360" w:leader="dot"/>
      </w:tabs>
      <w:ind w:hanging="720" w:start="6480" w:end="0"/>
      <w:jc w:val="start"/>
      <w:textAlignment w:val="baseline"/>
    </w:pPr>
    <w:rPr>
      <w:rFonts w:ascii="Arial" w:hAnsi="Arial"/>
      <w:sz w:val="24"/>
      <w:lang w:val="en-US" w:eastAsia="en-US"/>
    </w:rPr>
  </w:style>
  <w:style w:type="paragraph" w:styleId="Quote">
    <w:name w:val="Quote"/>
    <w:basedOn w:val="Normal"/>
    <w:next w:val="BodyText"/>
    <w:qFormat/>
    <w:pPr>
      <w:widowControl/>
      <w:spacing w:before="0" w:after="240"/>
      <w:ind w:hanging="0" w:start="1440" w:end="1440"/>
      <w:jc w:val="start"/>
      <w:textAlignment w:val="baseline"/>
    </w:pPr>
    <w:rPr>
      <w:rFonts w:ascii="Arial" w:hAnsi="Arial"/>
      <w:sz w:val="24"/>
      <w:lang w:val="en-US" w:eastAsia="en-US"/>
    </w:rPr>
  </w:style>
  <w:style w:type="paragraph" w:styleId="HeadingBody2">
    <w:name w:val="Heading Body 2"/>
    <w:basedOn w:val="BodyText"/>
    <w:qFormat/>
    <w:pPr>
      <w:widowControl/>
      <w:spacing w:before="0" w:after="240"/>
      <w:ind w:hanging="0" w:start="1440" w:end="0"/>
      <w:jc w:val="start"/>
      <w:textAlignment w:val="baseline"/>
    </w:pPr>
    <w:rPr>
      <w:rFonts w:ascii="Arial" w:hAnsi="Arial"/>
      <w:sz w:val="24"/>
      <w:lang w:val="en-US" w:eastAsia="en-US"/>
    </w:rPr>
  </w:style>
  <w:style w:type="paragraph" w:styleId="HeadingBody3">
    <w:name w:val="Heading Body 3"/>
    <w:basedOn w:val="BodyText"/>
    <w:qFormat/>
    <w:pPr>
      <w:widowControl/>
      <w:spacing w:before="0" w:after="240"/>
      <w:ind w:hanging="0" w:start="2160" w:end="0"/>
      <w:jc w:val="start"/>
      <w:textAlignment w:val="baseline"/>
    </w:pPr>
    <w:rPr>
      <w:rFonts w:ascii="Arial" w:hAnsi="Arial"/>
      <w:sz w:val="24"/>
      <w:lang w:val="en-US" w:eastAsia="en-US"/>
    </w:rPr>
  </w:style>
  <w:style w:type="paragraph" w:styleId="HeadingBody4">
    <w:name w:val="Heading Body 4"/>
    <w:basedOn w:val="BodyText"/>
    <w:qFormat/>
    <w:pPr>
      <w:widowControl/>
      <w:spacing w:before="0" w:after="240"/>
      <w:ind w:hanging="0" w:start="2880" w:end="0"/>
      <w:jc w:val="start"/>
      <w:textAlignment w:val="baseline"/>
    </w:pPr>
    <w:rPr>
      <w:rFonts w:ascii="Arial" w:hAnsi="Arial"/>
      <w:sz w:val="24"/>
      <w:lang w:val="en-US" w:eastAsia="en-US"/>
    </w:rPr>
  </w:style>
  <w:style w:type="paragraph" w:styleId="HeadingBody5">
    <w:name w:val="Heading Body 5"/>
    <w:basedOn w:val="BodyText"/>
    <w:qFormat/>
    <w:pPr>
      <w:widowControl/>
      <w:spacing w:before="0" w:after="240"/>
      <w:ind w:hanging="0" w:start="3600" w:end="0"/>
      <w:jc w:val="start"/>
      <w:textAlignment w:val="baseline"/>
    </w:pPr>
    <w:rPr>
      <w:rFonts w:ascii="Arial" w:hAnsi="Arial"/>
      <w:sz w:val="24"/>
      <w:lang w:val="en-US" w:eastAsia="en-US"/>
    </w:rPr>
  </w:style>
  <w:style w:type="paragraph" w:styleId="HeadingBody6">
    <w:name w:val="Heading Body 6"/>
    <w:basedOn w:val="BodyText"/>
    <w:qFormat/>
    <w:pPr>
      <w:widowControl/>
      <w:spacing w:before="0" w:after="240"/>
      <w:ind w:hanging="0" w:start="4320" w:end="0"/>
      <w:jc w:val="start"/>
      <w:textAlignment w:val="baseline"/>
    </w:pPr>
    <w:rPr>
      <w:rFonts w:ascii="Arial" w:hAnsi="Arial"/>
      <w:sz w:val="24"/>
      <w:lang w:val="en-US" w:eastAsia="en-US"/>
    </w:rPr>
  </w:style>
  <w:style w:type="paragraph" w:styleId="HeadingBody7">
    <w:name w:val="Heading Body 7"/>
    <w:basedOn w:val="BodyText"/>
    <w:qFormat/>
    <w:pPr>
      <w:widowControl/>
      <w:spacing w:before="0" w:after="240"/>
      <w:ind w:hanging="0" w:start="5040" w:end="0"/>
      <w:jc w:val="start"/>
      <w:textAlignment w:val="baseline"/>
    </w:pPr>
    <w:rPr>
      <w:rFonts w:ascii="Arial" w:hAnsi="Arial"/>
      <w:sz w:val="24"/>
      <w:lang w:val="en-US" w:eastAsia="en-US"/>
    </w:rPr>
  </w:style>
  <w:style w:type="paragraph" w:styleId="HeadingBody8">
    <w:name w:val="Heading Body 8"/>
    <w:basedOn w:val="BodyText"/>
    <w:qFormat/>
    <w:pPr>
      <w:widowControl/>
      <w:spacing w:before="0" w:after="240"/>
      <w:ind w:hanging="0" w:start="5760" w:end="0"/>
      <w:jc w:val="start"/>
      <w:textAlignment w:val="baseline"/>
    </w:pPr>
    <w:rPr>
      <w:rFonts w:ascii="Arial" w:hAnsi="Arial"/>
      <w:sz w:val="24"/>
      <w:lang w:val="en-US" w:eastAsia="en-US"/>
    </w:rPr>
  </w:style>
  <w:style w:type="paragraph" w:styleId="HeadingBody9">
    <w:name w:val="Heading Body 9"/>
    <w:basedOn w:val="BodyText"/>
    <w:qFormat/>
    <w:pPr>
      <w:widowControl/>
      <w:spacing w:before="0" w:after="240"/>
      <w:ind w:hanging="0" w:start="6480" w:end="0"/>
      <w:jc w:val="start"/>
      <w:textAlignment w:val="baseline"/>
    </w:pPr>
    <w:rPr>
      <w:rFonts w:ascii="Arial" w:hAnsi="Arial"/>
      <w:sz w:val="24"/>
      <w:lang w:val="en-US" w:eastAsia="en-US"/>
    </w:rPr>
  </w:style>
  <w:style w:type="paragraph" w:styleId="TOC1">
    <w:name w:val="toc 1"/>
    <w:basedOn w:val="Normal"/>
    <w:next w:val="Normal"/>
    <w:autoRedefine/>
    <w:pPr>
      <w:widowControl/>
      <w:tabs>
        <w:tab w:val="clear" w:pos="720"/>
        <w:tab w:val="right" w:pos="9360" w:leader="dot"/>
      </w:tabs>
      <w:ind w:hanging="720" w:start="720" w:end="0"/>
      <w:jc w:val="start"/>
      <w:textAlignment w:val="baseline"/>
    </w:pPr>
    <w:rPr>
      <w:rFonts w:ascii="Arial" w:hAnsi="Arial"/>
      <w:sz w:val="24"/>
      <w:lang w:val="en-US" w:eastAsia="en-US"/>
    </w:rPr>
  </w:style>
  <w:style w:type="paragraph" w:styleId="TOC2">
    <w:name w:val="toc 2"/>
    <w:basedOn w:val="Normal"/>
    <w:next w:val="Normal"/>
    <w:autoRedefine/>
    <w:pPr>
      <w:widowControl/>
      <w:tabs>
        <w:tab w:val="left" w:pos="720" w:leader="none"/>
        <w:tab w:val="right" w:pos="9360" w:leader="dot"/>
      </w:tabs>
      <w:ind w:hanging="720" w:start="1440" w:end="0"/>
      <w:jc w:val="start"/>
      <w:textAlignment w:val="baseline"/>
    </w:pPr>
    <w:rPr>
      <w:rFonts w:ascii="Arial" w:hAnsi="Arial"/>
      <w:sz w:val="24"/>
      <w:lang w:val="en-US" w:eastAsia="en-US"/>
    </w:rPr>
  </w:style>
  <w:style w:type="paragraph" w:styleId="TOC3">
    <w:name w:val="toc 3"/>
    <w:basedOn w:val="Normal"/>
    <w:next w:val="Normal"/>
    <w:autoRedefine/>
    <w:pPr>
      <w:widowControl/>
      <w:tabs>
        <w:tab w:val="clear" w:pos="720"/>
        <w:tab w:val="left" w:pos="1440" w:leader="none"/>
        <w:tab w:val="right" w:pos="9360" w:leader="dot"/>
      </w:tabs>
      <w:ind w:hanging="720" w:start="2160" w:end="0"/>
      <w:jc w:val="start"/>
      <w:textAlignment w:val="baseline"/>
    </w:pPr>
    <w:rPr>
      <w:rFonts w:ascii="Arial" w:hAnsi="Arial"/>
      <w:sz w:val="24"/>
      <w:lang w:val="en-US" w:eastAsia="en-US"/>
    </w:rPr>
  </w:style>
  <w:style w:type="paragraph" w:styleId="TOC4">
    <w:name w:val="toc 4"/>
    <w:basedOn w:val="Normal"/>
    <w:next w:val="Normal"/>
    <w:autoRedefine/>
    <w:pPr>
      <w:widowControl/>
      <w:tabs>
        <w:tab w:val="clear" w:pos="720"/>
        <w:tab w:val="left" w:pos="2160" w:leader="none"/>
        <w:tab w:val="right" w:pos="9360" w:leader="dot"/>
      </w:tabs>
      <w:ind w:hanging="720" w:start="2880" w:end="0"/>
      <w:jc w:val="start"/>
      <w:textAlignment w:val="baseline"/>
    </w:pPr>
    <w:rPr>
      <w:rFonts w:ascii="Arial" w:hAnsi="Arial"/>
      <w:sz w:val="24"/>
      <w:lang w:val="en-US" w:eastAsia="en-US"/>
    </w:rPr>
  </w:style>
  <w:style w:type="paragraph" w:styleId="TOC5">
    <w:name w:val="toc 5"/>
    <w:basedOn w:val="Normal"/>
    <w:next w:val="Normal"/>
    <w:autoRedefine/>
    <w:pPr>
      <w:widowControl/>
      <w:tabs>
        <w:tab w:val="clear" w:pos="720"/>
        <w:tab w:val="left" w:pos="2880" w:leader="none"/>
        <w:tab w:val="right" w:pos="9360" w:leader="dot"/>
      </w:tabs>
      <w:ind w:hanging="720" w:start="3600" w:end="0"/>
      <w:jc w:val="start"/>
      <w:textAlignment w:val="baseline"/>
    </w:pPr>
    <w:rPr>
      <w:rFonts w:ascii="Arial" w:hAnsi="Arial"/>
      <w:sz w:val="24"/>
      <w:lang w:val="en-US" w:eastAsia="en-US"/>
    </w:rPr>
  </w:style>
  <w:style w:type="paragraph" w:styleId="TOC6">
    <w:name w:val="toc 6"/>
    <w:basedOn w:val="Normal"/>
    <w:next w:val="Normal"/>
    <w:autoRedefine/>
    <w:pPr>
      <w:widowControl/>
      <w:tabs>
        <w:tab w:val="clear" w:pos="720"/>
        <w:tab w:val="left" w:pos="3600" w:leader="none"/>
        <w:tab w:val="right" w:pos="9360" w:leader="dot"/>
      </w:tabs>
      <w:ind w:hanging="720" w:start="4320" w:end="0"/>
      <w:jc w:val="start"/>
      <w:textAlignment w:val="baseline"/>
    </w:pPr>
    <w:rPr>
      <w:rFonts w:ascii="Arial" w:hAnsi="Arial"/>
      <w:sz w:val="24"/>
      <w:lang w:val="en-US" w:eastAsia="en-US"/>
    </w:rPr>
  </w:style>
  <w:style w:type="paragraph" w:styleId="TOC7">
    <w:name w:val="toc 7"/>
    <w:basedOn w:val="Normal"/>
    <w:next w:val="Normal"/>
    <w:autoRedefine/>
    <w:pPr>
      <w:widowControl/>
      <w:tabs>
        <w:tab w:val="clear" w:pos="720"/>
        <w:tab w:val="left" w:pos="4320" w:leader="none"/>
        <w:tab w:val="right" w:pos="9360" w:leader="dot"/>
      </w:tabs>
      <w:ind w:hanging="720" w:start="5040" w:end="0"/>
      <w:jc w:val="start"/>
      <w:textAlignment w:val="baseline"/>
    </w:pPr>
    <w:rPr>
      <w:rFonts w:ascii="Arial" w:hAnsi="Arial"/>
      <w:sz w:val="24"/>
      <w:lang w:val="en-US" w:eastAsia="en-US"/>
    </w:rPr>
  </w:style>
  <w:style w:type="paragraph" w:styleId="TOC8">
    <w:name w:val="toc 8"/>
    <w:basedOn w:val="Normal"/>
    <w:next w:val="Normal"/>
    <w:autoRedefine/>
    <w:pPr>
      <w:widowControl/>
      <w:tabs>
        <w:tab w:val="clear" w:pos="720"/>
        <w:tab w:val="left" w:pos="5040" w:leader="none"/>
        <w:tab w:val="right" w:pos="9360" w:leader="dot"/>
      </w:tabs>
      <w:ind w:hanging="720" w:start="5760" w:end="0"/>
      <w:jc w:val="start"/>
      <w:textAlignment w:val="baseline"/>
    </w:pPr>
    <w:rPr>
      <w:rFonts w:ascii="Arial" w:hAnsi="Arial"/>
      <w:sz w:val="24"/>
      <w:lang w:val="en-US" w:eastAsia="en-US"/>
    </w:rPr>
  </w:style>
  <w:style w:type="paragraph" w:styleId="DocumentMap">
    <w:name w:val="Document Map"/>
    <w:basedOn w:val="Normal"/>
    <w:qFormat/>
    <w:pPr>
      <w:widowControl/>
      <w:shd w:fill="000080"/>
      <w:ind w:hanging="0" w:start="0" w:end="0"/>
      <w:jc w:val="start"/>
      <w:textAlignment w:val="baseline"/>
    </w:pPr>
    <w:rPr>
      <w:rFonts w:ascii="Tahoma" w:hAnsi="Tahoma"/>
      <w:sz w:val="24"/>
      <w:lang w:val="en-US" w:eastAsia="en-US"/>
    </w:rPr>
  </w:style>
  <w:style w:type="paragraph" w:styleId="CommentText">
    <w:name w:val="annotation text"/>
    <w:basedOn w:val="Normal"/>
    <w:pPr>
      <w:widowControl/>
      <w:ind w:hanging="0" w:start="0" w:end="0"/>
      <w:jc w:val="start"/>
      <w:textAlignment w:val="baseline"/>
    </w:pPr>
    <w:rPr>
      <w:rFonts w:ascii="Arial" w:hAnsi="Arial"/>
      <w:sz w:val="20"/>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3890</Words>
  <Characters>27234</Characters>
  <CharactersWithSpaces>22177</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2001-01-08T12:14:00Z</dcterms:created>
  <dc:creator>03632</dc:creator>
  <dc:description/>
  <dc:language>en-CA</dc:language>
  <cp:lastModifiedBy/>
  <cp:lastPrinted>2001-01-08T12:07:00Z</cp:lastPrinted>
  <dcterms:modified xsi:type="dcterms:W3CDTF">2001-01-08T12:14:00Z</dcterms:modified>
  <cp:revision>2</cp:revision>
  <dc:subject/>
  <dc:title>Linking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V&amp;E</vt:lpwstr>
  </property>
</Properties>
</file>