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ind w:hanging="0" w:start="0"/>
              <w:rPr>
                <w:b w:val="false"/>
              </w:rPr>
            </w:pPr>
            <w:r>
              <w:rPr>
                <w:lang w:val="en-CA"/>
              </w:rPr>
              <w:drawing>
                <wp:inline distT="0" distB="0" distL="0" distR="0">
                  <wp:extent cx="868045" cy="8528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0" t="-50" r="-50" b="-50"/>
                          <a:stretch>
                            <a:fillRect/>
                          </a:stretch>
                        </pic:blipFill>
                        <pic:spPr bwMode="auto">
                          <a:xfrm>
                            <a:off x="0" y="0"/>
                            <a:ext cx="868045" cy="852805"/>
                          </a:xfrm>
                          <a:prstGeom prst="rect">
                            <a:avLst/>
                          </a:prstGeom>
                          <a:noFill/>
                        </pic:spPr>
                      </pic:pic>
                    </a:graphicData>
                  </a:graphic>
                </wp:inline>
              </w:drawing>
            </w:r>
          </w:p>
        </w:tc>
        <w:tc>
          <w:tcPr>
            <w:tcW w:w="4428" w:type="dxa"/>
            <w:tcBorders/>
          </w:tcPr>
          <w:p>
            <w:pPr>
              <w:pStyle w:val="Heading1"/>
              <w:spacing w:lineRule="exact" w:line="240"/>
              <w:ind w:hanging="0" w:start="1339" w:end="0"/>
              <w:rPr>
                <w:rFonts w:ascii="Antique Olive" w:hAnsi="Antique Olive" w:cs="Antique Olive"/>
                <w:sz w:val="18"/>
              </w:rPr>
            </w:pPr>
            <w:r>
              <w:rPr>
                <w:rFonts w:cs="Antique Olive" w:ascii="Antique Olive" w:hAnsi="Antique Olive"/>
                <w:sz w:val="18"/>
              </w:rPr>
              <w:t>Enron North America</w:t>
            </w:r>
          </w:p>
          <w:p>
            <w:pPr>
              <w:pStyle w:val="Normal"/>
              <w:rPr/>
            </w:pPr>
            <w:r>
              <w:rPr/>
              <w:t xml:space="preserve">                           </w:t>
            </w:r>
            <w:r>
              <w:rPr>
                <w:sz w:val="16"/>
              </w:rPr>
              <w:t>1400 Smith Street</w:t>
            </w:r>
          </w:p>
          <w:p>
            <w:pPr>
              <w:pStyle w:val="Normal"/>
              <w:rPr>
                <w:sz w:val="16"/>
              </w:rPr>
            </w:pPr>
            <w:r>
              <w:rPr>
                <w:sz w:val="16"/>
              </w:rPr>
              <w:t xml:space="preserve">                                 </w:t>
            </w:r>
            <w:r>
              <w:rPr>
                <w:sz w:val="16"/>
              </w:rPr>
              <w:t>Houston,TX 77002-7361</w:t>
            </w:r>
          </w:p>
          <w:p>
            <w:pPr>
              <w:pStyle w:val="Normal"/>
              <w:rPr/>
            </w:pPr>
            <w:r>
              <w:rPr/>
            </w:r>
          </w:p>
          <w:p>
            <w:pPr>
              <w:pStyle w:val="Heading1"/>
              <w:spacing w:lineRule="exact" w:line="240"/>
              <w:ind w:hanging="0" w:start="1339" w:end="0"/>
              <w:rPr>
                <w:rFonts w:ascii="Times New Roman" w:hAnsi="Times New Roman" w:cs="Times New Roman"/>
                <w:b w:val="false"/>
                <w:sz w:val="16"/>
              </w:rPr>
            </w:pPr>
            <w:r>
              <w:rPr>
                <w:rFonts w:cs="Times New Roman" w:ascii="Times New Roman" w:hAnsi="Times New Roman"/>
                <w:b w:val="false"/>
                <w:sz w:val="16"/>
              </w:rPr>
              <w:t>P.O. Box 1188</w:t>
            </w:r>
          </w:p>
          <w:p>
            <w:pPr>
              <w:pStyle w:val="Heading1"/>
              <w:spacing w:lineRule="exact" w:line="240"/>
              <w:ind w:hanging="0" w:start="1339" w:end="0"/>
              <w:rPr>
                <w:rFonts w:ascii="Antique Olive" w:hAnsi="Antique Olive" w:cs="Antique Olive"/>
                <w:b w:val="false"/>
                <w:sz w:val="16"/>
              </w:rPr>
            </w:pPr>
            <w:r>
              <w:rPr>
                <w:rFonts w:cs="Times New Roman" w:ascii="Times New Roman" w:hAnsi="Times New Roman"/>
                <w:b w:val="false"/>
                <w:sz w:val="16"/>
              </w:rPr>
              <w:t>Houston, TX  77251-1188</w:t>
            </w:r>
          </w:p>
        </w:tc>
      </w:tr>
    </w:tbl>
    <w:p>
      <w:pPr>
        <w:pStyle w:val="Normal"/>
        <w:rPr>
          <w:sz w:val="22"/>
        </w:rPr>
      </w:pPr>
      <w:r>
        <w:rPr>
          <w:sz w:val="22"/>
        </w:rPr>
        <w:t xml:space="preserve"> </w:t>
      </w:r>
    </w:p>
    <w:p>
      <w:pPr>
        <w:pStyle w:val="Normal"/>
        <w:rPr>
          <w:sz w:val="22"/>
        </w:rPr>
      </w:pPr>
      <w:r>
        <w:rPr>
          <w:sz w:val="22"/>
        </w:rPr>
      </w:r>
    </w:p>
    <w:p>
      <w:pPr>
        <w:pStyle w:val="Heading3"/>
        <w:ind w:hanging="0" w:start="0"/>
        <w:rPr>
          <w:sz w:val="28"/>
        </w:rPr>
      </w:pPr>
      <w:r>
        <w:rPr>
          <w:sz w:val="28"/>
        </w:rPr>
        <w:t>Term Sheet</w:t>
      </w:r>
    </w:p>
    <w:p>
      <w:pPr>
        <w:pStyle w:val="Normal"/>
        <w:rPr>
          <w:sz w:val="22"/>
        </w:rPr>
      </w:pPr>
      <w:r>
        <w:rPr>
          <w:sz w:val="22"/>
        </w:rPr>
      </w:r>
    </w:p>
    <w:p>
      <w:pPr>
        <w:pStyle w:val="Normal"/>
        <w:rPr>
          <w:sz w:val="22"/>
        </w:rPr>
      </w:pPr>
      <w:r>
        <w:rPr>
          <w:sz w:val="22"/>
        </w:rPr>
        <w:t>The purpose of this “Term Sheet” is to identify key commercial terms and conditions of a potential transaction entered into between Enron North America Corp. and Hylsamex.</w:t>
      </w:r>
    </w:p>
    <w:p>
      <w:pPr>
        <w:pStyle w:val="Normal"/>
        <w:rPr>
          <w:sz w:val="22"/>
        </w:rPr>
      </w:pPr>
      <w:r>
        <w:rPr>
          <w:sz w:val="22"/>
        </w:rPr>
      </w:r>
    </w:p>
    <w:p>
      <w:pPr>
        <w:pStyle w:val="Normal"/>
        <w:rPr>
          <w:sz w:val="22"/>
        </w:rPr>
      </w:pPr>
      <w:r>
        <w:rPr>
          <w:sz w:val="22"/>
        </w:rPr>
      </w:r>
    </w:p>
    <w:p>
      <w:pPr>
        <w:pStyle w:val="Heading3"/>
        <w:ind w:hanging="0" w:start="0"/>
        <w:rPr/>
      </w:pPr>
      <w:r>
        <w:rPr/>
        <w:t>Transaction Description</w:t>
      </w:r>
    </w:p>
    <w:p>
      <w:pPr>
        <w:pStyle w:val="Normal"/>
        <w:rPr>
          <w:sz w:val="22"/>
        </w:rPr>
      </w:pPr>
      <w:r>
        <w:rPr>
          <w:sz w:val="22"/>
        </w:rPr>
        <w:t xml:space="preserve">A Natural Gas financial swap transaction. In this Transaction the Fixed Price Payer (defined below) pays a fixed price per Calculation Period, and the Floating Price Payer (defined below) pays a floating price per Calculation Period. </w:t>
      </w:r>
    </w:p>
    <w:p>
      <w:pPr>
        <w:pStyle w:val="Normal"/>
        <w:rPr>
          <w:sz w:val="22"/>
        </w:rPr>
      </w:pPr>
      <w:r>
        <w:rPr>
          <w:sz w:val="22"/>
        </w:rPr>
      </w:r>
    </w:p>
    <w:p>
      <w:pPr>
        <w:pStyle w:val="Normal"/>
        <w:rPr>
          <w:sz w:val="22"/>
        </w:rPr>
      </w:pPr>
      <w:r>
        <w:rPr>
          <w:sz w:val="22"/>
        </w:rPr>
      </w:r>
    </w:p>
    <w:p>
      <w:pPr>
        <w:pStyle w:val="Normal"/>
        <w:jc w:val="both"/>
        <w:rPr>
          <w:color w:val="000000"/>
          <w:sz w:val="22"/>
        </w:rPr>
      </w:pPr>
      <w:r>
        <w:rPr>
          <w:b/>
          <w:color w:val="000000"/>
          <w:sz w:val="22"/>
          <w:u w:val="single"/>
        </w:rPr>
        <w:t>General Terms:</w:t>
      </w:r>
    </w:p>
    <w:p>
      <w:pPr>
        <w:pStyle w:val="Normal"/>
        <w:rPr>
          <w:b/>
          <w:color w:val="000000"/>
          <w:sz w:val="22"/>
        </w:rPr>
      </w:pPr>
      <w:r>
        <w:rPr>
          <w:b/>
          <w:color w:val="000000"/>
          <w:sz w:val="22"/>
        </w:rPr>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jc w:val="both"/>
              <w:rPr>
                <w:sz w:val="22"/>
              </w:rPr>
            </w:pPr>
            <w:r>
              <w:rPr>
                <w:sz w:val="22"/>
              </w:rPr>
              <w:t>50,000 MMBtu/day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tabs>
                <w:tab w:val="clear" w:pos="720"/>
                <w:tab w:val="left" w:pos="1332" w:leader="none"/>
              </w:tabs>
              <w:rPr>
                <w:sz w:val="22"/>
              </w:rPr>
            </w:pPr>
            <w:r>
              <w:rPr>
                <w:sz w:val="22"/>
              </w:rPr>
              <w:t>[To Be Determined]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January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December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2000 and ending on December 31, 2001.</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t>Hylsamex</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$3.75 per MMBtu</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FootnoteText"/>
        <w:rPr>
          <w:b/>
          <w:sz w:val="22"/>
        </w:rPr>
      </w:pPr>
      <w:r>
        <w:rPr>
          <w:b/>
          <w:sz w:val="22"/>
        </w:rPr>
      </w:r>
    </w:p>
    <w:p>
      <w:pPr>
        <w:pStyle w:val="Normal"/>
        <w:jc w:val="both"/>
        <w:rPr>
          <w:sz w:val="22"/>
        </w:rPr>
      </w:pPr>
      <w:r>
        <w:rPr>
          <w:sz w:val="22"/>
        </w:rPr>
        <w:tab/>
        <w:t>Floating Price Payor:</w:t>
        <w:tab/>
        <w:tab/>
        <w:tab/>
        <w:t>Enron North America Corp.</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t>The arithmetic average of the prices for each of the following:  1)  The Texas Eastern Transmission Corp. – South Texas Zone Index price for delivery during the applicable Calculation Period in the “Prices of Spot Gas Delivered to Pipelines” section located in the first issue of Inside F.E.R.C.’s Gas Market Report published during the applicable Calculation Period; and 2)  The PG&amp;E Gas Transmission L.P. – Texas Index price for delivery during the applicable Calculation Period in the “Prices of Spot Gas Delivered to Pipelines” section located in the first issue of Inside F.E.R.C.’s Gas Market Report published during the applicable Calculation Period</w:t>
            </w:r>
          </w:p>
        </w:tc>
      </w:tr>
    </w:tbl>
    <w:p>
      <w:pPr>
        <w:pStyle w:val="Normal"/>
        <w:rPr>
          <w:color w:val="000000"/>
          <w:sz w:val="22"/>
        </w:rPr>
      </w:pPr>
      <w:r>
        <w:rPr>
          <w:color w:val="000000"/>
          <w:sz w:val="22"/>
        </w:rPr>
      </w:r>
    </w:p>
    <w:p>
      <w:pPr>
        <w:pStyle w:val="Normal"/>
        <w:rPr>
          <w:color w:val="000000"/>
          <w:sz w:val="22"/>
        </w:rPr>
      </w:pPr>
      <w:r>
        <w:rPr>
          <w:color w:val="000000"/>
          <w:sz w:val="22"/>
        </w:rPr>
      </w:r>
    </w:p>
    <w:p>
      <w:pPr>
        <w:pStyle w:val="Normal"/>
        <w:rPr>
          <w:sz w:val="22"/>
        </w:rPr>
      </w:pPr>
      <w:r>
        <w:rPr>
          <w:sz w:val="22"/>
        </w:rPr>
      </w:r>
    </w:p>
    <w:p>
      <w:pPr>
        <w:pStyle w:val="BodyText"/>
        <w:rPr/>
      </w:pPr>
      <w:r>
        <w:rPr/>
        <w:t>THIS DISCUSSION SHEET DOES NOT CREATE A BINDING AND ENFORCEABLE CONTRACT BETWEEN ANY PARTY NOR CONSTITUTE A COMMITMENT OR OFFER OR COMMITMENT TO ANY PARTY OR PARTIES, BUT RATHER CONTAINS INDICATIVE TERMS AND IS INTENDED FOR DISCUSSION PURPOSES ONLY.  NO PARTY IS OBLIGATED TO ENTER INTO A CONTRACT NOR PURSUE ANY NEGOTIATIONS IN RESPECT THEREOF.  ALL TERMS ARE SUBJECT TO CHANGE UNTIL AGREEMENT AS TO A SPECIFIC TRANSACTION HAS BEEN REACHED AND EXECUTION BY THE PARTIES OF WRITTEN DEFINITIVE DOCUMENTATION CONTAINING ALL APPROPRIATE PROVISIONS.</w:t>
      </w:r>
    </w:p>
    <w:p>
      <w:pPr>
        <w:pStyle w:val="Normal"/>
        <w:rPr>
          <w:sz w:val="22"/>
        </w:rPr>
      </w:pPr>
      <w:r>
        <w:rPr>
          <w:sz w:val="22"/>
        </w:rPr>
      </w:r>
    </w:p>
    <w:sectPr>
      <w:headerReference w:type="default" r:id="rId3"/>
      <w:footerReference w:type="default" r:id="rId4"/>
      <w:type w:val="nextPage"/>
      <w:pgSz w:w="12240" w:h="15840"/>
      <w:pgMar w:left="1800" w:right="1800"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mic Sans MS" w:hAnsi="Comic Sans MS" w:cs="Comic Sans MS"/>
      <w:b/>
      <w:i/>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outlineLvl w:val="2"/>
    </w:pPr>
    <w:rPr>
      <w:b/>
      <w:sz w:val="22"/>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2000-11-01T20:33:00Z</dcterms:created>
  <dc:creator>ghermans</dc:creator>
  <dc:description/>
  <dc:language>en-CA</dc:language>
  <cp:lastModifiedBy>tmckone</cp:lastModifiedBy>
  <cp:lastPrinted>2000-11-01T16:48:00Z</cp:lastPrinted>
  <dcterms:modified xsi:type="dcterms:W3CDTF">2000-11-01T22:25:00Z</dcterms:modified>
  <cp:revision>3</cp:revision>
  <dc:subject/>
  <dc:title>April 19, 2000</dc:title>
</cp:coreProperties>
</file>