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0" w:end="0"/>
        <w:rPr/>
      </w:pPr>
      <w:r>
        <w:rPr/>
        <w:t>NOTE ASSIGNMENT AND ACKNOWLEDGEMENT</w:t>
      </w:r>
    </w:p>
    <w:p>
      <w:pPr>
        <w:pStyle w:val="Normal"/>
        <w:rPr/>
      </w:pPr>
      <w:r>
        <w:rPr/>
      </w:r>
    </w:p>
    <w:p>
      <w:pPr>
        <w:pStyle w:val="Normal"/>
        <w:rPr/>
      </w:pPr>
      <w:r>
        <w:rPr/>
      </w:r>
    </w:p>
    <w:p>
      <w:pPr>
        <w:pStyle w:val="Normal"/>
        <w:rPr/>
      </w:pPr>
      <w:r>
        <w:rPr/>
        <w:t xml:space="preserve">This </w:t>
      </w:r>
      <w:r>
        <w:rPr>
          <w:b/>
          <w:bCs/>
        </w:rPr>
        <w:t>NOTE ASSIGNMENT AND ACKNOWLEDGEMENT</w:t>
      </w:r>
      <w:r>
        <w:rPr/>
        <w:t xml:space="preserve"> (this “</w:t>
      </w:r>
      <w:r>
        <w:rPr>
          <w:b/>
          <w:bCs/>
        </w:rPr>
        <w:t>Assignment</w:t>
      </w:r>
      <w:r>
        <w:rPr/>
        <w:t>”) is made effective as of [</w:t>
      </w:r>
      <w:r>
        <w:rPr>
          <w:highlight w:val="yellow"/>
        </w:rPr>
        <w:t>__________</w:t>
      </w:r>
      <w:r>
        <w:rPr/>
        <w:t xml:space="preserve">], 2000, from </w:t>
      </w:r>
      <w:r>
        <w:rPr>
          <w:b/>
          <w:bCs/>
          <w:caps/>
        </w:rPr>
        <w:t>Enron north america Corp.</w:t>
      </w:r>
      <w:r>
        <w:rPr/>
        <w:t>, a Delaware corporation (“</w:t>
      </w:r>
      <w:r>
        <w:rPr>
          <w:b/>
          <w:bCs/>
        </w:rPr>
        <w:t>Assignor</w:t>
      </w:r>
      <w:r>
        <w:rPr/>
        <w:t>” or “</w:t>
      </w:r>
      <w:r>
        <w:rPr>
          <w:b/>
          <w:bCs/>
        </w:rPr>
        <w:t>ENA</w:t>
      </w:r>
      <w:r>
        <w:rPr/>
        <w:t xml:space="preserve">”), to </w:t>
      </w:r>
      <w:r>
        <w:rPr>
          <w:b/>
          <w:bCs/>
          <w:caps/>
        </w:rPr>
        <w:t>Mesquite Investors, L.L.C.</w:t>
      </w:r>
      <w:r>
        <w:rPr/>
        <w:t>, a Delaware limited liability company (“</w:t>
      </w:r>
      <w:r>
        <w:rPr>
          <w:b/>
          <w:bCs/>
        </w:rPr>
        <w:t>Assignee</w:t>
      </w:r>
      <w:r>
        <w:rPr/>
        <w:t>”).</w:t>
      </w:r>
    </w:p>
    <w:p>
      <w:pPr>
        <w:pStyle w:val="Normal"/>
        <w:rPr/>
      </w:pPr>
      <w:r>
        <w:rPr/>
      </w:r>
    </w:p>
    <w:p>
      <w:pPr>
        <w:pStyle w:val="Heading1"/>
        <w:ind w:hanging="0" w:start="0" w:end="0"/>
        <w:rPr/>
      </w:pPr>
      <w:r>
        <w:rPr/>
        <w:t>ARTICLE I:  RECITALS</w:t>
      </w:r>
    </w:p>
    <w:p>
      <w:pPr>
        <w:pStyle w:val="Normal"/>
        <w:rPr/>
      </w:pPr>
      <w:r>
        <w:rPr/>
      </w:r>
    </w:p>
    <w:p>
      <w:pPr>
        <w:pStyle w:val="Normal"/>
        <w:rPr/>
      </w:pPr>
      <w:r>
        <w:rPr>
          <w:b/>
          <w:bCs/>
        </w:rPr>
        <w:t>WHEREAS</w:t>
      </w:r>
      <w:r>
        <w:rPr/>
        <w:t>, Assignor is the holder of certain outstanding subordinated promissory notes of East Coast Power L.L.C., a Delaware limited liability company (“</w:t>
      </w:r>
      <w:r>
        <w:rPr>
          <w:b/>
          <w:bCs/>
        </w:rPr>
        <w:t>East Coast</w:t>
      </w:r>
      <w:r>
        <w:rPr/>
        <w:t>”), in the aggregate principal amount of $[</w:t>
      </w:r>
      <w:r>
        <w:rPr>
          <w:highlight w:val="yellow"/>
        </w:rPr>
        <w:t>________</w:t>
      </w:r>
      <w:r>
        <w:rPr/>
        <w:t>] (the “</w:t>
      </w:r>
      <w:r>
        <w:rPr>
          <w:b/>
          <w:bCs/>
        </w:rPr>
        <w:t>Notes</w:t>
      </w:r>
      <w:r>
        <w:rPr/>
        <w:t>”) issued pursuant to that certain First Amended and Restated Credit and Subordination Agreement dated as of December 20, 1999, as amended by that certain First Amendment to First Amended and Restated Credit and Subordination Agreement dated as of December 29, 1999 (as amended, the “</w:t>
      </w:r>
      <w:r>
        <w:rPr>
          <w:b/>
          <w:bCs/>
        </w:rPr>
        <w:t>Credit Agreement</w:t>
      </w:r>
      <w:r>
        <w:rPr/>
        <w:t>”);</w:t>
      </w:r>
    </w:p>
    <w:p>
      <w:pPr>
        <w:pStyle w:val="Normal"/>
        <w:rPr/>
      </w:pPr>
      <w:r>
        <w:rPr/>
      </w:r>
    </w:p>
    <w:p>
      <w:pPr>
        <w:pStyle w:val="Normal"/>
        <w:rPr/>
      </w:pPr>
      <w:r>
        <w:rPr>
          <w:b/>
          <w:bCs/>
        </w:rPr>
        <w:t>WHEREAS,</w:t>
      </w:r>
      <w:r>
        <w:rPr/>
        <w:t xml:space="preserve"> ENA assigned a participation interest in the Note that evidences the obligation of East Coast to pay the first maturing $30,000,000 of principal installments on the loan under the Credit Agreement and interest payable in respect thereof (such Note, the “</w:t>
      </w:r>
      <w:r>
        <w:rPr>
          <w:b/>
          <w:bCs/>
        </w:rPr>
        <w:t>Senior Note</w:t>
      </w:r>
      <w:r>
        <w:rPr/>
        <w:t>”) pursuant to a Sale and Assignment of Senior Participation Interest dated as of December 22, 1999 by and among ENA and ENA CLO I Holding Company I L.P. (the “</w:t>
      </w:r>
      <w:r>
        <w:rPr>
          <w:b/>
          <w:bCs/>
        </w:rPr>
        <w:t>Participation Agreement</w:t>
      </w:r>
      <w:r>
        <w:rPr/>
        <w:t>”); and</w:t>
      </w:r>
    </w:p>
    <w:p>
      <w:pPr>
        <w:pStyle w:val="Normal"/>
        <w:rPr/>
      </w:pPr>
      <w:r>
        <w:rPr/>
      </w:r>
    </w:p>
    <w:p>
      <w:pPr>
        <w:pStyle w:val="Normal"/>
        <w:rPr/>
      </w:pPr>
      <w:r>
        <w:rPr>
          <w:b/>
          <w:bCs/>
        </w:rPr>
        <w:t>WHEREAS</w:t>
      </w:r>
      <w:r>
        <w:rPr/>
        <w:t>, pursuant to that certain Transaction Agreement dated as of November [</w:t>
      </w:r>
      <w:r>
        <w:rPr>
          <w:highlight w:val="yellow"/>
        </w:rPr>
        <w:t>__</w:t>
      </w:r>
      <w:r>
        <w:rPr/>
        <w:t>], 2000, Assignor agreed to sell, and Assignee agreed to purchase, the Notes (subject, in the case of the Senior Note, to the terms of the Participation Agreement).</w:t>
      </w:r>
    </w:p>
    <w:p>
      <w:pPr>
        <w:pStyle w:val="Normal"/>
        <w:rPr/>
      </w:pPr>
      <w:r>
        <w:rPr/>
      </w:r>
    </w:p>
    <w:p>
      <w:pPr>
        <w:pStyle w:val="Heading1"/>
        <w:ind w:hanging="0" w:start="0" w:end="0"/>
        <w:rPr/>
      </w:pPr>
      <w:r>
        <w:rPr/>
        <w:t>ARTICLE II:  GRANTING AND HABENDUM CLAUSE</w:t>
      </w:r>
    </w:p>
    <w:p>
      <w:pPr>
        <w:pStyle w:val="Normal"/>
        <w:rPr/>
      </w:pPr>
      <w:r>
        <w:rPr/>
      </w:r>
    </w:p>
    <w:p>
      <w:pPr>
        <w:pStyle w:val="Normal"/>
        <w:rPr/>
      </w:pPr>
      <w:r>
        <w:rPr>
          <w:b/>
          <w:bCs/>
        </w:rPr>
        <w:t>NOW THEREFORE</w:t>
      </w:r>
      <w:r>
        <w:rPr/>
        <w:t>, for good and valuable consideration, the receipt and sufficiency of which are hereby acknowledged, Assignor does hereby transfer, convey, set over, assign, contribute, and deliver the Notes unto Assignee.</w:t>
      </w:r>
    </w:p>
    <w:p>
      <w:pPr>
        <w:pStyle w:val="Normal"/>
        <w:rPr/>
      </w:pPr>
      <w:r>
        <w:rPr/>
      </w:r>
    </w:p>
    <w:p>
      <w:pPr>
        <w:pStyle w:val="Normal"/>
        <w:rPr/>
      </w:pPr>
      <w:r>
        <w:rPr>
          <w:b/>
          <w:bCs/>
        </w:rPr>
        <w:t>TO HAVE AND TO HOLD</w:t>
      </w:r>
      <w:r>
        <w:rPr/>
        <w:t xml:space="preserve"> the Notes unto Assignee and its successors and assigns, forever.</w:t>
      </w:r>
    </w:p>
    <w:p>
      <w:pPr>
        <w:pStyle w:val="Normal"/>
        <w:rPr/>
      </w:pPr>
      <w:r>
        <w:rPr/>
      </w:r>
    </w:p>
    <w:p>
      <w:pPr>
        <w:pStyle w:val="Heading1"/>
        <w:ind w:hanging="0" w:start="0" w:end="0"/>
        <w:rPr/>
      </w:pPr>
      <w:r>
        <w:rPr/>
        <w:t>ARTICLE III:  MISCELLANEOUS</w:t>
      </w:r>
    </w:p>
    <w:p>
      <w:pPr>
        <w:pStyle w:val="Normal"/>
        <w:rPr/>
      </w:pPr>
      <w:r>
        <w:rPr/>
      </w:r>
    </w:p>
    <w:p>
      <w:pPr>
        <w:pStyle w:val="Normal"/>
        <w:rPr/>
      </w:pPr>
      <w:r>
        <w:rPr>
          <w:b/>
          <w:bCs/>
          <w:i/>
          <w:iCs/>
        </w:rPr>
        <w:t>3.01</w:t>
        <w:tab/>
        <w:t>Effect of Transfer.</w:t>
      </w:r>
      <w:r>
        <w:rPr/>
        <w:t xml:space="preserve">  Assignee acknowledges that it is bound by the terms and conditions of the Credit Agreement, including all subordination provisions contained therein.  Assignee further acknowledges that its interest in and rights and obligations with respect to the Senior Note are subject to the terms of the Participation Agreement, and Assignee hereby assumes all of the obligations, duties and undertakings of ENA under such Participation Agreement.</w:t>
      </w:r>
    </w:p>
    <w:p>
      <w:pPr>
        <w:pStyle w:val="Normal"/>
        <w:rPr/>
      </w:pPr>
      <w:r>
        <w:rPr/>
      </w:r>
    </w:p>
    <w:p>
      <w:pPr>
        <w:pStyle w:val="Normal"/>
        <w:rPr/>
      </w:pPr>
      <w:r>
        <w:rPr>
          <w:b/>
          <w:bCs/>
          <w:i/>
          <w:iCs/>
        </w:rPr>
        <w:t>3.02</w:t>
        <w:tab/>
        <w:t>Further Assurances.</w:t>
      </w:r>
      <w:r>
        <w:rPr/>
        <w:t xml:space="preserve">  Assignor covenants and agrees to execute and deliver to Assignee all such other and additional conveyances, instruments and other documents and to do all such other acts and things as may be necessary to vest more fully in Assignee record title to the Notes and the respective properties, rights and interests herein granted or intended to be granted, and to put Assignee in actual possession of the Notes.</w:t>
      </w:r>
    </w:p>
    <w:p>
      <w:pPr>
        <w:pStyle w:val="Normal"/>
        <w:rPr/>
      </w:pPr>
      <w:r>
        <w:rPr/>
      </w:r>
    </w:p>
    <w:p>
      <w:pPr>
        <w:pStyle w:val="Normal"/>
        <w:rPr/>
      </w:pPr>
      <w:r>
        <w:rPr>
          <w:b/>
          <w:bCs/>
          <w:i/>
          <w:iCs/>
        </w:rPr>
        <w:t>3.03</w:t>
        <w:tab/>
        <w:t>Governing Law.</w:t>
      </w:r>
      <w:r>
        <w:rPr/>
        <w:t xml:space="preserve">  This Assignment shall be governed by, and construed in accordance with, the laws of the State of New York.</w:t>
      </w:r>
    </w:p>
    <w:p>
      <w:pPr>
        <w:pStyle w:val="Normal"/>
        <w:rPr/>
      </w:pPr>
      <w:r>
        <w:rPr/>
      </w:r>
    </w:p>
    <w:p>
      <w:pPr>
        <w:pStyle w:val="Normal"/>
        <w:rPr/>
      </w:pPr>
      <w:r>
        <w:rPr>
          <w:b/>
          <w:bCs/>
          <w:i/>
          <w:iCs/>
        </w:rPr>
        <w:t>3.04</w:t>
        <w:tab/>
        <w:t>Binding Effect.</w:t>
      </w:r>
      <w:r>
        <w:rPr/>
        <w:t xml:space="preserve">  This Assignment is binding on and shall inure to the benefit of Assignor and Assignee and their respective successors and assigns.  ENA CLO I Trust shall be a third-party beneficiary of this Assignment.</w:t>
      </w:r>
    </w:p>
    <w:p>
      <w:pPr>
        <w:pStyle w:val="Normal"/>
        <w:rPr/>
      </w:pPr>
      <w:r>
        <w:rPr/>
      </w:r>
    </w:p>
    <w:p>
      <w:pPr>
        <w:pStyle w:val="Normal"/>
        <w:rPr/>
      </w:pPr>
      <w:r>
        <w:rPr>
          <w:b/>
          <w:bCs/>
          <w:i/>
          <w:iCs/>
        </w:rPr>
        <w:t>3.05</w:t>
        <w:tab/>
        <w:t>Counterparts.</w:t>
      </w:r>
      <w:r>
        <w:rPr/>
        <w:t xml:space="preserve">  This Assignment may be executed in any number of counterparts, all of which, when taken together, shall constitute one and the same instrument and any number of parties hereto may execute this Assignment by signing any such counterpart.</w:t>
      </w:r>
    </w:p>
    <w:p>
      <w:pPr>
        <w:pStyle w:val="Normal"/>
        <w:rPr/>
      </w:pPr>
      <w:r>
        <w:rPr/>
      </w:r>
    </w:p>
    <w:p>
      <w:pPr>
        <w:pStyle w:val="Normal"/>
        <w:ind w:start="720" w:end="0"/>
        <w:rPr/>
      </w:pPr>
      <w:r>
        <w:rPr/>
        <w:t>Executed as of the date first written above.</w:t>
      </w:r>
    </w:p>
    <w:p>
      <w:pPr>
        <w:pStyle w:val="Normal"/>
        <w:rPr/>
      </w:pPr>
      <w:r>
        <w:rPr/>
      </w:r>
    </w:p>
    <w:p>
      <w:pPr>
        <w:pStyle w:val="Normal"/>
        <w:rPr/>
      </w:pPr>
      <w:r>
        <w:rPr/>
      </w:r>
    </w:p>
    <w:p>
      <w:pPr>
        <w:pStyle w:val="Normal"/>
        <w:ind w:hanging="0" w:start="5040" w:end="0"/>
        <w:rPr>
          <w:b/>
          <w:bCs/>
          <w:caps/>
        </w:rPr>
      </w:pPr>
      <w:r>
        <w:rPr>
          <w:b/>
          <w:bCs/>
        </w:rPr>
        <w:t>ENRON NORTH AMERICA CORP.</w:t>
      </w:r>
    </w:p>
    <w:p>
      <w:pPr>
        <w:pStyle w:val="Normal"/>
        <w:ind w:hanging="0" w:start="5040" w:end="0"/>
        <w:rPr>
          <w:b/>
          <w:bCs/>
          <w:caps/>
        </w:rPr>
      </w:pPr>
      <w:r>
        <w:rPr>
          <w:b/>
          <w:bCs/>
          <w:caps/>
        </w:rPr>
      </w:r>
    </w:p>
    <w:p>
      <w:pPr>
        <w:pStyle w:val="Normal"/>
        <w:ind w:hanging="0" w:start="5040" w:end="0"/>
        <w:rPr/>
      </w:pPr>
      <w:r>
        <w:rPr/>
      </w:r>
    </w:p>
    <w:p>
      <w:pPr>
        <w:pStyle w:val="Normal"/>
        <w:tabs>
          <w:tab w:val="clear" w:pos="720"/>
          <w:tab w:val="left" w:pos="5760" w:leader="none"/>
          <w:tab w:val="right" w:pos="9360" w:leader="none"/>
        </w:tabs>
        <w:spacing w:lineRule="auto" w:line="360"/>
        <w:ind w:hanging="0" w:start="5040" w:end="0"/>
        <w:rPr/>
      </w:pPr>
      <w:r>
        <w:rPr/>
        <w:t>By:</w:t>
        <w:tab/>
      </w:r>
      <w:r>
        <w:rPr>
          <w:u w:val="single"/>
        </w:rPr>
        <w:tab/>
      </w:r>
    </w:p>
    <w:p>
      <w:pPr>
        <w:pStyle w:val="Normal"/>
        <w:tabs>
          <w:tab w:val="clear" w:pos="720"/>
          <w:tab w:val="left" w:pos="5760" w:leader="none"/>
          <w:tab w:val="right" w:pos="9360" w:leader="none"/>
        </w:tabs>
        <w:spacing w:lineRule="auto" w:line="360"/>
        <w:ind w:hanging="0" w:start="5040" w:end="0"/>
        <w:rPr/>
      </w:pPr>
      <w:r>
        <w:rPr/>
        <w:t>Name:</w:t>
        <w:tab/>
      </w:r>
      <w:r>
        <w:rPr>
          <w:u w:val="single"/>
        </w:rPr>
        <w:tab/>
      </w:r>
    </w:p>
    <w:p>
      <w:pPr>
        <w:pStyle w:val="Normal"/>
        <w:tabs>
          <w:tab w:val="clear" w:pos="720"/>
          <w:tab w:val="left" w:pos="5760" w:leader="none"/>
          <w:tab w:val="right" w:pos="9360" w:leader="none"/>
        </w:tabs>
        <w:spacing w:lineRule="auto" w:line="360"/>
        <w:ind w:hanging="0" w:start="5040" w:end="0"/>
        <w:rPr/>
      </w:pPr>
      <w:r>
        <w:rPr/>
        <w:t>Title:</w:t>
        <w:tab/>
      </w:r>
      <w:r>
        <w:rPr>
          <w:u w:val="single"/>
        </w:rPr>
        <w:tab/>
      </w:r>
    </w:p>
    <w:p>
      <w:pPr>
        <w:pStyle w:val="Normal"/>
        <w:tabs>
          <w:tab w:val="clear" w:pos="720"/>
          <w:tab w:val="left" w:pos="5760" w:leader="none"/>
          <w:tab w:val="right" w:pos="9360" w:leader="none"/>
        </w:tabs>
        <w:ind w:hanging="0" w:start="5040" w:end="0"/>
        <w:rPr>
          <w:u w:val="single"/>
        </w:rPr>
      </w:pPr>
      <w:r>
        <w:rPr>
          <w:u w:val="single"/>
        </w:rPr>
      </w:r>
    </w:p>
    <w:p>
      <w:pPr>
        <w:pStyle w:val="Normal"/>
        <w:tabs>
          <w:tab w:val="clear" w:pos="720"/>
          <w:tab w:val="left" w:pos="5760" w:leader="none"/>
          <w:tab w:val="right" w:pos="9360" w:leader="none"/>
        </w:tabs>
        <w:ind w:hanging="0" w:start="5040" w:end="0"/>
        <w:rPr>
          <w:u w:val="single"/>
        </w:rPr>
      </w:pPr>
      <w:r>
        <w:rPr>
          <w:u w:val="single"/>
        </w:rPr>
      </w:r>
    </w:p>
    <w:p>
      <w:pPr>
        <w:pStyle w:val="Normal"/>
        <w:tabs>
          <w:tab w:val="clear" w:pos="720"/>
          <w:tab w:val="left" w:pos="5760" w:leader="none"/>
          <w:tab w:val="right" w:pos="9360" w:leader="none"/>
        </w:tabs>
        <w:ind w:hanging="0" w:start="5040" w:end="0"/>
        <w:rPr>
          <w:u w:val="single"/>
        </w:rPr>
      </w:pPr>
      <w:r>
        <w:rPr>
          <w:u w:val="single"/>
        </w:rPr>
      </w:r>
    </w:p>
    <w:p>
      <w:pPr>
        <w:pStyle w:val="Normal"/>
        <w:tabs>
          <w:tab w:val="clear" w:pos="720"/>
          <w:tab w:val="left" w:pos="5760" w:leader="none"/>
          <w:tab w:val="right" w:pos="9360" w:leader="none"/>
        </w:tabs>
        <w:ind w:hanging="0" w:start="5040" w:end="0"/>
        <w:rPr>
          <w:b/>
          <w:bCs/>
        </w:rPr>
      </w:pPr>
      <w:r>
        <w:rPr>
          <w:b/>
          <w:bCs/>
        </w:rPr>
        <w:t>MESQUITE INVESTORS, L.L.C.</w:t>
      </w:r>
    </w:p>
    <w:p>
      <w:pPr>
        <w:pStyle w:val="Normal"/>
        <w:tabs>
          <w:tab w:val="clear" w:pos="720"/>
          <w:tab w:val="left" w:pos="5760" w:leader="none"/>
          <w:tab w:val="right" w:pos="9360" w:leader="none"/>
        </w:tabs>
        <w:ind w:hanging="0" w:start="5040" w:end="0"/>
        <w:rPr/>
      </w:pPr>
      <w:r>
        <w:rPr/>
      </w:r>
    </w:p>
    <w:p>
      <w:pPr>
        <w:pStyle w:val="Normal"/>
        <w:tabs>
          <w:tab w:val="clear" w:pos="720"/>
          <w:tab w:val="left" w:pos="5940" w:leader="none"/>
        </w:tabs>
        <w:ind w:hanging="540" w:start="5940" w:end="0"/>
        <w:jc w:val="start"/>
        <w:rPr/>
      </w:pPr>
      <w:r>
        <w:rPr/>
        <w:t>By:</w:t>
        <w:tab/>
        <w:t>Chaparral Investors, L.L.C., its sole member</w:t>
      </w:r>
    </w:p>
    <w:p>
      <w:pPr>
        <w:pStyle w:val="Normal"/>
        <w:tabs>
          <w:tab w:val="clear" w:pos="720"/>
          <w:tab w:val="left" w:pos="5940" w:leader="none"/>
        </w:tabs>
        <w:ind w:hanging="540" w:start="5940" w:end="0"/>
        <w:jc w:val="start"/>
        <w:rPr/>
      </w:pPr>
      <w:r>
        <w:rPr/>
      </w:r>
    </w:p>
    <w:p>
      <w:pPr>
        <w:pStyle w:val="Normal"/>
        <w:tabs>
          <w:tab w:val="clear" w:pos="720"/>
          <w:tab w:val="left" w:pos="5940" w:leader="none"/>
        </w:tabs>
        <w:ind w:hanging="540" w:start="5940" w:end="0"/>
        <w:jc w:val="start"/>
        <w:rPr/>
      </w:pPr>
      <w:r>
        <w:rPr/>
        <w:t>By:</w:t>
        <w:tab/>
        <w:t>El Paso Chaparral Investor, L.L.C., its sole member</w:t>
      </w:r>
    </w:p>
    <w:p>
      <w:pPr>
        <w:pStyle w:val="Normal"/>
        <w:tabs>
          <w:tab w:val="clear" w:pos="720"/>
          <w:tab w:val="left" w:pos="5940" w:leader="none"/>
        </w:tabs>
        <w:ind w:hanging="540" w:start="5940" w:end="0"/>
        <w:jc w:val="start"/>
        <w:rPr/>
      </w:pPr>
      <w:r>
        <w:rPr/>
      </w:r>
    </w:p>
    <w:p>
      <w:pPr>
        <w:pStyle w:val="Normal"/>
        <w:tabs>
          <w:tab w:val="clear" w:pos="720"/>
          <w:tab w:val="left" w:pos="5940" w:leader="none"/>
        </w:tabs>
        <w:ind w:hanging="540" w:start="5940" w:end="0"/>
        <w:jc w:val="start"/>
        <w:rPr/>
      </w:pPr>
      <w:r>
        <w:rPr/>
        <w:t>By:</w:t>
        <w:tab/>
        <w:t>El Paso Chaparral Holding Company, its sole member</w:t>
      </w:r>
    </w:p>
    <w:p>
      <w:pPr>
        <w:pStyle w:val="Normal"/>
        <w:tabs>
          <w:tab w:val="clear" w:pos="720"/>
          <w:tab w:val="left" w:pos="5940" w:leader="none"/>
        </w:tabs>
        <w:ind w:hanging="540" w:start="5940" w:end="0"/>
        <w:rPr/>
      </w:pPr>
      <w:r>
        <w:rPr/>
      </w:r>
    </w:p>
    <w:p>
      <w:pPr>
        <w:pStyle w:val="Normal"/>
        <w:tabs>
          <w:tab w:val="clear" w:pos="720"/>
          <w:tab w:val="left" w:pos="5940" w:leader="none"/>
        </w:tabs>
        <w:ind w:hanging="540" w:start="5940" w:end="0"/>
        <w:rPr/>
      </w:pPr>
      <w:r>
        <w:rPr/>
      </w:r>
    </w:p>
    <w:p>
      <w:pPr>
        <w:pStyle w:val="Normal"/>
        <w:numPr>
          <w:ilvl w:val="0"/>
          <w:numId w:val="0"/>
        </w:numPr>
        <w:tabs>
          <w:tab w:val="clear" w:pos="720"/>
          <w:tab w:val="left" w:pos="6480" w:leader="none"/>
          <w:tab w:val="right" w:pos="9360" w:leader="none"/>
        </w:tabs>
        <w:spacing w:lineRule="auto" w:line="360"/>
        <w:ind w:hanging="0" w:start="5760" w:end="0"/>
        <w:outlineLvl w:val="0"/>
        <w:rPr/>
      </w:pPr>
      <w:r>
        <w:rPr/>
        <w:t>By:</w:t>
        <w:tab/>
      </w:r>
      <w:r>
        <w:rPr>
          <w:u w:val="single"/>
        </w:rPr>
        <w:tab/>
      </w:r>
    </w:p>
    <w:p>
      <w:pPr>
        <w:pStyle w:val="Normal"/>
        <w:numPr>
          <w:ilvl w:val="0"/>
          <w:numId w:val="0"/>
        </w:numPr>
        <w:tabs>
          <w:tab w:val="clear" w:pos="720"/>
          <w:tab w:val="left" w:pos="6480" w:leader="none"/>
          <w:tab w:val="right" w:pos="9360" w:leader="none"/>
        </w:tabs>
        <w:spacing w:lineRule="auto" w:line="360"/>
        <w:ind w:hanging="0" w:start="5760" w:end="0"/>
        <w:outlineLvl w:val="0"/>
        <w:rPr/>
      </w:pPr>
      <w:r>
        <w:rPr/>
        <w:t>Name:</w:t>
        <w:tab/>
      </w:r>
      <w:r>
        <w:rPr>
          <w:u w:val="single"/>
        </w:rPr>
        <w:tab/>
      </w:r>
    </w:p>
    <w:p>
      <w:pPr>
        <w:pStyle w:val="Normal"/>
        <w:tabs>
          <w:tab w:val="clear" w:pos="720"/>
          <w:tab w:val="left" w:pos="6480" w:leader="none"/>
          <w:tab w:val="right" w:pos="9360" w:leader="none"/>
        </w:tabs>
        <w:spacing w:lineRule="auto" w:line="360"/>
        <w:ind w:hanging="0" w:start="5760" w:end="0"/>
        <w:rPr/>
      </w:pPr>
      <w:r>
        <w:rPr/>
        <w:t>Title:</w:t>
        <w:tab/>
      </w:r>
      <w:r>
        <w:rPr>
          <w:u w:val="single"/>
        </w:rPr>
        <w:tab/>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680" w:leader="none"/>
        <w:tab w:val="right" w:pos="8640" w:leader="none"/>
      </w:tabs>
      <w:ind w:hanging="0" w:end="0"/>
      <w:rPr/>
    </w:pPr>
    <w:r>
      <w:rPr>
        <w:sz w:val="16"/>
      </w:rPr>
      <w:t>Houston:385473v1</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2"/>
      </w:rPr>
    </w:pPr>
    <w:r>
      <w:rPr>
        <w:b/>
        <w:bCs/>
        <w:sz w:val="22"/>
      </w:rPr>
      <w:t>Draft:  November 26,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firstLine="720" w:start="0" w:end="0"/>
      <w:jc w:val="both"/>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ind w:hanging="0" w:start="5040" w:end="0"/>
      <w:outlineLvl w:val="1"/>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2000-11-27T00:55:00Z</dcterms:created>
  <dc:creator>M Cook</dc:creator>
  <dc:description/>
  <dc:language>en-CA</dc:language>
  <cp:lastModifiedBy>Matt Cook</cp:lastModifiedBy>
  <dcterms:modified xsi:type="dcterms:W3CDTF">2000-11-27T00:55:00Z</dcterms:modified>
  <cp:revision>2</cp:revision>
  <dc:subject/>
  <dc:title>ASSIGNMENT AND CONTRIBUTION AGREEMENT</dc:title>
</cp:coreProperties>
</file>