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bidi w:val="0"/>
        <w:outlineLvl w:val="0"/>
        <w:rPr/>
      </w:pPr>
      <w:r>
        <w:rPr/>
        <w:t>AGENDA</w:t>
      </w:r>
    </w:p>
    <w:p>
      <w:pPr>
        <w:pStyle w:val="Title"/>
        <w:widowControl/>
        <w:bidi w:val="0"/>
        <w:jc w:val="center"/>
        <w:rPr/>
      </w:pPr>
      <w:r>
        <w:rPr/>
      </w:r>
    </w:p>
    <w:p>
      <w:pPr>
        <w:pStyle w:val="Normal"/>
        <w:numPr>
          <w:ilvl w:val="0"/>
          <w:numId w:val="0"/>
        </w:numPr>
        <w:bidi w:val="0"/>
        <w:jc w:val="center"/>
        <w:outlineLvl w:val="0"/>
        <w:rPr>
          <w:rFonts w:ascii="CG Times" w:hAnsi="CG Times"/>
          <w:b/>
          <w:caps/>
          <w:sz w:val="24"/>
        </w:rPr>
      </w:pPr>
      <w:r>
        <w:rPr>
          <w:rFonts w:ascii="CG Times" w:hAnsi="CG Times"/>
          <w:b/>
          <w:sz w:val="24"/>
        </w:rPr>
        <w:t>EEI/</w:t>
      </w:r>
      <w:r>
        <w:rPr>
          <w:rFonts w:ascii="CG Times" w:hAnsi="CG Times"/>
          <w:b/>
          <w:caps/>
          <w:sz w:val="24"/>
        </w:rPr>
        <w:t xml:space="preserve">NEMA </w:t>
      </w:r>
    </w:p>
    <w:p>
      <w:pPr>
        <w:pStyle w:val="Normal"/>
        <w:numPr>
          <w:ilvl w:val="0"/>
          <w:numId w:val="0"/>
        </w:numPr>
        <w:bidi w:val="0"/>
        <w:jc w:val="center"/>
        <w:outlineLvl w:val="0"/>
        <w:rPr>
          <w:rFonts w:ascii="CG Times" w:hAnsi="CG Times"/>
          <w:b/>
          <w:caps/>
          <w:color w:val="000000"/>
          <w:sz w:val="24"/>
        </w:rPr>
      </w:pPr>
      <w:r>
        <w:rPr>
          <w:rFonts w:ascii="CG Times" w:hAnsi="CG Times"/>
          <w:b/>
          <w:caps/>
          <w:color w:val="000000"/>
          <w:sz w:val="24"/>
        </w:rPr>
        <w:t>Standard Contract Working Group MEETING</w:t>
      </w:r>
    </w:p>
    <w:p>
      <w:pPr>
        <w:pStyle w:val="Normal"/>
        <w:bidi w:val="0"/>
        <w:jc w:val="center"/>
        <w:rPr>
          <w:rFonts w:ascii="CG Times" w:hAnsi="CG Times"/>
          <w:b/>
          <w:caps/>
          <w:color w:val="000000"/>
          <w:sz w:val="24"/>
        </w:rPr>
      </w:pPr>
      <w:r>
        <w:rPr>
          <w:rFonts w:ascii="CG Times" w:hAnsi="CG Times"/>
          <w:b/>
          <w:caps/>
          <w:color w:val="000000"/>
          <w:sz w:val="24"/>
        </w:rPr>
      </w:r>
    </w:p>
    <w:p>
      <w:pPr>
        <w:pStyle w:val="Heading1"/>
        <w:numPr>
          <w:ilvl w:val="0"/>
          <w:numId w:val="0"/>
        </w:numPr>
        <w:bidi w:val="0"/>
        <w:outlineLvl w:val="0"/>
        <w:rPr/>
      </w:pPr>
      <w:r>
        <w:rPr/>
        <w:t>Wednesday, December 15, 1999</w:t>
      </w:r>
    </w:p>
    <w:p>
      <w:pPr>
        <w:pStyle w:val="Normal"/>
        <w:widowControl/>
        <w:suppressAutoHyphens w:val="true"/>
        <w:bidi w:val="0"/>
        <w:jc w:val="start"/>
        <w:rPr/>
      </w:pPr>
      <w:r>
        <w:rPr/>
      </w:r>
    </w:p>
    <w:p>
      <w:pPr>
        <w:pStyle w:val="Normal"/>
        <w:widowControl/>
        <w:suppressAutoHyphens w:val="true"/>
        <w:bidi w:val="0"/>
        <w:jc w:val="start"/>
        <w:rPr/>
      </w:pPr>
      <w:r>
        <w:rPr/>
      </w:r>
    </w:p>
    <w:p>
      <w:pPr>
        <w:pStyle w:val="Normal"/>
        <w:bidi w:val="0"/>
        <w:jc w:val="start"/>
        <w:rPr>
          <w:rFonts w:ascii="CG Times" w:hAnsi="CG Times"/>
          <w:sz w:val="24"/>
        </w:rPr>
      </w:pPr>
      <w:r>
        <w:rPr>
          <w:rFonts w:ascii="CG Times" w:hAnsi="CG Times"/>
          <w:sz w:val="24"/>
        </w:rPr>
      </w:r>
    </w:p>
    <w:p>
      <w:pPr>
        <w:pStyle w:val="Heading2"/>
        <w:numPr>
          <w:ilvl w:val="0"/>
          <w:numId w:val="1"/>
        </w:numPr>
        <w:tabs>
          <w:tab w:val="left" w:pos="720" w:leader="none"/>
        </w:tabs>
        <w:bidi w:val="0"/>
        <w:ind w:hanging="720" w:start="720"/>
        <w:jc w:val="start"/>
        <w:outlineLvl w:val="1"/>
        <w:rPr>
          <w:b/>
        </w:rPr>
      </w:pPr>
      <w:r>
        <w:rPr>
          <w:b/>
        </w:rPr>
        <w:t>Definitions of Products</w:t>
      </w:r>
    </w:p>
    <w:p>
      <w:pPr>
        <w:pStyle w:val="Normal"/>
        <w:bidi w:val="0"/>
        <w:jc w:val="start"/>
        <w:rPr>
          <w:rFonts w:ascii="CG Times" w:hAnsi="CG Times"/>
          <w:sz w:val="24"/>
        </w:rPr>
      </w:pPr>
      <w:r>
        <w:rPr>
          <w:rFonts w:ascii="CG Times" w:hAnsi="CG Times"/>
          <w:sz w:val="24"/>
        </w:rPr>
      </w:r>
    </w:p>
    <w:p>
      <w:pPr>
        <w:pStyle w:val="Normal"/>
        <w:bidi w:val="0"/>
        <w:ind w:firstLine="720"/>
        <w:jc w:val="start"/>
        <w:rPr>
          <w:rFonts w:ascii="CG Times" w:hAnsi="CG Times"/>
          <w:sz w:val="24"/>
        </w:rPr>
      </w:pPr>
      <w:r>
        <w:rPr>
          <w:rFonts w:ascii="CG Times" w:hAnsi="CG Times"/>
          <w:sz w:val="24"/>
        </w:rPr>
        <w:t>A.</w:t>
        <w:tab/>
        <w:t>“Into ______” Product</w:t>
      </w:r>
    </w:p>
    <w:p>
      <w:pPr>
        <w:pStyle w:val="Normal"/>
        <w:bidi w:val="0"/>
        <w:ind w:hanging="0" w:start="720"/>
        <w:jc w:val="start"/>
        <w:rPr>
          <w:rFonts w:ascii="CG Times" w:hAnsi="CG Times"/>
          <w:sz w:val="24"/>
        </w:rPr>
      </w:pPr>
      <w:r>
        <w:rPr>
          <w:rFonts w:ascii="CG Times" w:hAnsi="CG Times"/>
          <w:sz w:val="24"/>
        </w:rPr>
      </w:r>
    </w:p>
    <w:p>
      <w:pPr>
        <w:pStyle w:val="Normal"/>
        <w:bidi w:val="0"/>
        <w:ind w:hanging="0" w:start="720"/>
        <w:jc w:val="start"/>
        <w:rPr>
          <w:rFonts w:ascii="CG Times" w:hAnsi="CG Times"/>
          <w:sz w:val="24"/>
        </w:rPr>
      </w:pPr>
      <w:r>
        <w:rPr>
          <w:rFonts w:ascii="CG Times" w:hAnsi="CG Times"/>
          <w:sz w:val="24"/>
        </w:rPr>
        <w:t>B.</w:t>
        <w:tab/>
        <w:t>“Firm (LD-System Reliability)” Product</w:t>
      </w:r>
    </w:p>
    <w:p>
      <w:pPr>
        <w:pStyle w:val="Normal"/>
        <w:bidi w:val="0"/>
        <w:ind w:hanging="0" w:start="720"/>
        <w:jc w:val="start"/>
        <w:rPr>
          <w:rFonts w:ascii="CG Times" w:hAnsi="CG Times"/>
          <w:sz w:val="24"/>
        </w:rPr>
      </w:pPr>
      <w:r>
        <w:rPr>
          <w:rFonts w:ascii="CG Times" w:hAnsi="CG Times"/>
          <w:sz w:val="24"/>
        </w:rPr>
      </w:r>
    </w:p>
    <w:p>
      <w:pPr>
        <w:pStyle w:val="Normal"/>
        <w:bidi w:val="0"/>
        <w:ind w:firstLine="720"/>
        <w:jc w:val="start"/>
        <w:rPr>
          <w:rFonts w:ascii="CG Times" w:hAnsi="CG Times"/>
          <w:sz w:val="24"/>
        </w:rPr>
      </w:pPr>
      <w:r>
        <w:rPr>
          <w:rFonts w:ascii="CG Times" w:hAnsi="CG Times"/>
          <w:sz w:val="24"/>
        </w:rPr>
        <w:t>C.</w:t>
        <w:tab/>
        <w:t>“Unit Firm” Product</w:t>
      </w:r>
    </w:p>
    <w:p>
      <w:pPr>
        <w:pStyle w:val="Normal"/>
        <w:bidi w:val="0"/>
        <w:ind w:hanging="0" w:start="720"/>
        <w:jc w:val="start"/>
        <w:rPr>
          <w:rFonts w:ascii="CG Times" w:hAnsi="CG Times"/>
          <w:sz w:val="24"/>
        </w:rPr>
      </w:pPr>
      <w:r>
        <w:rPr>
          <w:rFonts w:ascii="CG Times" w:hAnsi="CG Times"/>
          <w:sz w:val="24"/>
        </w:rPr>
      </w:r>
    </w:p>
    <w:p>
      <w:pPr>
        <w:pStyle w:val="Normal"/>
        <w:widowControl/>
        <w:suppressAutoHyphens w:val="true"/>
        <w:bidi w:val="0"/>
        <w:jc w:val="start"/>
        <w:rPr/>
      </w:pPr>
      <w:r>
        <w:rPr/>
      </w:r>
    </w:p>
    <w:p>
      <w:pPr>
        <w:pStyle w:val="BodyText2"/>
        <w:tabs>
          <w:tab w:val="clear" w:pos="720"/>
          <w:tab w:val="left" w:pos="1440" w:leader="none"/>
        </w:tabs>
        <w:bidi w:val="0"/>
        <w:ind w:hanging="0" w:start="720"/>
        <w:jc w:val="both"/>
        <w:rPr/>
      </w:pPr>
      <w:r>
        <w:rPr/>
        <w:t>For each of the above, we will discuss the effect of TLRs, other transmission curtailments and various FERC policies regarding transmission on the parties’ obligations to perform under transactions involving firm products and the extent to which those effects are or should be reflected in product definitions in the Master Agreement.</w:t>
      </w:r>
    </w:p>
    <w:p>
      <w:pPr>
        <w:pStyle w:val="Normal"/>
        <w:widowControl/>
        <w:suppressAutoHyphens w:val="true"/>
        <w:bidi w:val="0"/>
        <w:jc w:val="start"/>
        <w:rPr/>
      </w:pPr>
      <w:r>
        <w:rPr/>
      </w:r>
    </w:p>
    <w:p>
      <w:pPr>
        <w:pStyle w:val="Normal"/>
        <w:widowControl/>
        <w:suppressAutoHyphens w:val="true"/>
        <w:bidi w:val="0"/>
        <w:jc w:val="start"/>
        <w:rPr/>
      </w:pPr>
      <w:r>
        <w:rPr/>
      </w:r>
    </w:p>
    <w:p>
      <w:pPr>
        <w:pStyle w:val="Heading2"/>
        <w:numPr>
          <w:ilvl w:val="0"/>
          <w:numId w:val="1"/>
        </w:numPr>
        <w:tabs>
          <w:tab w:val="left" w:pos="720" w:leader="none"/>
        </w:tabs>
        <w:bidi w:val="0"/>
        <w:ind w:hanging="720" w:start="720"/>
        <w:jc w:val="start"/>
        <w:outlineLvl w:val="1"/>
        <w:rPr>
          <w:b/>
        </w:rPr>
      </w:pPr>
      <w:r>
        <w:rPr>
          <w:b/>
        </w:rPr>
        <w:t>Next Steps</w:t>
      </w:r>
    </w:p>
    <w:p>
      <w:pPr>
        <w:pStyle w:val="Normal"/>
        <w:bidi w:val="0"/>
        <w:jc w:val="start"/>
        <w:rPr>
          <w:rFonts w:ascii="CG Times" w:hAnsi="CG Times"/>
          <w:sz w:val="24"/>
        </w:rPr>
      </w:pPr>
      <w:r>
        <w:rPr>
          <w:rFonts w:ascii="CG Times" w:hAnsi="CG Times"/>
          <w:sz w:val="24"/>
        </w:rPr>
      </w:r>
    </w:p>
    <w:p>
      <w:pPr>
        <w:pStyle w:val="Normal"/>
        <w:numPr>
          <w:ilvl w:val="0"/>
          <w:numId w:val="3"/>
        </w:numPr>
        <w:tabs>
          <w:tab w:val="clear" w:pos="720"/>
          <w:tab w:val="left" w:pos="1080" w:leader="none"/>
          <w:tab w:val="left" w:pos="1440" w:leader="none"/>
        </w:tabs>
        <w:bidi w:val="0"/>
        <w:jc w:val="start"/>
        <w:rPr>
          <w:rFonts w:ascii="CG Times" w:hAnsi="CG Times"/>
          <w:sz w:val="24"/>
        </w:rPr>
      </w:pPr>
      <w:r>
        <w:rPr>
          <w:rFonts w:ascii="CG Times" w:hAnsi="CG Times"/>
          <w:sz w:val="24"/>
        </w:rPr>
        <w:t xml:space="preserve"> </w:t>
      </w:r>
      <w:r>
        <w:rPr>
          <w:rFonts w:ascii="CG Times" w:hAnsi="CG Times"/>
          <w:sz w:val="24"/>
        </w:rPr>
        <w:t>Future Rollout Efforts.</w:t>
      </w:r>
    </w:p>
    <w:p>
      <w:pPr>
        <w:pStyle w:val="Normal"/>
        <w:numPr>
          <w:ilvl w:val="0"/>
          <w:numId w:val="4"/>
        </w:numPr>
        <w:tabs>
          <w:tab w:val="clear" w:pos="720"/>
          <w:tab w:val="left" w:pos="1440" w:leader="none"/>
        </w:tabs>
        <w:bidi w:val="0"/>
        <w:jc w:val="start"/>
        <w:rPr>
          <w:rFonts w:ascii="CG Times" w:hAnsi="CG Times"/>
          <w:sz w:val="24"/>
        </w:rPr>
      </w:pPr>
      <w:r>
        <w:rPr>
          <w:rFonts w:ascii="CG Times" w:hAnsi="CG Times"/>
          <w:sz w:val="24"/>
        </w:rPr>
        <w:t>Houston Workshop – early March, 2000</w:t>
      </w:r>
    </w:p>
    <w:p>
      <w:pPr>
        <w:pStyle w:val="Normal"/>
        <w:numPr>
          <w:ilvl w:val="0"/>
          <w:numId w:val="4"/>
        </w:numPr>
        <w:tabs>
          <w:tab w:val="clear" w:pos="720"/>
          <w:tab w:val="left" w:pos="1440" w:leader="none"/>
        </w:tabs>
        <w:bidi w:val="0"/>
        <w:jc w:val="start"/>
        <w:rPr>
          <w:rFonts w:ascii="CG Times" w:hAnsi="CG Times"/>
          <w:sz w:val="24"/>
        </w:rPr>
      </w:pPr>
      <w:r>
        <w:rPr>
          <w:rFonts w:ascii="CG Times" w:hAnsi="CG Times"/>
          <w:sz w:val="24"/>
        </w:rPr>
        <w:t>New York City Workshop – late April/early May 2000</w:t>
      </w:r>
    </w:p>
    <w:p>
      <w:pPr>
        <w:pStyle w:val="Normal"/>
        <w:bidi w:val="0"/>
        <w:ind w:hanging="0" w:start="1080"/>
        <w:jc w:val="start"/>
        <w:rPr>
          <w:rFonts w:ascii="CG Times" w:hAnsi="CG Times"/>
          <w:sz w:val="24"/>
        </w:rPr>
      </w:pPr>
      <w:r>
        <w:rPr>
          <w:rFonts w:ascii="CG Times" w:hAnsi="CG Times"/>
          <w:sz w:val="24"/>
        </w:rPr>
        <w:t>3.      Other Activities</w:t>
      </w:r>
    </w:p>
    <w:p>
      <w:pPr>
        <w:pStyle w:val="Normal"/>
        <w:bidi w:val="0"/>
        <w:ind w:hanging="0" w:start="720"/>
        <w:jc w:val="start"/>
        <w:rPr>
          <w:rFonts w:ascii="CG Times" w:hAnsi="CG Times"/>
          <w:sz w:val="24"/>
        </w:rPr>
      </w:pPr>
      <w:r>
        <w:rPr>
          <w:rFonts w:ascii="CG Times" w:hAnsi="CG Times"/>
          <w:sz w:val="24"/>
        </w:rPr>
      </w:r>
    </w:p>
    <w:p>
      <w:pPr>
        <w:pStyle w:val="Normal"/>
        <w:bidi w:val="0"/>
        <w:ind w:hanging="0" w:start="720"/>
        <w:jc w:val="start"/>
        <w:rPr>
          <w:rFonts w:ascii="CG Times" w:hAnsi="CG Times"/>
          <w:sz w:val="24"/>
        </w:rPr>
      </w:pPr>
      <w:r>
        <w:rPr>
          <w:rFonts w:ascii="CG Times" w:hAnsi="CG Times"/>
          <w:sz w:val="24"/>
        </w:rPr>
        <w:t>B.      Discussions with FERC Staff in January, 2000.</w:t>
      </w:r>
    </w:p>
    <w:p>
      <w:pPr>
        <w:pStyle w:val="Normal"/>
        <w:bidi w:val="0"/>
        <w:ind w:hanging="0" w:start="720"/>
        <w:jc w:val="start"/>
        <w:rPr>
          <w:rFonts w:ascii="CG Times" w:hAnsi="CG Times"/>
          <w:sz w:val="24"/>
        </w:rPr>
      </w:pPr>
      <w:r>
        <w:rPr>
          <w:rFonts w:ascii="CG Times" w:hAnsi="CG Times"/>
          <w:sz w:val="24"/>
        </w:rPr>
      </w:r>
    </w:p>
    <w:p>
      <w:pPr>
        <w:pStyle w:val="Normal"/>
        <w:bidi w:val="0"/>
        <w:ind w:hanging="0" w:start="720"/>
        <w:jc w:val="start"/>
        <w:rPr>
          <w:rFonts w:ascii="CG Times" w:hAnsi="CG Times"/>
          <w:sz w:val="24"/>
        </w:rPr>
      </w:pPr>
      <w:r>
        <w:rPr>
          <w:rFonts w:ascii="CG Times" w:hAnsi="CG Times"/>
          <w:sz w:val="24"/>
        </w:rPr>
        <w:t>C.    Funding Future Contract Working Group Initiatives.</w:t>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G Times">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4"/>
      </w:rPr>
    </w:pPr>
    <w:r>
      <w:rPr>
        <w:sz w:val="14"/>
        <w:lang w:val="en-US"/>
      </w:rPr>
      <w:fldChar w:fldCharType="begin"/>
    </w:r>
    <w:r>
      <w:rPr>
        <w:sz w:val="14"/>
        <w:lang w:val="en-US"/>
      </w:rPr>
      <w:instrText xml:space="preserve"> FILENAME \p </w:instrText>
    </w:r>
    <w:r>
      <w:rPr>
        <w:sz w:val="14"/>
        <w:lang w:val="en-US"/>
      </w:rPr>
      <w:fldChar w:fldCharType="separate"/>
    </w:r>
    <w:r>
      <w:rPr>
        <w:sz w:val="14"/>
        <w:lang w:val="en-US"/>
      </w:rPr>
      <w:t>/mnt/main-storage/datasets/enron-docs/rtf/3.209195.DBOHSHGA3XDID2UFKDJLGZ1ZMY3ERSFHA.1.rtf</w:t>
    </w:r>
    <w:r>
      <w:rPr>
        <w:sz w:val="14"/>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4"/>
      </w:rPr>
    </w:pPr>
    <w:r>
      <w:rPr>
        <w:sz w:val="14"/>
        <w:lang w:val="en-US"/>
      </w:rPr>
      <w:fldChar w:fldCharType="begin"/>
    </w:r>
    <w:r>
      <w:rPr>
        <w:sz w:val="14"/>
        <w:lang w:val="en-US"/>
      </w:rPr>
      <w:instrText xml:space="preserve"> FILENAME \p </w:instrText>
    </w:r>
    <w:r>
      <w:rPr>
        <w:sz w:val="14"/>
        <w:lang w:val="en-US"/>
      </w:rPr>
      <w:fldChar w:fldCharType="separate"/>
    </w:r>
    <w:r>
      <w:rPr>
        <w:sz w:val="14"/>
        <w:lang w:val="en-US"/>
      </w:rPr>
      <w:t>/mnt/main-storage/datasets/enron-docs/rtf/3.209195.DBOHSHGA3XDID2UFKDJLGZ1ZMY3ERSFHA.1.rtf</w:t>
    </w:r>
    <w:r>
      <w:rPr>
        <w:sz w:val="14"/>
        <w:lang w:val="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44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G Times" w:cs="Tahoma"/>
      <w:color w:val="auto"/>
      <w:kern w:val="2"/>
      <w:sz w:val="20"/>
      <w:szCs w:val="24"/>
      <w:lang w:val="en-US" w:eastAsia="zh-CN" w:bidi="hi-IN"/>
    </w:rPr>
  </w:style>
  <w:style w:type="paragraph" w:styleId="Heading1">
    <w:name w:val="heading 1"/>
    <w:basedOn w:val="Normal"/>
    <w:next w:val="Normal"/>
    <w:qFormat/>
    <w:pPr>
      <w:keepNext w:val="true"/>
      <w:widowControl/>
      <w:jc w:val="center"/>
    </w:pPr>
    <w:rPr>
      <w:rFonts w:ascii="CG Times" w:hAnsi="CG Times"/>
      <w:b/>
    </w:rPr>
  </w:style>
  <w:style w:type="paragraph" w:styleId="Heading2">
    <w:name w:val="heading 2"/>
    <w:basedOn w:val="Normal"/>
    <w:next w:val="Normal"/>
    <w:qFormat/>
    <w:pPr>
      <w:keepNext w:val="true"/>
      <w:widowControl/>
      <w:ind w:hanging="720" w:start="720"/>
    </w:pPr>
    <w:rPr>
      <w:rFonts w:ascii="CG Times" w:hAnsi="CG Times"/>
    </w:rPr>
  </w:style>
  <w:style w:type="paragraph" w:styleId="Heading3">
    <w:name w:val="heading 3"/>
    <w:basedOn w:val="Normal"/>
    <w:next w:val="Normal"/>
    <w:qFormat/>
    <w:pPr>
      <w:keepNext w:val="true"/>
      <w:widowControl/>
      <w:numPr>
        <w:ilvl w:val="0"/>
        <w:numId w:val="2"/>
      </w:numPr>
      <w:tabs>
        <w:tab w:val="left" w:pos="720" w:leader="none"/>
      </w:tabs>
      <w:ind w:hanging="720" w:start="720"/>
    </w:pPr>
    <w:rPr>
      <w:rFonts w:ascii="CG Times" w:hAnsi="CG Times"/>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jc w:val="center"/>
    </w:pPr>
    <w:rPr>
      <w:rFonts w:ascii="CG Times" w:hAnsi="CG Times"/>
      <w:b/>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z w:val="20"/>
    </w:rPr>
  </w:style>
  <w:style w:type="paragraph" w:styleId="Footer">
    <w:name w:val="footer"/>
    <w:basedOn w:val="Normal"/>
    <w:pPr>
      <w:widowControl/>
      <w:tabs>
        <w:tab w:val="clear" w:pos="720"/>
        <w:tab w:val="center" w:pos="4320" w:leader="none"/>
        <w:tab w:val="right" w:pos="8640" w:leader="none"/>
      </w:tabs>
    </w:pPr>
    <w:rPr>
      <w:sz w:val="20"/>
    </w:rPr>
  </w:style>
  <w:style w:type="paragraph" w:styleId="BodyText2">
    <w:name w:val="Body Text 2"/>
    <w:basedOn w:val="Normal"/>
    <w:qFormat/>
    <w:pPr>
      <w:widowControl/>
      <w:ind w:hanging="720" w:start="1440"/>
    </w:pPr>
    <w:rPr>
      <w:rFonts w:ascii="CG Times" w:hAnsi="CG Times"/>
    </w:rPr>
  </w:style>
  <w:style w:type="paragraph" w:styleId="DocumentMap">
    <w:name w:val="Document Map"/>
    <w:basedOn w:val="Normal"/>
    <w:qFormat/>
    <w:pPr>
      <w:widowControl/>
      <w:shd w:fill="000080"/>
    </w:pPr>
    <w:rPr>
      <w:rFonts w:ascii="Tahoma" w:hAnsi="Tahoma"/>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120</Words>
  <Characters>843</Characters>
  <CharactersWithSpaces>687</CharactersWithSpaces>
  <Company>NGC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1999-12-10T18:04:00Z</dcterms:created>
  <dc:creator>hemu</dc:creator>
  <dc:description/>
  <dc:language>en-US</dc:language>
  <cp:lastModifiedBy/>
  <dcterms:modified xsi:type="dcterms:W3CDTF">1999-12-10T18:04:00Z</dcterms:modified>
  <cp:revision>2</cp:revision>
  <dc:subject/>
  <dc:title>AGENDA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Andrew S. Katz</vt:lpwstr>
  </property>
</Properties>
</file>