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2"/>
        </w:rPr>
      </w:pPr>
      <w:r>
        <w:rPr>
          <w:b/>
          <w:sz w:val="22"/>
        </w:rPr>
        <w:t>MASTER POWER PURCHASE AND SALE AGREEMENT</w:t>
      </w:r>
    </w:p>
    <w:p>
      <w:pPr>
        <w:pStyle w:val="Normal"/>
        <w:bidi w:val="0"/>
        <w:jc w:val="center"/>
        <w:rPr>
          <w:sz w:val="18"/>
        </w:rPr>
      </w:pPr>
      <w:r>
        <w:rPr>
          <w:b/>
          <w:sz w:val="22"/>
          <w:u w:val="single"/>
        </w:rPr>
        <w:t>COVER SHEET</w:t>
      </w:r>
    </w:p>
    <w:p>
      <w:pPr>
        <w:pStyle w:val="Normal"/>
        <w:bidi w:val="0"/>
        <w:jc w:val="center"/>
        <w:rPr>
          <w:sz w:val="18"/>
        </w:rPr>
      </w:pPr>
      <w:r>
        <w:rPr>
          <w:sz w:val="18"/>
        </w:rPr>
      </w:r>
    </w:p>
    <w:p>
      <w:pPr>
        <w:pStyle w:val="Normal"/>
        <w:bidi w:val="0"/>
        <w:jc w:val="start"/>
        <w:rPr>
          <w:sz w:val="18"/>
        </w:rPr>
      </w:pPr>
      <w:r>
        <w:rPr>
          <w:sz w:val="18"/>
        </w:rPr>
        <w:t>This Master Power Purchase and Sale Agreement ("Master Agreement" ) is made as of the following date: _________ ("Effective Date") .    The Master Agreement, together with the exhibits, schedules and any written supplements hereto, the Party A Tariff, if any, the Party B Tariff, if any, any designated collateral, credit support or margin agreement or similar arrangement between the Parties and all Transactions shall be referred to as the "Agreement."    The Parties to this Master Agreement are the following:</w:t>
      </w:r>
    </w:p>
    <w:tbl>
      <w:tblPr>
        <w:tblW w:w="10080" w:type="dxa"/>
        <w:jc w:val="center"/>
        <w:tblInd w:w="0" w:type="dxa"/>
        <w:tblLayout w:type="fixed"/>
        <w:tblCellMar>
          <w:top w:w="0" w:type="dxa"/>
          <w:start w:w="120" w:type="dxa"/>
          <w:bottom w:w="0" w:type="dxa"/>
          <w:end w:w="120" w:type="dxa"/>
        </w:tblCellMar>
      </w:tblPr>
      <w:tblGrid>
        <w:gridCol w:w="5040"/>
        <w:gridCol w:w="5039"/>
      </w:tblGrid>
      <w:tr>
        <w:trPr>
          <w:trHeight w:val="403" w:hRule="atLeast"/>
          <w:cantSplit w:val="true"/>
        </w:trPr>
        <w:tc>
          <w:tcPr>
            <w:tcW w:w="5040" w:type="dxa"/>
            <w:tcBorders/>
          </w:tcPr>
          <w:p>
            <w:pPr>
              <w:pStyle w:val="Normal"/>
              <w:tabs>
                <w:tab w:val="clear" w:pos="720"/>
              </w:tabs>
              <w:bidi w:val="0"/>
              <w:jc w:val="start"/>
              <w:rPr>
                <w:sz w:val="18"/>
              </w:rPr>
            </w:pPr>
            <w:r>
              <w:rPr>
                <w:sz w:val="18"/>
              </w:rPr>
              <w:t>Name (“__________________” or “Party A”)</w:t>
            </w:r>
          </w:p>
          <w:p>
            <w:pPr>
              <w:pStyle w:val="Normal"/>
              <w:tabs>
                <w:tab w:val="clear" w:pos="720"/>
              </w:tabs>
              <w:bidi w:val="0"/>
              <w:jc w:val="start"/>
              <w:rPr>
                <w:sz w:val="18"/>
              </w:rPr>
            </w:pPr>
            <w:r>
              <w:rPr>
                <w:sz w:val="18"/>
              </w:rPr>
              <w:t>All Notices:</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Duns: __________________________</w:t>
            </w:r>
          </w:p>
          <w:p>
            <w:pPr>
              <w:pStyle w:val="Normal"/>
              <w:tabs>
                <w:tab w:val="clear" w:pos="720"/>
              </w:tabs>
              <w:bidi w:val="0"/>
              <w:jc w:val="start"/>
              <w:rPr>
                <w:sz w:val="18"/>
              </w:rPr>
            </w:pPr>
            <w:r>
              <w:rPr>
                <w:sz w:val="18"/>
              </w:rPr>
              <w:t>Federal Tax ID Number: 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t>With additional Notices of an Event of Default or Potential Event of Default to:</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pPr>
            <w:r>
              <w:rPr>
                <w:sz w:val="18"/>
              </w:rPr>
              <w:t xml:space="preserve">          </w:t>
            </w:r>
            <w:r>
              <w:rPr>
                <w:sz w:val="18"/>
              </w:rPr>
              <w:t xml:space="preserve">Facsimile: </w:t>
            </w:r>
            <w:r>
              <w:rPr>
                <w:sz w:val="18"/>
                <w:u w:val="single"/>
              </w:rPr>
              <w:tab/>
              <w:tab/>
              <w:tab/>
            </w:r>
          </w:p>
        </w:tc>
        <w:tc>
          <w:tcPr>
            <w:tcW w:w="5039" w:type="dxa"/>
            <w:tcBorders/>
          </w:tcPr>
          <w:p>
            <w:pPr>
              <w:pStyle w:val="Normal"/>
              <w:tabs>
                <w:tab w:val="clear" w:pos="720"/>
              </w:tabs>
              <w:bidi w:val="0"/>
              <w:jc w:val="start"/>
              <w:rPr>
                <w:sz w:val="18"/>
              </w:rPr>
            </w:pPr>
            <w:r>
              <w:rPr>
                <w:sz w:val="18"/>
              </w:rPr>
              <w:t>Name (“Counterparty” or “Party B”)</w:t>
            </w:r>
          </w:p>
          <w:p>
            <w:pPr>
              <w:pStyle w:val="Normal"/>
              <w:tabs>
                <w:tab w:val="clear" w:pos="720"/>
              </w:tabs>
              <w:bidi w:val="0"/>
              <w:jc w:val="start"/>
              <w:rPr>
                <w:sz w:val="18"/>
              </w:rPr>
            </w:pPr>
            <w:r>
              <w:rPr>
                <w:sz w:val="18"/>
              </w:rPr>
              <w:t>All Notices:</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 xml:space="preserve">Duns: </w:t>
            </w:r>
            <w:r>
              <w:rPr>
                <w:sz w:val="18"/>
                <w:u w:val="single"/>
              </w:rPr>
              <w:tab/>
              <w:tab/>
              <w:tab/>
              <w:tab/>
            </w:r>
          </w:p>
          <w:p>
            <w:pPr>
              <w:pStyle w:val="Normal"/>
              <w:tabs>
                <w:tab w:val="clear" w:pos="720"/>
              </w:tabs>
              <w:bidi w:val="0"/>
              <w:jc w:val="start"/>
              <w:rPr>
                <w:sz w:val="18"/>
              </w:rPr>
            </w:pPr>
            <w:r>
              <w:rPr>
                <w:sz w:val="18"/>
              </w:rPr>
              <w:t>Federal Tax ID Number: ________________________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t>With additional Notices of an Event of Default or Potential Event of Default to:</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pPr>
            <w:r>
              <w:rPr>
                <w:sz w:val="18"/>
              </w:rPr>
              <w:t xml:space="preserve">          </w:t>
            </w:r>
            <w:r>
              <w:rPr>
                <w:sz w:val="18"/>
              </w:rPr>
              <w:t xml:space="preserve">Facsimile: </w:t>
            </w:r>
            <w:r>
              <w:rPr>
                <w:sz w:val="18"/>
                <w:u w:val="single"/>
              </w:rPr>
              <w:tab/>
              <w:tab/>
              <w:tab/>
            </w:r>
          </w:p>
        </w:tc>
      </w:tr>
      <w:tr>
        <w:trPr>
          <w:trHeight w:val="403" w:hRule="atLeast"/>
          <w:cantSplit w:val="true"/>
        </w:trPr>
        <w:tc>
          <w:tcPr>
            <w:tcW w:w="5040" w:type="dxa"/>
            <w:tcBorders/>
          </w:tcPr>
          <w:p>
            <w:pPr>
              <w:pStyle w:val="Normal"/>
              <w:tabs>
                <w:tab w:val="clear" w:pos="720"/>
              </w:tabs>
              <w:bidi w:val="0"/>
              <w:jc w:val="start"/>
              <w:rPr>
                <w:sz w:val="24"/>
              </w:rPr>
            </w:pPr>
            <w:r>
              <w:rPr>
                <w:sz w:val="24"/>
              </w:rPr>
            </w:r>
          </w:p>
        </w:tc>
        <w:tc>
          <w:tcPr>
            <w:tcW w:w="5039" w:type="dxa"/>
            <w:tcBorders/>
          </w:tcPr>
          <w:p>
            <w:pPr>
              <w:pStyle w:val="Normal"/>
              <w:tabs>
                <w:tab w:val="clear" w:pos="720"/>
              </w:tabs>
              <w:bidi w:val="0"/>
              <w:jc w:val="start"/>
              <w:rPr>
                <w:sz w:val="24"/>
              </w:rPr>
            </w:pPr>
            <w:r>
              <w:rPr>
                <w:sz w:val="24"/>
              </w:rPr>
            </w:r>
          </w:p>
        </w:tc>
      </w:tr>
    </w:tbl>
    <w:p>
      <w:pPr>
        <w:pStyle w:val="Normal"/>
        <w:bidi w:val="0"/>
        <w:jc w:val="start"/>
        <w:rPr>
          <w:sz w:val="18"/>
        </w:rPr>
      </w:pPr>
      <w:r>
        <w:rPr>
          <w:sz w:val="18"/>
        </w:rPr>
      </w:r>
    </w:p>
    <w:p>
      <w:pPr>
        <w:pStyle w:val="Normal"/>
        <w:bidi w:val="0"/>
        <w:jc w:val="start"/>
        <w:rPr>
          <w:sz w:val="18"/>
        </w:rPr>
      </w:pPr>
      <w:r>
        <w:rPr>
          <w:sz w:val="18"/>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rHeight w:val="403" w:hRule="atLeast"/>
          <w:cantSplit w:val="true"/>
        </w:trPr>
        <w:tc>
          <w:tcPr>
            <w:tcW w:w="2520" w:type="dxa"/>
            <w:tcBorders/>
          </w:tcPr>
          <w:p>
            <w:pPr>
              <w:pStyle w:val="Normal"/>
              <w:tabs>
                <w:tab w:val="clear" w:pos="720"/>
              </w:tabs>
              <w:bidi w:val="0"/>
              <w:jc w:val="start"/>
              <w:rPr>
                <w:sz w:val="18"/>
              </w:rPr>
            </w:pPr>
            <w:r>
              <w:rPr>
                <w:sz w:val="18"/>
              </w:rPr>
              <w:t>Party A Tariff</w:t>
            </w:r>
          </w:p>
          <w:p>
            <w:pPr>
              <w:pStyle w:val="Normal"/>
              <w:tabs>
                <w:tab w:val="clear" w:pos="720"/>
              </w:tabs>
              <w:bidi w:val="0"/>
              <w:jc w:val="start"/>
              <w:rPr>
                <w:sz w:val="18"/>
              </w:rPr>
            </w:pPr>
            <w:r>
              <w:rPr>
                <w:sz w:val="18"/>
              </w:rPr>
            </w:r>
          </w:p>
          <w:p>
            <w:pPr>
              <w:pStyle w:val="Normal"/>
              <w:tabs>
                <w:tab w:val="clear" w:pos="720"/>
              </w:tabs>
              <w:bidi w:val="0"/>
              <w:jc w:val="start"/>
              <w:rPr/>
            </w:pPr>
            <w:r>
              <w:rPr>
                <w:sz w:val="18"/>
              </w:rPr>
              <w:t>Party B Tariff</w:t>
            </w:r>
          </w:p>
        </w:tc>
        <w:tc>
          <w:tcPr>
            <w:tcW w:w="7559" w:type="dxa"/>
            <w:tcBorders/>
          </w:tcPr>
          <w:p>
            <w:pPr>
              <w:pStyle w:val="Normal"/>
              <w:tabs>
                <w:tab w:val="clear" w:pos="720"/>
              </w:tabs>
              <w:bidi w:val="0"/>
              <w:jc w:val="start"/>
              <w:rPr>
                <w:sz w:val="18"/>
              </w:rPr>
            </w:pPr>
            <w:r>
              <w:rPr>
                <w:sz w:val="18"/>
              </w:rPr>
              <w:t xml:space="preserve">Tariff __________________ Dated _______________ Docket Number    </w:t>
            </w:r>
            <w:r>
              <w:rPr>
                <w:sz w:val="18"/>
                <w:u w:val="single"/>
              </w:rPr>
              <w:tab/>
              <w:tab/>
              <w:tab/>
            </w:r>
          </w:p>
          <w:p>
            <w:pPr>
              <w:pStyle w:val="Normal"/>
              <w:tabs>
                <w:tab w:val="clear" w:pos="720"/>
              </w:tabs>
              <w:bidi w:val="0"/>
              <w:jc w:val="start"/>
              <w:rPr>
                <w:sz w:val="18"/>
              </w:rPr>
            </w:pPr>
            <w:r>
              <w:rPr>
                <w:sz w:val="18"/>
              </w:rPr>
            </w:r>
          </w:p>
          <w:p>
            <w:pPr>
              <w:pStyle w:val="Normal"/>
              <w:tabs>
                <w:tab w:val="clear" w:pos="720"/>
              </w:tabs>
              <w:bidi w:val="0"/>
              <w:jc w:val="start"/>
              <w:rPr/>
            </w:pPr>
            <w:r>
              <w:rPr>
                <w:sz w:val="18"/>
              </w:rPr>
              <w:t xml:space="preserve">Tariff __________________ Dated _______________ Docket Number </w:t>
            </w:r>
            <w:r>
              <w:rPr>
                <w:sz w:val="18"/>
                <w:u w:val="single"/>
              </w:rPr>
              <w:tab/>
              <w:tab/>
              <w:tab/>
            </w:r>
          </w:p>
        </w:tc>
      </w:tr>
      <w:tr>
        <w:trPr>
          <w:trHeight w:val="403" w:hRule="atLeast"/>
          <w:cantSplit w:val="true"/>
        </w:trPr>
        <w:tc>
          <w:tcPr>
            <w:tcW w:w="2520" w:type="dxa"/>
            <w:tcBorders/>
          </w:tcPr>
          <w:p>
            <w:pPr>
              <w:pStyle w:val="Normal"/>
              <w:tabs>
                <w:tab w:val="clear" w:pos="720"/>
              </w:tabs>
              <w:bidi w:val="0"/>
              <w:jc w:val="start"/>
              <w:rPr>
                <w:sz w:val="18"/>
              </w:rPr>
            </w:pPr>
            <w:r>
              <w:rPr>
                <w:sz w:val="18"/>
              </w:rPr>
              <w:t>Article Four</w:t>
            </w:r>
          </w:p>
          <w:p>
            <w:pPr>
              <w:pStyle w:val="Normal"/>
              <w:tabs>
                <w:tab w:val="clear" w:pos="720"/>
              </w:tabs>
              <w:bidi w:val="0"/>
              <w:jc w:val="start"/>
              <w:rPr/>
            </w:pPr>
            <w:r>
              <w:rPr>
                <w:sz w:val="18"/>
              </w:rPr>
              <w:t>Remedies for Failure to Deliver or Receive</w:t>
            </w:r>
          </w:p>
        </w:tc>
        <w:tc>
          <w:tcPr>
            <w:tcW w:w="7559" w:type="dxa"/>
            <w:tcBorders/>
          </w:tcPr>
          <w:p>
            <w:pPr>
              <w:pStyle w:val="Normal"/>
              <w:tabs>
                <w:tab w:val="clear" w:pos="720"/>
              </w:tabs>
              <w:bidi w:val="0"/>
              <w:jc w:val="start"/>
              <w:rPr>
                <w:sz w:val="18"/>
              </w:rPr>
            </w:pPr>
            <w:r>
              <w:rPr>
                <w:sz w:val="18"/>
              </w:rPr>
              <w:t xml:space="preserve">Accelerated Payment of Damages: </w:t>
            </w:r>
            <w:r>
              <w:rPr>
                <w:rFonts w:ascii="WP TypographicSymbols" w:hAnsi="WP TypographicSymbols"/>
                <w:sz w:val="24"/>
              </w:rPr>
              <w:t></w:t>
            </w:r>
            <w:r>
              <w:rPr>
                <w:sz w:val="18"/>
              </w:rPr>
              <w:t xml:space="preserve"> Yes    </w:t>
            </w:r>
            <w:r>
              <w:rPr>
                <w:rFonts w:ascii="WP TypographicSymbols" w:hAnsi="WP TypographicSymbols"/>
                <w:sz w:val="24"/>
              </w:rPr>
              <w:t></w:t>
            </w:r>
            <w:r>
              <w:rPr>
                <w:sz w:val="18"/>
              </w:rPr>
              <w:t>No</w:t>
            </w:r>
          </w:p>
          <w:p>
            <w:pPr>
              <w:pStyle w:val="Normal"/>
              <w:tabs>
                <w:tab w:val="clear" w:pos="720"/>
              </w:tabs>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Five</w:t>
            </w:r>
          </w:p>
          <w:p>
            <w:pPr>
              <w:pStyle w:val="Normal"/>
              <w:bidi w:val="0"/>
              <w:jc w:val="start"/>
              <w:rPr>
                <w:sz w:val="18"/>
              </w:rPr>
            </w:pPr>
            <w:r>
              <w:rPr>
                <w:sz w:val="18"/>
              </w:rPr>
              <w:t>Events of Default;</w:t>
            </w:r>
          </w:p>
          <w:p>
            <w:pPr>
              <w:pStyle w:val="Normal"/>
              <w:widowControl w:val="false"/>
              <w:suppressAutoHyphens w:val="true"/>
              <w:bidi w:val="0"/>
              <w:jc w:val="start"/>
              <w:rPr/>
            </w:pPr>
            <w:r>
              <w:rPr>
                <w:sz w:val="18"/>
              </w:rPr>
              <w:t>Remedies</w:t>
            </w:r>
          </w:p>
        </w:tc>
        <w:tc>
          <w:tcPr>
            <w:tcW w:w="7559" w:type="dxa"/>
            <w:tcBorders/>
          </w:tcPr>
          <w:p>
            <w:pPr>
              <w:pStyle w:val="Normal"/>
              <w:bidi w:val="0"/>
              <w:jc w:val="start"/>
              <w:rPr>
                <w:sz w:val="18"/>
              </w:rPr>
            </w:pPr>
            <w:r>
              <w:rPr>
                <w:rFonts w:ascii="WP TypographicSymbols" w:hAnsi="WP TypographicSymbols"/>
                <w:sz w:val="24"/>
              </w:rPr>
              <w:t></w:t>
            </w:r>
            <w:r>
              <w:rPr>
                <w:sz w:val="18"/>
              </w:rPr>
              <w:t xml:space="preserve"> </w:t>
            </w:r>
            <w:r>
              <w:rPr>
                <w:sz w:val="18"/>
              </w:rPr>
              <w:t>Cross Default for Party A:</w:t>
            </w:r>
          </w:p>
          <w:p>
            <w:pPr>
              <w:pStyle w:val="Normal"/>
              <w:bidi w:val="0"/>
              <w:jc w:val="start"/>
              <w:rPr>
                <w:sz w:val="18"/>
              </w:rPr>
            </w:pPr>
            <w:r>
              <w:rPr>
                <w:sz w:val="24"/>
              </w:rPr>
              <w:tab/>
            </w:r>
            <w:r>
              <w:rPr>
                <w:rFonts w:ascii="WP TypographicSymbols" w:hAnsi="WP TypographicSymbols"/>
                <w:sz w:val="24"/>
              </w:rPr>
              <w:t></w:t>
            </w:r>
            <w:r>
              <w:rPr>
                <w:sz w:val="18"/>
              </w:rPr>
              <w:t xml:space="preserve"> Party A: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rFonts w:ascii="WP TypographicSymbols" w:hAnsi="WP TypographicSymbols"/>
                <w:sz w:val="24"/>
              </w:rPr>
              <w:t></w:t>
            </w:r>
            <w:r>
              <w:rPr>
                <w:sz w:val="18"/>
              </w:rPr>
              <w:t xml:space="preserve"> </w:t>
            </w:r>
            <w:r>
              <w:rPr>
                <w:sz w:val="18"/>
              </w:rPr>
              <w:t>Cross Default for Party B:</w:t>
            </w:r>
          </w:p>
          <w:p>
            <w:pPr>
              <w:pStyle w:val="Normal"/>
              <w:bidi w:val="0"/>
              <w:jc w:val="start"/>
              <w:rPr>
                <w:sz w:val="18"/>
              </w:rPr>
            </w:pPr>
            <w:r>
              <w:rPr>
                <w:sz w:val="24"/>
              </w:rPr>
              <w:tab/>
            </w:r>
            <w:r>
              <w:rPr>
                <w:rFonts w:ascii="WP TypographicSymbols" w:hAnsi="WP TypographicSymbols"/>
                <w:sz w:val="24"/>
              </w:rPr>
              <w:t></w:t>
            </w:r>
            <w:r>
              <w:rPr>
                <w:sz w:val="18"/>
              </w:rPr>
              <w:t xml:space="preserve"> Party B: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sz w:val="18"/>
              </w:rPr>
              <w:t>Guarantor for Party A: _________________________</w:t>
              <w:tab/>
              <w:t>Amount of Guaranty: _______</w:t>
            </w:r>
          </w:p>
          <w:p>
            <w:pPr>
              <w:pStyle w:val="Normal"/>
              <w:bidi w:val="0"/>
              <w:jc w:val="start"/>
              <w:rPr>
                <w:sz w:val="18"/>
              </w:rPr>
            </w:pPr>
            <w:r>
              <w:rPr>
                <w:sz w:val="18"/>
              </w:rPr>
              <w:t>Guarantor for Party B: _________________________</w:t>
              <w:tab/>
              <w:t>Amount of Guaranty: _______</w:t>
            </w:r>
          </w:p>
          <w:p>
            <w:pPr>
              <w:pStyle w:val="Normal"/>
              <w:bidi w:val="0"/>
              <w:jc w:val="start"/>
              <w:rPr>
                <w:sz w:val="18"/>
              </w:rPr>
            </w:pPr>
            <w:r>
              <w:rPr>
                <w:sz w:val="18"/>
              </w:rPr>
              <w:t>5.6 (Setoff):</w:t>
            </w:r>
          </w:p>
          <w:p>
            <w:pPr>
              <w:pStyle w:val="Normal"/>
              <w:tabs>
                <w:tab w:val="left" w:pos="720" w:leader="none"/>
                <w:tab w:val="left" w:pos="1440" w:leader="none"/>
                <w:tab w:val="left" w:pos="2160" w:leader="none"/>
                <w:tab w:val="left" w:pos="2880" w:leader="none"/>
              </w:tabs>
              <w:bidi w:val="0"/>
              <w:jc w:val="start"/>
              <w:rPr>
                <w:sz w:val="18"/>
              </w:rPr>
            </w:pPr>
            <w:r>
              <w:rPr>
                <w:sz w:val="18"/>
              </w:rPr>
              <w:t xml:space="preserve">    </w:t>
            </w:r>
            <w:r>
              <w:rPr>
                <w:sz w:val="18"/>
              </w:rPr>
              <w:tab/>
            </w:r>
            <w:r>
              <w:rPr>
                <w:rFonts w:ascii="WP TypographicSymbols" w:hAnsi="WP TypographicSymbols"/>
                <w:sz w:val="24"/>
              </w:rPr>
              <w:t></w:t>
            </w:r>
            <w:r>
              <w:rPr>
                <w:sz w:val="18"/>
              </w:rPr>
              <w:t xml:space="preserve"> Option A (Applicable if no other selection is made.)</w:t>
            </w:r>
          </w:p>
          <w:p>
            <w:pPr>
              <w:pStyle w:val="Normal"/>
              <w:tabs>
                <w:tab w:val="left" w:pos="720" w:leader="none"/>
                <w:tab w:val="left" w:pos="1440" w:leader="none"/>
                <w:tab w:val="left" w:pos="2160" w:leader="none"/>
                <w:tab w:val="left" w:pos="2880" w:leader="none"/>
              </w:tabs>
              <w:bidi w:val="0"/>
              <w:jc w:val="start"/>
              <w:rPr>
                <w:sz w:val="18"/>
              </w:rPr>
            </w:pPr>
            <w:r>
              <w:rPr>
                <w:sz w:val="18"/>
              </w:rPr>
              <w:tab/>
            </w:r>
            <w:r>
              <w:rPr>
                <w:rFonts w:ascii="WP TypographicSymbols" w:hAnsi="WP TypographicSymbols"/>
                <w:sz w:val="24"/>
              </w:rPr>
              <w:t></w:t>
            </w:r>
            <w:r>
              <w:rPr>
                <w:sz w:val="18"/>
              </w:rPr>
              <w:t xml:space="preserve"> Option B - Affiliates shall have the meaning set forth in the Agreement unless </w:t>
              <w:tab/>
              <w:tab/>
              <w:t>              otherwise specified as follows: __________________________________</w:t>
            </w:r>
          </w:p>
          <w:p>
            <w:pPr>
              <w:pStyle w:val="Normal"/>
              <w:tabs>
                <w:tab w:val="left" w:pos="720" w:leader="none"/>
                <w:tab w:val="left" w:pos="1440" w:leader="none"/>
                <w:tab w:val="left" w:pos="2160" w:leader="none"/>
                <w:tab w:val="left" w:pos="2880" w:leader="none"/>
              </w:tabs>
              <w:bidi w:val="0"/>
              <w:jc w:val="start"/>
              <w:rPr>
                <w:sz w:val="18"/>
              </w:rPr>
            </w:pPr>
            <w:r>
              <w:rPr>
                <w:sz w:val="18"/>
              </w:rPr>
              <w:tab/>
            </w:r>
            <w:r>
              <w:rPr>
                <w:rFonts w:ascii="WP TypographicSymbols" w:hAnsi="WP TypographicSymbols"/>
                <w:sz w:val="24"/>
              </w:rPr>
              <w:t></w:t>
            </w:r>
            <w:r>
              <w:rPr>
                <w:sz w:val="18"/>
              </w:rPr>
              <w:t xml:space="preserve"> Option C (No Setoff)</w:t>
            </w:r>
          </w:p>
          <w:p>
            <w:pPr>
              <w:pStyle w:val="Normal"/>
              <w:tabs>
                <w:tab w:val="left" w:pos="720" w:leader="none"/>
                <w:tab w:val="left" w:pos="1440" w:leader="none"/>
                <w:tab w:val="left" w:pos="2160" w:leader="none"/>
                <w:tab w:val="left" w:pos="2880" w:leader="none"/>
              </w:tabs>
              <w:bidi w:val="0"/>
              <w:jc w:val="start"/>
              <w:rPr/>
            </w:pPr>
            <w:r>
              <w:rPr>
                <w:sz w:val="18"/>
              </w:rPr>
              <w:tab/>
              <w:tab/>
              <w:tab/>
              <w:t xml:space="preserve">                  </w:t>
            </w:r>
          </w:p>
        </w:tc>
      </w:tr>
      <w:tr>
        <w:trPr>
          <w:trHeight w:val="403" w:hRule="atLeast"/>
          <w:cantSplit w:val="true"/>
        </w:trPr>
        <w:tc>
          <w:tcPr>
            <w:tcW w:w="2520" w:type="dxa"/>
            <w:tcBorders/>
          </w:tcPr>
          <w:p>
            <w:pPr>
              <w:pStyle w:val="Normal"/>
              <w:bidi w:val="0"/>
              <w:jc w:val="start"/>
              <w:rPr>
                <w:sz w:val="18"/>
              </w:rPr>
            </w:pPr>
            <w:r>
              <w:rPr>
                <w:sz w:val="18"/>
              </w:rPr>
              <w:t>Article 8</w:t>
            </w:r>
          </w:p>
          <w:p>
            <w:pPr>
              <w:pStyle w:val="Normal"/>
              <w:widowControl w:val="false"/>
              <w:suppressAutoHyphens w:val="true"/>
              <w:bidi w:val="0"/>
              <w:jc w:val="start"/>
              <w:rPr/>
            </w:pPr>
            <w:r>
              <w:rPr>
                <w:sz w:val="18"/>
              </w:rPr>
              <w:t>Credit and Collateral Requirements</w:t>
            </w:r>
          </w:p>
        </w:tc>
        <w:tc>
          <w:tcPr>
            <w:tcW w:w="7559" w:type="dxa"/>
            <w:tcBorders/>
          </w:tcPr>
          <w:p>
            <w:pPr>
              <w:pStyle w:val="Normal"/>
              <w:bidi w:val="0"/>
              <w:jc w:val="start"/>
              <w:rPr>
                <w:sz w:val="18"/>
              </w:rPr>
            </w:pPr>
            <w:r>
              <w:rPr>
                <w:sz w:val="18"/>
              </w:rPr>
              <w:t>8.1 Credit Information:</w:t>
            </w:r>
          </w:p>
          <w:p>
            <w:pPr>
              <w:pStyle w:val="Normal"/>
              <w:bidi w:val="0"/>
              <w:jc w:val="start"/>
              <w:rPr>
                <w:sz w:val="18"/>
              </w:rPr>
            </w:pPr>
            <w:r>
              <w:rPr>
                <w:sz w:val="18"/>
              </w:rPr>
              <w:t>Party A:</w:t>
              <w:tab/>
              <w:tab/>
              <w:tab/>
              <w:tab/>
              <w:tab/>
              <w:tab/>
              <w:tab/>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tab/>
              <w:tab/>
              <w:tab/>
              <w:tab/>
              <w:tab/>
              <w:tab/>
              <w:tab/>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r>
          </w:p>
          <w:p>
            <w:pPr>
              <w:pStyle w:val="Normal"/>
              <w:bidi w:val="0"/>
              <w:jc w:val="start"/>
              <w:rPr>
                <w:sz w:val="18"/>
              </w:rPr>
            </w:pPr>
            <w:r>
              <w:rPr>
                <w:sz w:val="18"/>
              </w:rPr>
              <w:t>Party B:</w:t>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r>
          </w:p>
          <w:p>
            <w:pPr>
              <w:pStyle w:val="Normal"/>
              <w:bidi w:val="0"/>
              <w:jc w:val="start"/>
              <w:rPr>
                <w:sz w:val="18"/>
              </w:rPr>
            </w:pPr>
            <w:r>
              <w:rPr>
                <w:sz w:val="18"/>
              </w:rPr>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t xml:space="preserve">8.2    </w:t>
            </w:r>
            <w:r>
              <w:rPr>
                <w:rFonts w:ascii="WP TypographicSymbols" w:hAnsi="WP TypographicSymbols"/>
                <w:sz w:val="24"/>
              </w:rPr>
              <w:t></w:t>
            </w:r>
            <w:r>
              <w:rPr>
                <w:sz w:val="18"/>
              </w:rPr>
              <w:t xml:space="preserve"> Applicable if no other selection is made.</w:t>
            </w:r>
          </w:p>
          <w:p>
            <w:pPr>
              <w:pStyle w:val="Normal"/>
              <w:bidi w:val="0"/>
              <w:jc w:val="start"/>
              <w:rPr>
                <w:sz w:val="18"/>
              </w:rPr>
            </w:pPr>
            <w:r>
              <w:rPr>
                <w:sz w:val="18"/>
              </w:rPr>
              <w:t xml:space="preserve">8.3    </w:t>
            </w:r>
            <w:r>
              <w:rPr>
                <w:rFonts w:ascii="WP TypographicSymbols" w:hAnsi="WP TypographicSymbols"/>
                <w:sz w:val="24"/>
              </w:rPr>
              <w:t></w:t>
            </w:r>
            <w:r>
              <w:rPr>
                <w:sz w:val="18"/>
              </w:rPr>
              <w:t>    Option A</w:t>
              <w:tab/>
              <w:tab/>
            </w:r>
            <w:r>
              <w:rPr>
                <w:rFonts w:ascii="WP TypographicSymbols" w:hAnsi="WP TypographicSymbols"/>
                <w:sz w:val="24"/>
              </w:rPr>
              <w:t></w:t>
            </w:r>
            <w:r>
              <w:rPr>
                <w:sz w:val="18"/>
              </w:rPr>
              <w:t xml:space="preserve"> Option B</w:t>
            </w:r>
          </w:p>
          <w:p>
            <w:pPr>
              <w:pStyle w:val="Normal"/>
              <w:bidi w:val="0"/>
              <w:jc w:val="start"/>
              <w:rPr>
                <w:sz w:val="18"/>
              </w:rPr>
            </w:pPr>
            <w:r>
              <w:rPr>
                <w:sz w:val="18"/>
              </w:rPr>
              <w:t>Party A Collateral Threshold: $_________; provided, however, that each Party’s Collateral Threshold shall be zero if an Event of    Default or Potential Event of Default with respect to such Party has occurred and is continuing.</w:t>
            </w:r>
          </w:p>
          <w:p>
            <w:pPr>
              <w:pStyle w:val="Normal"/>
              <w:bidi w:val="0"/>
              <w:jc w:val="start"/>
              <w:rPr>
                <w:sz w:val="18"/>
              </w:rPr>
            </w:pPr>
            <w:r>
              <w:rPr>
                <w:sz w:val="18"/>
              </w:rPr>
              <w:t>Party B Collateral Threshold: $ __________; provided, however, that each Party’s Collateral Threshold shall be zero if an Event of    Default or Potential Event of Default with respect to such Party has occurred and is continuing.</w:t>
            </w:r>
          </w:p>
          <w:p>
            <w:pPr>
              <w:pStyle w:val="Normal"/>
              <w:bidi w:val="0"/>
              <w:jc w:val="start"/>
              <w:rPr>
                <w:sz w:val="18"/>
              </w:rPr>
            </w:pPr>
            <w:r>
              <w:rPr>
                <w:sz w:val="18"/>
              </w:rPr>
              <w:t>Party A Independent Amount: $__________</w:t>
            </w:r>
          </w:p>
          <w:p>
            <w:pPr>
              <w:pStyle w:val="Normal"/>
              <w:bidi w:val="0"/>
              <w:jc w:val="start"/>
              <w:rPr>
                <w:sz w:val="18"/>
              </w:rPr>
            </w:pPr>
            <w:r>
              <w:rPr>
                <w:sz w:val="18"/>
              </w:rPr>
              <w:t>Party B Independent Amount: $__________</w:t>
            </w:r>
          </w:p>
          <w:p>
            <w:pPr>
              <w:pStyle w:val="Normal"/>
              <w:bidi w:val="0"/>
              <w:jc w:val="start"/>
              <w:rPr>
                <w:sz w:val="18"/>
              </w:rPr>
            </w:pPr>
            <w:r>
              <w:rPr>
                <w:sz w:val="18"/>
              </w:rPr>
              <w:t>Party A Rounding Amount:          $__________</w:t>
            </w:r>
          </w:p>
          <w:p>
            <w:pPr>
              <w:pStyle w:val="Normal"/>
              <w:bidi w:val="0"/>
              <w:jc w:val="start"/>
              <w:rPr>
                <w:sz w:val="18"/>
              </w:rPr>
            </w:pPr>
            <w:r>
              <w:rPr>
                <w:sz w:val="18"/>
              </w:rPr>
              <w:t>Party B Rounding Amount:          $__________</w:t>
            </w:r>
          </w:p>
          <w:p>
            <w:pPr>
              <w:pStyle w:val="Normal"/>
              <w:bidi w:val="0"/>
              <w:jc w:val="start"/>
              <w:rPr>
                <w:sz w:val="18"/>
              </w:rPr>
            </w:pPr>
            <w:r>
              <w:rPr>
                <w:sz w:val="18"/>
              </w:rPr>
            </w:r>
          </w:p>
          <w:p>
            <w:pPr>
              <w:pStyle w:val="Normal"/>
              <w:bidi w:val="0"/>
              <w:jc w:val="start"/>
              <w:rPr>
                <w:sz w:val="18"/>
              </w:rPr>
            </w:pPr>
            <w:r>
              <w:rPr>
                <w:sz w:val="18"/>
              </w:rPr>
              <w:t>8.4 Downgrade Event applicable</w:t>
            </w:r>
          </w:p>
          <w:p>
            <w:pPr>
              <w:pStyle w:val="Normal"/>
              <w:bidi w:val="0"/>
              <w:jc w:val="start"/>
              <w:rPr>
                <w:sz w:val="18"/>
              </w:rPr>
            </w:pPr>
            <w:r>
              <w:rPr>
                <w:sz w:val="18"/>
              </w:rPr>
              <w:t xml:space="preserve"> </w:t>
            </w:r>
            <w:r>
              <w:rPr>
                <w:rFonts w:ascii="WP TypographicSymbols" w:hAnsi="WP TypographicSymbols"/>
                <w:sz w:val="24"/>
              </w:rPr>
              <w:t></w:t>
            </w:r>
            <w:r>
              <w:rPr>
                <w:sz w:val="18"/>
              </w:rPr>
              <w:t xml:space="preserve"> </w:t>
            </w:r>
            <w:r>
              <w:rPr>
                <w:sz w:val="18"/>
              </w:rPr>
              <w:t>It shall be a Downgrade Event for Party A if __________’s Credit Rating falls below __________ from S&amp;P or    __________ from Moody’s or if    _________ is not rated    by either S&amp;P or Moody’s</w:t>
            </w:r>
          </w:p>
          <w:p>
            <w:pPr>
              <w:pStyle w:val="Normal"/>
              <w:bidi w:val="0"/>
              <w:jc w:val="start"/>
              <w:rPr>
                <w:sz w:val="18"/>
              </w:rPr>
            </w:pPr>
            <w:r>
              <w:rPr>
                <w:rFonts w:ascii="WP TypographicSymbols" w:hAnsi="WP TypographicSymbols"/>
                <w:sz w:val="24"/>
              </w:rPr>
              <w:t></w:t>
            </w:r>
            <w:r>
              <w:rPr>
                <w:sz w:val="18"/>
              </w:rPr>
              <w:t xml:space="preserve"> </w:t>
            </w:r>
            <w:r>
              <w:rPr>
                <w:sz w:val="18"/>
              </w:rPr>
              <w:t>Other:</w:t>
            </w:r>
          </w:p>
          <w:p>
            <w:pPr>
              <w:pStyle w:val="Normal"/>
              <w:bidi w:val="0"/>
              <w:jc w:val="start"/>
              <w:rPr>
                <w:sz w:val="18"/>
              </w:rPr>
            </w:pPr>
            <w:r>
              <w:rPr>
                <w:sz w:val="18"/>
              </w:rPr>
              <w:t>Specify: _____</w:t>
            </w:r>
          </w:p>
          <w:p>
            <w:pPr>
              <w:pStyle w:val="Normal"/>
              <w:bidi w:val="0"/>
              <w:jc w:val="start"/>
              <w:rPr>
                <w:sz w:val="18"/>
              </w:rPr>
            </w:pPr>
            <w:r>
              <w:rPr>
                <w:sz w:val="24"/>
              </w:rPr>
              <w:t xml:space="preserve"> </w:t>
            </w:r>
            <w:r>
              <w:rPr>
                <w:rFonts w:ascii="WP TypographicSymbols" w:hAnsi="WP TypographicSymbols"/>
                <w:sz w:val="24"/>
              </w:rPr>
              <w:t></w:t>
            </w:r>
            <w:r>
              <w:rPr>
                <w:sz w:val="24"/>
              </w:rPr>
              <w:t xml:space="preserve"> </w:t>
            </w:r>
            <w:r>
              <w:rPr>
                <w:sz w:val="18"/>
              </w:rPr>
              <w:t xml:space="preserve">It shall be a Downgrade Event for Party B if __________’s Credit Rating falls below __________ from S&amp;P or    __________ from Moody’s or if    __________ is not rated by either S&amp;P or Moody’s </w:t>
            </w:r>
          </w:p>
          <w:p>
            <w:pPr>
              <w:pStyle w:val="Normal"/>
              <w:bidi w:val="0"/>
              <w:jc w:val="start"/>
              <w:rPr>
                <w:sz w:val="18"/>
              </w:rPr>
            </w:pPr>
            <w:r>
              <w:rPr>
                <w:sz w:val="24"/>
              </w:rPr>
              <w:t xml:space="preserve"> </w:t>
            </w:r>
            <w:r>
              <w:rPr>
                <w:rFonts w:ascii="WP TypographicSymbols" w:hAnsi="WP TypographicSymbols"/>
                <w:sz w:val="24"/>
              </w:rPr>
              <w:t></w:t>
            </w:r>
            <w:r>
              <w:rPr>
                <w:sz w:val="18"/>
              </w:rPr>
              <w:t xml:space="preserve"> </w:t>
            </w:r>
            <w:r>
              <w:rPr>
                <w:sz w:val="18"/>
              </w:rPr>
              <w:t>Other:</w:t>
            </w:r>
          </w:p>
          <w:p>
            <w:pPr>
              <w:pStyle w:val="Normal"/>
              <w:bidi w:val="0"/>
              <w:jc w:val="start"/>
              <w:rPr>
                <w:sz w:val="18"/>
              </w:rPr>
            </w:pPr>
            <w:r>
              <w:rPr>
                <w:sz w:val="18"/>
              </w:rPr>
              <w:t>Specify: ______________________</w:t>
            </w:r>
          </w:p>
          <w:p>
            <w:pPr>
              <w:pStyle w:val="Normal"/>
              <w:bidi w:val="0"/>
              <w:jc w:val="start"/>
              <w:rPr>
                <w:sz w:val="18"/>
              </w:rPr>
            </w:pPr>
            <w:r>
              <w:rPr>
                <w:sz w:val="18"/>
              </w:rPr>
            </w:r>
          </w:p>
          <w:p>
            <w:pPr>
              <w:pStyle w:val="Normal"/>
              <w:bidi w:val="0"/>
              <w:jc w:val="start"/>
              <w:rPr>
                <w:sz w:val="18"/>
              </w:rPr>
            </w:pPr>
            <w:r>
              <w:rPr>
                <w:sz w:val="18"/>
              </w:rPr>
              <w:t xml:space="preserve">8.5    </w:t>
            </w:r>
            <w:r>
              <w:rPr>
                <w:rFonts w:ascii="WP TypographicSymbols" w:hAnsi="WP TypographicSymbols"/>
                <w:sz w:val="24"/>
              </w:rPr>
              <w:t></w:t>
            </w:r>
            <w:r>
              <w:rPr>
                <w:sz w:val="18"/>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10</w:t>
            </w:r>
          </w:p>
          <w:p>
            <w:pPr>
              <w:pStyle w:val="Normal"/>
              <w:widowControl w:val="false"/>
              <w:suppressAutoHyphens w:val="true"/>
              <w:bidi w:val="0"/>
              <w:jc w:val="start"/>
              <w:rPr/>
            </w:pPr>
            <w:r>
              <w:rPr>
                <w:sz w:val="18"/>
              </w:rPr>
              <w:t>Confidentiality</w:t>
            </w:r>
          </w:p>
        </w:tc>
        <w:tc>
          <w:tcPr>
            <w:tcW w:w="7559" w:type="dxa"/>
            <w:tcBorders/>
          </w:tcPr>
          <w:p>
            <w:pPr>
              <w:pStyle w:val="Normal"/>
              <w:bidi w:val="0"/>
              <w:jc w:val="start"/>
              <w:rPr>
                <w:sz w:val="24"/>
              </w:rPr>
            </w:pPr>
            <w:r>
              <w:rPr>
                <w:sz w:val="18"/>
              </w:rPr>
              <w:t xml:space="preserve">Confidentiality Applicable    </w:t>
            </w:r>
            <w:r>
              <w:rPr>
                <w:rFonts w:ascii="WP TypographicSymbols" w:hAnsi="WP TypographicSymbols"/>
                <w:sz w:val="24"/>
              </w:rPr>
              <w:t></w:t>
            </w:r>
            <w:r>
              <w:rPr>
                <w:sz w:val="18"/>
              </w:rPr>
              <w:t>    If not checked, inapplicable.</w:t>
            </w:r>
            <w:r>
              <w:rPr>
                <w:sz w:val="24"/>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tabs>
                <w:tab w:val="clear" w:pos="720"/>
              </w:tabs>
              <w:bidi w:val="0"/>
              <w:jc w:val="start"/>
              <w:rPr>
                <w:sz w:val="18"/>
              </w:rPr>
            </w:pPr>
            <w:r>
              <w:rPr>
                <w:sz w:val="18"/>
              </w:rPr>
              <w:t>Schedule M</w:t>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r>
          </w:p>
          <w:p>
            <w:pPr>
              <w:pStyle w:val="Normal"/>
              <w:tabs>
                <w:tab w:val="clear" w:pos="720"/>
              </w:tabs>
              <w:bidi w:val="0"/>
              <w:jc w:val="start"/>
              <w:rPr>
                <w:sz w:val="18"/>
              </w:rPr>
            </w:pPr>
            <w:r>
              <w:rPr>
                <w:sz w:val="18"/>
              </w:rPr>
            </w:r>
          </w:p>
          <w:p>
            <w:pPr>
              <w:pStyle w:val="Normal"/>
              <w:tabs>
                <w:tab w:val="clear" w:pos="720"/>
              </w:tabs>
              <w:bidi w:val="0"/>
              <w:jc w:val="start"/>
              <w:rPr/>
            </w:pPr>
            <w:r>
              <w:rPr>
                <w:sz w:val="18"/>
              </w:rPr>
              <w:t>Schedule PP</w:t>
            </w:r>
          </w:p>
        </w:tc>
        <w:tc>
          <w:tcPr>
            <w:tcW w:w="7559" w:type="dxa"/>
            <w:tcBorders/>
          </w:tcPr>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Governmental Entity and Schedule M is applicable</w:t>
            </w:r>
          </w:p>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Governmental Entity and Schedule M is applicable</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24"/>
              </w:rPr>
              <w:t xml:space="preserve"> </w:t>
            </w:r>
            <w:r>
              <w:rPr>
                <w:sz w:val="18"/>
              </w:rPr>
              <w:t>Add 3.5</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18"/>
              </w:rPr>
              <w:t xml:space="preserve"> </w:t>
            </w:r>
            <w:r>
              <w:rPr>
                <w:sz w:val="18"/>
              </w:rPr>
              <w:t>Add 8.6</w:t>
            </w:r>
          </w:p>
          <w:p>
            <w:pPr>
              <w:pStyle w:val="Normal"/>
              <w:tabs>
                <w:tab w:val="clear" w:pos="720"/>
              </w:tabs>
              <w:bidi w:val="0"/>
              <w:jc w:val="start"/>
              <w:rPr>
                <w:sz w:val="24"/>
              </w:rPr>
            </w:pPr>
            <w:r>
              <w:rPr>
                <w:sz w:val="24"/>
              </w:rPr>
            </w:r>
          </w:p>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Public Power System and Schedule PP is applicable</w:t>
            </w:r>
          </w:p>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Public Power System and Schedule PP is applicable</w:t>
            </w:r>
          </w:p>
          <w:p>
            <w:pPr>
              <w:pStyle w:val="Normal"/>
              <w:tabs>
                <w:tab w:val="clear" w:pos="720"/>
              </w:tabs>
              <w:bidi w:val="0"/>
              <w:jc w:val="start"/>
              <w:rPr>
                <w:sz w:val="24"/>
              </w:rPr>
            </w:pPr>
            <w:r>
              <w:rPr>
                <w:sz w:val="24"/>
              </w:rPr>
            </w:r>
          </w:p>
        </w:tc>
      </w:tr>
    </w:tbl>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 xml:space="preserve">      </w:t>
      </w:r>
      <w:r>
        <w:rPr>
          <w:sz w:val="18"/>
        </w:rPr>
        <w:t xml:space="preserve">Other Changes:    </w:t>
        <w:tab/>
        <w:tab/>
        <w:tab/>
        <w:t>        Specify,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ab/>
        <w:tab/>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IN WITNESS WHEREOF, the Parties have caused this Master Agreement to be duly executed as of the date first above written.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Party A Name</w:t>
        <w:tab/>
        <w:tab/>
        <w:tab/>
        <w:tab/>
        <w:tab/>
        <w:tab/>
        <w:t>Party B Name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By: ____________________________________</w:t>
        <w:tab/>
        <w:tab/>
        <w:t>By: ____________________________________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Name: __________________________________</w:t>
        <w:tab/>
        <w:t>Name: 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sectPr>
          <w:footerReference w:type="even" r:id="rId2"/>
          <w:footerReference w:type="default" r:id="rId3"/>
          <w:footerReference w:type="first" r:id="rId4"/>
          <w:type w:val="nextPage"/>
          <w:pgSz w:w="12240" w:h="15840"/>
          <w:pgMar w:left="720" w:right="1440" w:gutter="0" w:header="0" w:top="720" w:footer="1056" w:bottom="1113"/>
          <w:pgNumType w:fmt="decimal"/>
          <w:formProt w:val="false"/>
          <w:titlePg/>
          <w:textDirection w:val="lrTb"/>
        </w:sect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Title: ___________________________________</w:t>
        <w:tab/>
        <w:t>Title: ___________________________________</w:t>
      </w:r>
      <w:r>
        <w:br w:type="page"/>
      </w:r>
    </w:p>
    <w:p>
      <w:pPr>
        <w:pStyle w:val="Normal"/>
        <w:bidi w:val="0"/>
        <w:jc w:val="start"/>
        <w:rPr>
          <w:sz w:val="24"/>
        </w:rPr>
      </w:pPr>
      <w:r>
        <w:rPr>
          <w:sz w:val="24"/>
        </w:rPr>
      </w:r>
    </w:p>
    <w:p>
      <w:pPr>
        <w:sectPr>
          <w:footerReference w:type="even" r:id="rId5"/>
          <w:footerReference w:type="default" r:id="rId6"/>
          <w:footerReference w:type="first" r:id="rId7"/>
          <w:type w:val="nextPage"/>
          <w:pgSz w:w="12240" w:h="15840"/>
          <w:pgMar w:left="720" w:right="1440" w:gutter="0" w:header="0" w:top="720" w:footer="1056" w:bottom="1113"/>
          <w:pgNumType w:fmt="decimal"/>
          <w:formProt w:val="false"/>
          <w:textDirection w:val="lrTb"/>
        </w:sectPr>
      </w:pP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GENERAL TERMS AND CONDITIONS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TABLE OF CONTENTS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sdt>
      <w:sdtPr>
        <w:docPartObj>
          <w:docPartGallery w:val="Table of Contents"/>
          <w:docPartUnique w:val="true"/>
        </w:docPartObj>
      </w:sdtPr>
      <w:sdtContent>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fldChar w:fldCharType="begin"/>
          </w:r>
          <w:r>
            <w:rPr>
              <w:sz w:val="24"/>
            </w:rPr>
            <w:instrText xml:space="preserve"> TOC \f \h</w:instrText>
          </w:r>
          <w:r>
            <w:rPr>
              <w:sz w:val="24"/>
            </w:rPr>
            <w:fldChar w:fldCharType="separate"/>
          </w:r>
          <w:r>
            <w:rPr>
              <w:sz w:val="24"/>
            </w:rPr>
            <w:b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ONE:</w:t>
            <w:tab/>
            <w:t>GENERAL DEFINITIONS</w:t>
            <w:tab/>
            <w:t>-4-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TWO:</w:t>
            <w:tab/>
            <w:t>TRANSACTION TERMS AND CONDITIONS</w:t>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2.1</w:t>
            <w:tab/>
            <w:t>Transactions</w:t>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2.2</w:t>
            <w:tab/>
            <w:t>Governing Terms</w:t>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2.3</w:t>
            <w:tab/>
            <w:t>Confirmation</w:t>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2.4</w:t>
            <w:tab/>
            <w:t>Recording</w:t>
            <w:tab/>
            <w:t>-9-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THREE:</w:t>
            <w:tab/>
            <w:t>OBLIGATIONS AND DELIVERIES</w:t>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3.1</w:t>
            <w:tab/>
            <w:t>Seller's and Buyer's Obligations</w:t>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3.2</w:t>
            <w:tab/>
            <w:t>Transmission and Scheduling</w:t>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3.3</w:t>
            <w:tab/>
            <w:t>Force Majeure</w:t>
            <w:tab/>
            <w:t>-10-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FOUR:</w:t>
            <w:tab/>
            <w:t>REMEDIES FOR FAILURE TO DELIVER/RECEIVE</w:t>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4.1</w:t>
            <w:tab/>
            <w:t>Seller Failure</w:t>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4.2</w:t>
            <w:tab/>
            <w:t>Buyer Failure</w:t>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FIVE:</w:t>
            <w:tab/>
            <w:t>EVENTS OF DEFAULT; REMEDIES</w:t>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5.1</w:t>
            <w:tab/>
            <w:t>Events of Default</w:t>
            <w:tab/>
            <w:t>-11-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5.2</w:t>
            <w:tab/>
            <w:t xml:space="preserve">Declaration of an Early Termination Date and Calculation of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ab/>
            <w:tab/>
            <w:t>Settlement Amounts</w:t>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5.3</w:t>
            <w:tab/>
            <w:t>Net Out of Settlement Amounts</w:t>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5.4</w:t>
            <w:tab/>
            <w:t>Notice of Payment of Termination Payment</w:t>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5.5</w:t>
            <w:tab/>
            <w:t>Disputes With Respect to Termination Payment</w:t>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5.6</w:t>
            <w:tab/>
            <w:t>Closeout Setoffs</w:t>
            <w:tab/>
            <w:t>-13-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5.7</w:t>
            <w:tab/>
            <w:t>Suspension of Performance</w:t>
            <w:tab/>
            <w:t>-14-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SIX:</w:t>
            <w:tab/>
            <w:t>PAYMENT AND NETTING</w:t>
            <w:tab/>
            <w:t>-14-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6.1</w:t>
            <w:tab/>
            <w:t>Billing Period</w:t>
            <w:tab/>
            <w:t>-14-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6.2</w:t>
            <w:tab/>
            <w:t>Timeliness of Payment</w:t>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6.3</w:t>
            <w:tab/>
            <w:t>Disputes and Adjustments of Invoices</w:t>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6.4</w:t>
            <w:tab/>
            <w:t>Netting of Payments</w:t>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6.5</w:t>
            <w:tab/>
            <w:t>Payment Obligation Absent Netting</w:t>
            <w:tab/>
            <w:t>-15-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6.6</w:t>
            <w:tab/>
            <w:t>Security</w:t>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6.7</w:t>
            <w:tab/>
            <w:t>Payment for Options</w:t>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6.8</w:t>
            <w:tab/>
            <w:t>Transaction Netting</w:t>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SEVEN:</w:t>
            <w:tab/>
            <w:t>LIMITATIONS</w:t>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7.1</w:t>
            <w:tab/>
            <w:t>Limitation of Remedies, Liability and Damages</w:t>
            <w:tab/>
            <w:t>-16-</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EIGHT:</w:t>
            <w:tab/>
            <w:t>CREDIT AND COLLATERAL REQUIREMENTS</w:t>
            <w:tab/>
            <w:t>-17-</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8.1</w:t>
            <w:tab/>
            <w:t>Financial Information</w:t>
            <w:tab/>
            <w:t>-17-</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8.2</w:t>
            <w:tab/>
            <w:t>Credit Assurances</w:t>
            <w:tab/>
            <w:t>-18-</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8.3</w:t>
            <w:tab/>
            <w:t>(a)  Party B Performance Assurance</w:t>
            <w:tab/>
            <w:t>-18-</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ab/>
            <w:t>(b)  Party A Performance Assurance</w:t>
            <w:tab/>
            <w:t>-18-</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8.4</w:t>
            <w:tab/>
            <w:t>Downgrade Event</w:t>
            <w:tab/>
            <w:t>-19-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 xml:space="preserve">8.5 </w:t>
            <w:tab/>
            <w:t>Grant of Security Interest/Remedies</w:t>
            <w:tab/>
            <w:t>-19-</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NINE:</w:t>
            <w:tab/>
            <w:t>TAXES</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9.1</w:t>
            <w:tab/>
            <w:t>Cooperation</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9.2</w:t>
            <w:tab/>
            <w:t>Taxes</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start"/>
            <w:rPr>
              <w:sz w:val="24"/>
            </w:rPr>
          </w:pPr>
          <w:r>
            <w:rPr>
              <w:sz w:val="24"/>
            </w:rPr>
            <w:t>ARTICLE TEN:</w:t>
            <w:tab/>
            <w:t>MISCELLANEOUS</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10.1</w:t>
            <w:tab/>
            <w:t>Term of Master Agreement</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10.2</w:t>
            <w:tab/>
            <w:t>Representations and Warranties</w:t>
            <w:tab/>
            <w:t>-20-</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10.3</w:t>
            <w:tab/>
            <w:t>Title and Risk of Loss</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10.4</w:t>
            <w:tab/>
            <w:t>Indemnity</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10.5</w:t>
            <w:tab/>
            <w:t>Assignment</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10.6</w:t>
            <w:tab/>
            <w:t>Governing Law</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10.7</w:t>
            <w:tab/>
            <w:t>Notices</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10.8</w:t>
            <w:tab/>
            <w:t>General</w:t>
            <w:tab/>
            <w:t>-22-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10.9</w:t>
            <w:tab/>
            <w:t>Audit</w:t>
            <w:tab/>
            <w:t>-23-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10.10</w:t>
            <w:tab/>
            <w:t>Forward Contract</w:t>
            <w:tab/>
            <w:t>-23-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start"/>
            <w:rPr>
              <w:sz w:val="24"/>
            </w:rPr>
          </w:pPr>
          <w:r>
            <w:rPr>
              <w:sz w:val="24"/>
            </w:rPr>
            <w:t>10.11</w:t>
            <w:tab/>
            <w:t>Confidentiality</w:t>
            <w:tab/>
            <w:t>-23-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SCHEDULE M</w:t>
            <w:tab/>
            <w:t>-25-</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SCHEDULE P : PRODUCTS AND RELATED DEFINITIONS</w:t>
            <w:tab/>
            <w:t>-28-</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SCHEDULE PP</w:t>
            <w:tab/>
            <w:t>-33-</w:t>
          </w:r>
          <w:r>
            <w:rPr>
              <w:sz w:val="24"/>
            </w:rPr>
            <w:fldChar w:fldCharType="end"/>
          </w:r>
        </w:p>
      </w:sdtContent>
    </w:sdt>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sectPr>
          <w:type w:val="continuous"/>
          <w:pgSz w:w="12240" w:h="15840"/>
          <w:pgMar w:left="720" w:right="1440" w:gutter="0" w:header="0" w:top="720" w:footer="1056" w:bottom="1113"/>
          <w:formProt w:val="false"/>
          <w:textDirection w:val="lrTb"/>
          <w:docGrid w:type="default" w:linePitch="312" w:charSpace="2047"/>
        </w:sectPr>
      </w:pP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vanish/>
          <w:sz w:val="24"/>
        </w:rPr>
      </w:pPr>
      <w:r>
        <w:rPr>
          <w:b/>
          <w:sz w:val="24"/>
        </w:rPr>
        <w:tab/>
      </w:r>
      <w:r>
        <w:rPr>
          <w:b/>
          <w:sz w:val="24"/>
          <w:u w:val="single"/>
        </w:rPr>
        <w:t>GENERAL TERMS AND CONDITIONSARTICLE ONE:</w:t>
      </w:r>
      <w:r>
        <w:rPr>
          <w:b/>
          <w:sz w:val="24"/>
        </w:rPr>
        <w:t>GENERAL DEFINITIONS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vanish/>
          <w:sz w:val="24"/>
        </w:rPr>
      </w:pPr>
      <w:r>
        <w:rPr>
          <w:b/>
          <w:vanish/>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rPr>
      </w:pPr>
      <w:r>
        <w:rPr>
          <w:b/>
          <w:vanish/>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rPr>
      </w:pPr>
      <w:r>
        <w:rPr>
          <w:b/>
          <w:vanish/>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fldChar w:fldCharType="begin"/>
      </w:r>
      <w:r>
        <w:rPr/>
        <w:instrText xml:space="preserve"> TC "</w:instrText>
        <w:tab/>
        <w:instrText xml:space="preserve">GENERAL TERMS AND CONDITIONSARTICLE ONE:GENERAL DEFINITIONS"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1.1</w:t>
        <w:tab/>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both"/>
        <w:rPr>
          <w:sz w:val="24"/>
        </w:rPr>
      </w:pPr>
      <w:r>
        <w:rPr>
          <w:sz w:val="24"/>
        </w:rPr>
        <w:tab/>
        <w:t>1.2</w:t>
        <w:tab/>
        <w:t xml:space="preserve">“Agreement” has the meaning set forth in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w:t>
        <w:tab/>
        <w:t>“Bankrupt” means with respect to a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w:t>
        <w:tab/>
        <w:t>“Business Day” means any day except a Saturday, Sunday, a Federal Reserve Bank holiday or a holiday as defined by the North American Electric Reliability Council or any successor organization thereto.    A Business Day shall open at 8:00 a.m. and close at 5:00 p.m. local time for the relevant Party’s principal place of business.    The relevant Party, in each instance unless other specified, shall be the Party to whom the notice, payment or delivery is being sent and by whom the notice or payment or delivery is to be received.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w:t>
        <w:tab/>
        <w:t>“Buyer” means the Party to a Transaction that is obligated to purchase and receive, or cause to be received,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1.6</w:t>
        <w:tab/>
        <w:t>“Claiming Party” has the meaning set forth in Section 3.3.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1.7</w:t>
        <w:tab/>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1.8</w:t>
        <w:tab/>
        <w:t>“Confirmation” has the meaning set forth in Section 2.3.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1.9</w:t>
        <w:tab/>
        <w:t>“Contract Price” means the price in $U.S. (unless otherwise provided for) to be paid by Buyer to Seller for the purchase of the Product,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1.10</w:t>
        <w:tab/>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1.11</w:t>
        <w:tab/>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1.12</w:t>
        <w:tab/>
        <w:t>“Cross Default Amount” means the cross default amount, if any, set forth in the Cover Sheet for a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1.13</w:t>
        <w:tab/>
        <w:t>“Defaulting Party”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1.14</w:t>
        <w:tab/>
        <w:t>“Delivery Period” means the period of delivery for a Transaction, as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1.15</w:t>
        <w:tab/>
        <w:t>“Delivery Point” means the point at which the Product will be delivered and received,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1.16</w:t>
        <w:tab/>
        <w:t>“Downgrade Event”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1.17</w:t>
        <w:tab/>
        <w:t>“Early Termination Date”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1.18</w:t>
        <w:tab/>
        <w:t>“Effective Date”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1.19</w:t>
        <w:tab/>
        <w:t>“Estimated Duration (FM)” has the meaning set forth in Section 3.3.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1.20</w:t>
        <w:tab/>
        <w:t>“Event of Default”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1.21</w:t>
        <w:tab/>
        <w:t>“FERC” means the Federal Energy Regulatory Commission or any successor government agency.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1.22</w:t>
        <w:tab/>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solely shall not be sufficient to conclusively or presumptively prove the existence of a Force Majeure absent a showing of other facts and circumstances which in the aggregate with such factors establish that a Force Majeure as defined in the first sentence hereof has occurred.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1.23</w:t>
        <w:tab/>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1.24</w:t>
        <w:tab/>
        <w:t xml:space="preserve">“Guarantor” means, with respect to a Party, the guarantor, if any, specified for such Party on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1.25</w:t>
        <w:tab/>
        <w:t xml:space="preserve">“Interest Rate” means, for any date, the lesser of (a) the per annum rate of interest equal to the prime lending rate as may from time to time be published in </w:t>
      </w:r>
      <w:r>
        <w:rPr>
          <w:i/>
          <w:sz w:val="24"/>
        </w:rPr>
        <w:t>The</w:t>
      </w:r>
      <w:r>
        <w:rPr>
          <w:sz w:val="24"/>
        </w:rPr>
        <w:t xml:space="preserve"> </w:t>
      </w:r>
      <w:r>
        <w:rPr>
          <w:i/>
          <w:sz w:val="24"/>
        </w:rPr>
        <w:t>Wall Street Journal</w:t>
      </w:r>
      <w:r>
        <w:rPr>
          <w:sz w:val="24"/>
        </w:rPr>
        <w:t xml:space="preserve"> under “Money Rates” on such day (or if not published on such day on the most recent preceding day on which published), plus two percent (2%) and (b) the maximum rate permitted by applicable law.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1.26</w:t>
        <w:tab/>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1.27</w:t>
        <w:tab/>
        <w:t xml:space="preserve">“Losses” means, with respect to any Party, an amount equal to the present value of the economic loss to it, if any (exclusive of Costs),    resulting from the termination of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920" w:start="9360"/>
        <w:jc w:val="both"/>
        <w:rPr>
          <w:sz w:val="24"/>
        </w:rPr>
      </w:pPr>
      <w:r>
        <w:rPr>
          <w:sz w:val="24"/>
        </w:rPr>
        <w:t>1.28</w:t>
        <w:tab/>
        <w:t xml:space="preserve">“Master Agreement” has the meaning set forth on the Cover Sheet.    </w:t>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1.29</w:t>
        <w:tab/>
        <w:t xml:space="preserve">“Moody’s” means Moody’s Investor Services,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1.30</w:t>
        <w:tab/>
        <w:t>“Non-Defaulting Party”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1.31</w:t>
        <w:tab/>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1.32</w:t>
        <w:tab/>
        <w:t>“Option Buyer” means the Party specified in a Transaction as the purchaser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1.33</w:t>
        <w:tab/>
        <w:t>“Option Seller” means the Party specified in a Transaction as the seller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1.34</w:t>
        <w:tab/>
        <w:t>“Party A Collateral Threshold” means the collateral threshold,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1.35</w:t>
        <w:tab/>
        <w:t>“Party B Collateral Threshold” means the collateral threshold,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1.36</w:t>
        <w:tab/>
        <w:t>“Party A Independent Amount" means the amount of unsecured debt, 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1.37</w:t>
        <w:tab/>
        <w:t>“Party B Independent Amount” means the amount of unsecured debt,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1.38</w:t>
        <w:tab/>
        <w:t>“Party A Tariff” means the tariff, if any, specified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1.39</w:t>
        <w:tab/>
        <w:t>“Party B Tariff” means the tariff, if any, specified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1.40</w:t>
        <w:tab/>
        <w:t xml:space="preserve">“Performance Assurance” means collateral in the form of either cash, Letter(s) of Credit,    or other security acceptable to the requesting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1.41</w:t>
        <w:tab/>
        <w:t>“Potential Event of Default” means an event which, with notice or passage of time or both, would constitute an Event Of Default.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1.42</w:t>
        <w:tab/>
        <w:t>“Product” means electric capacity, energy or other product(s) related thereto as specified in a Transaction by reference to a Product listed in Schedule P hereto or as otherwise specified by the Parties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1.43</w:t>
        <w:tab/>
        <w:t>“Quantity” means that quantity of the Product that Seller agrees to make available or sell and deliver, or cause to be delivered, to Buyer, and that Buyer agrees to purchase and receive, or cause to be received, from Seller as specified in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1.44</w:t>
        <w:tab/>
        <w:t xml:space="preserve">“Recording” has the meaning set forth in Section 2.4. 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1.45</w:t>
        <w:tab/>
        <w:t>“Replacement Price” means the price at which Buyer, acting in a commercially reasonable manner, purchases at the Delivery Point a replacement for any Product specified in a Transaction but not delivered by Seller (plus amounts reasonably incurred by Buyer in purchasing such substitute Product including additional transmission charges, if any, incurred by Buyer to the Delivery Point) or, at Buyer’s option, the market price for such Product not delivered at the Delivery Point as determined by Buyer in a commercially reasonable manner; provided, however, in no event shall such price include any penalties, ratcheted demand or similar charges.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1.46</w:t>
        <w:tab/>
        <w:t>“Rounding Amount” means the amount, if any,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1.47</w:t>
        <w:tab/>
        <w:t xml:space="preserve">“S&amp;P” means the Standard &amp; Poor’s Rating Group (a division of McGraw-Hill,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1.48</w:t>
        <w:tab/>
        <w:t>“Sales Price” means the price at which Seller, acting in a commercially reasonable manner, resells at the Delivery Point any Product not received by Buyer (i) deducting from such proceeds any costs reasonably incurred by Seller in reselling such Products and (ii) excluding additional transmission charges, if any,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a Party be required to utilize or change its utilization of its owned or controlled assets, including contractual assets, or market positions to minimize the other Party’s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1.49</w:t>
        <w:tab/>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1.50</w:t>
        <w:tab/>
        <w:t>“Seller” means the Party to a Transaction that is obligated to sell and deliver, or cause to be delivered,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1.51</w:t>
        <w:tab/>
        <w:t>“Settlement Amount” means, with respect to a Transaction and the Non</w:t>
        <w:noBreakHyphen/>
        <w:t>Defaulting Party, the Losses or Gains, and Costs, expressed in U.S. Dollars, which such party incurs as a result of the liquidation of a Terminated Transaction pursuant to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1.52</w:t>
        <w:tab/>
        <w:t>“Terminated Transaction”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1.53</w:t>
        <w:tab/>
        <w:t>“Termination Payment” has the meaning set forth in Section 5.3.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1.54</w:t>
        <w:tab/>
        <w:t>“Transaction” means a particular transaction agreed to by the Parties relating to the sale and purchase of a Product pursuant to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single"/>
        </w:rPr>
      </w:pPr>
      <w:r>
        <w:rPr>
          <w:sz w:val="24"/>
        </w:rPr>
        <w:tab/>
        <w:t>1.55</w:t>
        <w:tab/>
        <w:t>“Transmission Provider” means any entity or entities transmitting or transporting the Product on behalf of Seller or Buyer to or from the Delivery Point in a particular Transaction.</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TWO</w:t>
      </w:r>
      <w:r>
        <w:rPr>
          <w:b/>
          <w:sz w:val="24"/>
        </w:rPr>
        <w:t>:</w:t>
      </w:r>
      <w:r>
        <w:rPr>
          <w:b/>
          <w:sz w:val="22"/>
        </w:rPr>
        <w:t>TRANSACTION TERMS AND CONDITIONS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u w:val="single"/>
        </w:rPr>
      </w:pPr>
      <w:r>
        <w:fldChar w:fldCharType="begin"/>
      </w:r>
      <w:r>
        <w:rPr/>
        <w:instrText xml:space="preserve"> TC "ARTICLE TWO:TRANSACTION TERMS AND CONDITIONS"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2.1</w:t>
        <w:tab/>
      </w:r>
      <w:r>
        <w:rPr>
          <w:sz w:val="24"/>
          <w:u w:val="single"/>
        </w:rPr>
        <w:t>Transactions</w:t>
      </w:r>
      <w:r>
        <w:rPr>
          <w:sz w:val="24"/>
        </w:rPr>
        <w:t xml:space="preserve"> </w:t>
      </w:r>
      <w:r>
        <w:fldChar w:fldCharType="begin"/>
      </w:r>
      <w:r>
        <w:rPr>
          <w:sz w:val="24"/>
          <w:vanish/>
        </w:rPr>
        <w:instrText xml:space="preserve"> TC "2.1</w:instrText>
        <w:tab/>
        <w:instrText xml:space="preserve">Transactions " \l 1 </w:instrText>
      </w:r>
      <w:r>
        <w:rPr>
          <w:sz w:val="24"/>
          <w:vanish/>
        </w:rPr>
        <w:fldChar w:fldCharType="separate"/>
      </w:r>
      <w:r>
        <w:rPr>
          <w:vanish/>
          <w:sz w:val="24"/>
        </w:rPr>
      </w:r>
      <w:r>
        <w:rPr>
          <w:sz w:val="24"/>
          <w:vanish/>
        </w:rPr>
        <w:fldChar w:fldCharType="end"/>
      </w:r>
      <w:r>
        <w:rPr>
          <w:sz w:val="24"/>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any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2.2</w:t>
        <w:tab/>
      </w:r>
      <w:r>
        <w:rPr>
          <w:sz w:val="24"/>
          <w:u w:val="single"/>
        </w:rPr>
        <w:t>Governing Terms</w:t>
      </w:r>
      <w:r>
        <w:rPr>
          <w:sz w:val="24"/>
        </w:rPr>
        <w:t xml:space="preserve"> </w:t>
      </w:r>
      <w:r>
        <w:fldChar w:fldCharType="begin"/>
      </w:r>
      <w:r>
        <w:rPr>
          <w:sz w:val="24"/>
          <w:vanish/>
        </w:rPr>
        <w:instrText xml:space="preserve"> TC "2.2</w:instrText>
        <w:tab/>
        <w:instrText xml:space="preserve">Governing Terms " \l 1 </w:instrText>
      </w:r>
      <w:r>
        <w:rPr>
          <w:sz w:val="24"/>
          <w:vanish/>
        </w:rPr>
        <w:fldChar w:fldCharType="separate"/>
      </w:r>
      <w:r>
        <w:rPr>
          <w:vanish/>
          <w:sz w:val="24"/>
        </w:rPr>
      </w:r>
      <w:r>
        <w:rPr>
          <w:sz w:val="24"/>
          <w:vanish/>
        </w:rPr>
        <w:fldChar w:fldCharType="end"/>
      </w:r>
      <w:r>
        <w:rPr>
          <w:sz w:val="24"/>
        </w:rPr>
        <w:t xml:space="preserve">.    Unless otherwise specifically agreed, each Transaction between the Parties shall be governed by this Master Agreement.    This Master Agreement (including all exhibits, schedules and any written supplements hereto), the Party A Tariff, if any, and the Party B Tariff, if any, any designated collateral, credit support or margin agreement or similar arrangement between the Parties and all Transactions shall form a single integrated agreement between the Parties.    Any inconsistency between any terms of this Master Agreement and any terms of any Transaction shall be resolved in favor of the terms of such Transaction. 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2.3</w:t>
        <w:tab/>
      </w:r>
      <w:r>
        <w:rPr>
          <w:sz w:val="24"/>
          <w:u w:val="single"/>
        </w:rPr>
        <w:t>Confirmation</w:t>
      </w:r>
      <w:r>
        <w:rPr>
          <w:sz w:val="24"/>
        </w:rPr>
        <w:t xml:space="preserve"> </w:t>
      </w:r>
      <w:r>
        <w:fldChar w:fldCharType="begin"/>
      </w:r>
      <w:r>
        <w:rPr>
          <w:sz w:val="24"/>
          <w:vanish/>
        </w:rPr>
        <w:instrText xml:space="preserve"> TC "2.3</w:instrText>
        <w:tab/>
        <w:instrText xml:space="preserve">Confirmation " \l 1 </w:instrText>
      </w:r>
      <w:r>
        <w:rPr>
          <w:sz w:val="24"/>
          <w:vanish/>
        </w:rPr>
        <w:fldChar w:fldCharType="separate"/>
      </w:r>
      <w:r>
        <w:rPr>
          <w:vanish/>
          <w:sz w:val="24"/>
        </w:rPr>
      </w:r>
      <w:r>
        <w:rPr>
          <w:sz w:val="24"/>
          <w:vanish/>
        </w:rPr>
        <w:fldChar w:fldCharType="end"/>
      </w:r>
      <w:r>
        <w:rPr>
          <w:sz w:val="24"/>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any Transaction agreed to by the Parties.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2.4</w:t>
        <w:tab/>
      </w:r>
      <w:r>
        <w:rPr>
          <w:sz w:val="24"/>
          <w:u w:val="single"/>
        </w:rPr>
        <w:t>Recording</w:t>
      </w:r>
      <w:r>
        <w:rPr>
          <w:sz w:val="24"/>
        </w:rPr>
        <w:t xml:space="preserve"> </w:t>
      </w:r>
      <w:r>
        <w:fldChar w:fldCharType="begin"/>
      </w:r>
      <w:r>
        <w:rPr>
          <w:sz w:val="24"/>
          <w:vanish/>
        </w:rPr>
        <w:instrText xml:space="preserve"> TC "2.4</w:instrText>
        <w:tab/>
        <w:instrText xml:space="preserve">Recording " \l 1 </w:instrText>
      </w:r>
      <w:r>
        <w:rPr>
          <w:sz w:val="24"/>
          <w:vanish/>
        </w:rPr>
        <w:fldChar w:fldCharType="separate"/>
      </w:r>
      <w:r>
        <w:rPr>
          <w:vanish/>
          <w:sz w:val="24"/>
        </w:rPr>
      </w:r>
      <w:r>
        <w:rPr>
          <w:sz w:val="24"/>
          <w:vanish/>
        </w:rPr>
        <w:fldChar w:fldCharType="end"/>
      </w:r>
      <w:r>
        <w:rPr>
          <w:sz w:val="24"/>
        </w:rPr>
        <w:t xml:space="preserve">.    Unless a Party expressly objects to a Recording (defined below) at the beginning of a    telephone conversation, each Party (i)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THREE</w:t>
      </w:r>
      <w:r>
        <w:rPr>
          <w:b/>
          <w:sz w:val="24"/>
        </w:rPr>
        <w:t>:OBLIGATIONS AND DELIVERIES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THREE:OBLIGATIONS AND DELIVERIES"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3.1</w:t>
        <w:tab/>
      </w:r>
      <w:r>
        <w:rPr>
          <w:sz w:val="24"/>
          <w:u w:val="single"/>
        </w:rPr>
        <w:t>Seller's and Buyer's Obligations</w:t>
      </w:r>
      <w:r>
        <w:rPr>
          <w:sz w:val="24"/>
        </w:rPr>
        <w:t xml:space="preserve"> </w:t>
      </w:r>
      <w:r>
        <w:fldChar w:fldCharType="begin"/>
      </w:r>
      <w:r>
        <w:rPr>
          <w:sz w:val="24"/>
          <w:vanish/>
        </w:rPr>
        <w:instrText xml:space="preserve"> TC "3.1</w:instrText>
        <w:tab/>
        <w:instrText xml:space="preserve">Seller's and Buyer's Obligations " \l 1 </w:instrText>
      </w:r>
      <w:r>
        <w:rPr>
          <w:sz w:val="24"/>
          <w:vanish/>
        </w:rPr>
        <w:fldChar w:fldCharType="separate"/>
      </w:r>
      <w:r>
        <w:rPr>
          <w:vanish/>
          <w:sz w:val="24"/>
        </w:rPr>
      </w:r>
      <w:r>
        <w:rPr>
          <w:sz w:val="24"/>
          <w:vanish/>
        </w:rPr>
        <w:fldChar w:fldCharType="end"/>
      </w:r>
      <w:r>
        <w:rPr>
          <w:sz w:val="24"/>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3.2</w:t>
        <w:tab/>
      </w:r>
      <w:r>
        <w:rPr>
          <w:sz w:val="24"/>
          <w:u w:val="single"/>
        </w:rPr>
        <w:t>Transmission and Scheduling</w:t>
      </w:r>
      <w:r>
        <w:rPr>
          <w:sz w:val="24"/>
        </w:rPr>
        <w:t xml:space="preserve"> </w:t>
      </w:r>
      <w:r>
        <w:fldChar w:fldCharType="begin"/>
      </w:r>
      <w:r>
        <w:rPr>
          <w:sz w:val="24"/>
          <w:vanish/>
        </w:rPr>
        <w:instrText xml:space="preserve"> TC "3.2</w:instrText>
        <w:tab/>
        <w:instrText xml:space="preserve">Transmission and Scheduling " \l 1 </w:instrText>
      </w:r>
      <w:r>
        <w:rPr>
          <w:sz w:val="24"/>
          <w:vanish/>
        </w:rPr>
        <w:fldChar w:fldCharType="separate"/>
      </w:r>
      <w:r>
        <w:rPr>
          <w:vanish/>
          <w:sz w:val="24"/>
        </w:rPr>
      </w:r>
      <w:r>
        <w:rPr>
          <w:sz w:val="24"/>
          <w:vanish/>
        </w:rPr>
        <w:fldChar w:fldCharType="end"/>
      </w:r>
      <w:r>
        <w:rPr>
          <w:sz w:val="24"/>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3.3</w:t>
        <w:tab/>
      </w:r>
      <w:r>
        <w:rPr>
          <w:sz w:val="24"/>
          <w:u w:val="single"/>
        </w:rPr>
        <w:t>Force Majeure</w:t>
      </w:r>
      <w:r>
        <w:rPr>
          <w:sz w:val="24"/>
        </w:rPr>
        <w:t xml:space="preserve"> </w:t>
      </w:r>
      <w:r>
        <w:fldChar w:fldCharType="begin"/>
      </w:r>
      <w:r>
        <w:rPr>
          <w:sz w:val="24"/>
          <w:vanish/>
        </w:rPr>
        <w:instrText xml:space="preserve"> TC "3.3</w:instrText>
        <w:tab/>
        <w:instrText xml:space="preserve">Force Majeure " \l 1 </w:instrText>
      </w:r>
      <w:r>
        <w:rPr>
          <w:sz w:val="24"/>
          <w:vanish/>
        </w:rPr>
        <w:fldChar w:fldCharType="separate"/>
      </w:r>
      <w:r>
        <w:rPr>
          <w:vanish/>
          <w:sz w:val="24"/>
        </w:rPr>
      </w:r>
      <w:r>
        <w:rPr>
          <w:sz w:val="24"/>
          <w:vanish/>
        </w:rPr>
        <w:fldChar w:fldCharType="end"/>
      </w:r>
      <w:r>
        <w:rPr>
          <w:sz w:val="24"/>
        </w:rPr>
        <w:t>.    To the extent either Party is prevented by Force Majeure from carrying out, in whole or part, its obligations under any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FOUR:</w:t>
      </w:r>
      <w:r>
        <w:rPr>
          <w:b/>
          <w:sz w:val="24"/>
        </w:rPr>
        <w:t>REMEDIES FOR FAILURE TO DELIVER/RECEIVE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vanish/>
          <w:sz w:val="24"/>
          <w:u w:val="sing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FOUR:REMEDIES FOR FAILURE TO DELIVER/RECEIVE"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ab/>
        <w:t>4.1</w:t>
        <w:tab/>
      </w:r>
      <w:r>
        <w:rPr>
          <w:sz w:val="24"/>
          <w:u w:val="single"/>
        </w:rPr>
        <w:t>Seller Failure</w:t>
      </w:r>
      <w:r>
        <w:rPr>
          <w:sz w:val="24"/>
        </w:rPr>
        <w:t xml:space="preserve"> </w:t>
      </w:r>
      <w:r>
        <w:fldChar w:fldCharType="begin"/>
      </w:r>
      <w:r>
        <w:rPr>
          <w:sz w:val="24"/>
          <w:vanish/>
        </w:rPr>
        <w:instrText xml:space="preserve"> TC "4.1</w:instrText>
        <w:tab/>
        <w:instrText xml:space="preserve">Seller Failure " \l 1 </w:instrText>
      </w:r>
      <w:r>
        <w:rPr>
          <w:sz w:val="24"/>
          <w:vanish/>
        </w:rPr>
        <w:fldChar w:fldCharType="separate"/>
      </w:r>
      <w:r>
        <w:rPr>
          <w:vanish/>
          <w:sz w:val="24"/>
        </w:rPr>
      </w:r>
      <w:r>
        <w:rPr>
          <w:sz w:val="24"/>
          <w:vanish/>
        </w:rPr>
        <w:fldChar w:fldCharType="end"/>
      </w:r>
      <w:r>
        <w:rPr>
          <w:sz w:val="24"/>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ab/>
        <w:t>4.2</w:t>
        <w:tab/>
      </w:r>
      <w:r>
        <w:rPr>
          <w:sz w:val="24"/>
          <w:u w:val="single"/>
        </w:rPr>
        <w:t>Buyer Failure</w:t>
      </w:r>
      <w:r>
        <w:rPr>
          <w:sz w:val="24"/>
        </w:rPr>
        <w:t xml:space="preserve"> </w:t>
      </w:r>
      <w:r>
        <w:fldChar w:fldCharType="begin"/>
      </w:r>
      <w:r>
        <w:rPr>
          <w:sz w:val="24"/>
          <w:vanish/>
        </w:rPr>
        <w:instrText xml:space="preserve"> TC "4.2</w:instrText>
        <w:tab/>
        <w:instrText xml:space="preserve">Buyer Failure " \l 1 </w:instrText>
      </w:r>
      <w:r>
        <w:rPr>
          <w:sz w:val="24"/>
          <w:vanish/>
        </w:rPr>
        <w:fldChar w:fldCharType="separate"/>
      </w:r>
      <w:r>
        <w:rPr>
          <w:vanish/>
          <w:sz w:val="24"/>
        </w:rPr>
      </w:r>
      <w:r>
        <w:rPr>
          <w:sz w:val="24"/>
          <w:vanish/>
        </w:rPr>
        <w:fldChar w:fldCharType="end"/>
      </w:r>
      <w:r>
        <w:rPr>
          <w:sz w:val="24"/>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FIVE:</w:t>
      </w:r>
      <w:r>
        <w:rPr>
          <w:b/>
          <w:sz w:val="24"/>
        </w:rPr>
        <w:t>EVENTS OF DEFAULT; REMEDIES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instrText xml:space="preserve"> TC "ARTICLE FIVE:EVENTS OF DEFAULT; REMEDIES" \l 1 </w:instrText>
      </w:r>
      <w:r>
        <w:rPr/>
        <w:fldChar w:fldCharType="separate"/>
      </w:r>
      <w:r>
        <w:rPr/>
      </w:r>
      <w:r>
        <w:rPr/>
        <w:fldChar w:fldCharType="end"/>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5.1</w:t>
        <w:tab/>
      </w:r>
      <w:r>
        <w:rPr>
          <w:sz w:val="24"/>
          <w:u w:val="single"/>
        </w:rPr>
        <w:t>Events of Default</w:t>
      </w:r>
      <w:r>
        <w:rPr>
          <w:sz w:val="24"/>
        </w:rPr>
        <w:t xml:space="preserve"> </w:t>
      </w:r>
      <w:r>
        <w:fldChar w:fldCharType="begin"/>
      </w:r>
      <w:r>
        <w:rPr>
          <w:sz w:val="24"/>
          <w:vanish/>
        </w:rPr>
        <w:instrText xml:space="preserve"> TC "5.1</w:instrText>
        <w:tab/>
        <w:instrText xml:space="preserve">Events of Default " \l 1 </w:instrText>
      </w:r>
      <w:r>
        <w:rPr>
          <w:sz w:val="24"/>
          <w:vanish/>
        </w:rPr>
        <w:fldChar w:fldCharType="separate"/>
      </w:r>
      <w:r>
        <w:rPr>
          <w:vanish/>
          <w:sz w:val="24"/>
        </w:rPr>
      </w:r>
      <w:r>
        <w:rPr>
          <w:sz w:val="24"/>
          <w:vanish/>
        </w:rPr>
        <w:fldChar w:fldCharType="end"/>
      </w:r>
      <w:r>
        <w:rPr>
          <w:sz w:val="24"/>
        </w:rPr>
        <w:t>.    An “Event of Default” shall mean, with respect to a Party (a “Defaulting Party”), the occurrence of any of the following:</w:t>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(a)</w:t>
        <w:tab/>
        <w:t>the failure to make, when due, any payment required pursuant to this Agreement if such failure is not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(b)</w:t>
        <w:tab/>
        <w:t>any representation or warranty made by such Party herein that is false or misleading in any material respect when made or when deemed made or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(c)</w:t>
        <w:tab/>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(d)</w:t>
        <w:tab/>
        <w:t>such Party becomes Bankrupt;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(e)</w:t>
        <w:tab/>
        <w:t>the failure of such Party to satisfy the creditworthiness/collateral requirements agreed to pursuant to Article Eight 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(f)</w:t>
        <w:tab/>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Master Agreement to which it or its predecessor was a party by operation of law or pursuant to an agreement reasonably satisfactory to the other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(g)</w:t>
        <w:tab/>
        <w:t>if the applicable cross default section in the Cover Sheet is indicated for such Party, the occurrence and continuation of (i) a default, event of default or other similar condition or event in respect to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(h)</w:t>
        <w:tab/>
        <w:t>with respect to such Party's Guarantor,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w:t>
        <w:tab/>
        <w:t>if any representation or warranty made by a Guarantor in connection with this Agreement is false or misleading in any material respect when made or when deemed made or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(ii)</w:t>
        <w:tab/>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(iii)</w:t>
        <w:tab/>
        <w:t xml:space="preserve">a Guarantor becomes Bankrupt;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(iv)</w:t>
        <w:tab/>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(v)</w:t>
        <w:tab/>
        <w:t xml:space="preserve">a Guarantor shall repudiate, disaffirm, disclaim, or reject, in whole or in part, or challenge the validity of any guaranty.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5.2</w:t>
        <w:tab/>
      </w:r>
      <w:r>
        <w:rPr>
          <w:sz w:val="24"/>
          <w:u w:val="single"/>
        </w:rPr>
        <w:t>Declaration of an Early Termination Date and Calculation of Settlement Amounts</w:t>
      </w:r>
      <w:r>
        <w:rPr>
          <w:sz w:val="24"/>
        </w:rPr>
        <w:t xml:space="preserve"> </w:t>
      </w:r>
      <w:r>
        <w:fldChar w:fldCharType="begin"/>
      </w:r>
      <w:r>
        <w:rPr>
          <w:sz w:val="24"/>
          <w:vanish/>
        </w:rPr>
        <w:instrText xml:space="preserve"> TC "5.2</w:instrText>
        <w:tab/>
        <w:instrText xml:space="preserve">Declaration of an Early Termination Date and Calculation of Settlement Amounts " \l 1 </w:instrText>
      </w:r>
      <w:r>
        <w:rPr>
          <w:sz w:val="24"/>
          <w:vanish/>
        </w:rPr>
        <w:fldChar w:fldCharType="separate"/>
      </w:r>
      <w:r>
        <w:rPr>
          <w:vanish/>
          <w:sz w:val="24"/>
        </w:rPr>
      </w:r>
      <w:r>
        <w:rPr>
          <w:sz w:val="24"/>
          <w:vanish/>
        </w:rPr>
        <w:fldChar w:fldCharType="end"/>
      </w:r>
      <w:r>
        <w:rPr>
          <w:sz w:val="24"/>
        </w:rPr>
        <w:t>.    If an Event of Default with respect to a Defaulting Party shall have occurred and be continuing, the other Party (the “Non</w:t>
        <w:noBreakHyphen/>
        <w:t>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w:t>
        <w:noBreakHyphen/>
        <w:t>Defaulting Party shall calculate, in a commercially reasonable manner, a Settlement Amount for each such Terminated Transaction as of the Early Termination Date (or, to the extent that in the reasonable opinion of the Non</w:t>
        <w:noBreakHyphen/>
        <w:t>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5.3</w:t>
        <w:tab/>
      </w:r>
      <w:r>
        <w:rPr>
          <w:sz w:val="24"/>
          <w:u w:val="single"/>
        </w:rPr>
        <w:t>Net Out of Settlement Amounts</w:t>
      </w:r>
      <w:r>
        <w:rPr>
          <w:sz w:val="24"/>
        </w:rPr>
        <w:t xml:space="preserve"> </w:t>
      </w:r>
      <w:r>
        <w:fldChar w:fldCharType="begin"/>
      </w:r>
      <w:r>
        <w:rPr>
          <w:sz w:val="24"/>
          <w:vanish/>
        </w:rPr>
        <w:instrText xml:space="preserve"> TC "5.3</w:instrText>
        <w:tab/>
        <w:instrText xml:space="preserve">Net Out of Settlement Amounts " \l 1 </w:instrText>
      </w:r>
      <w:r>
        <w:rPr>
          <w:sz w:val="24"/>
          <w:vanish/>
        </w:rPr>
        <w:fldChar w:fldCharType="separate"/>
      </w:r>
      <w:r>
        <w:rPr>
          <w:vanish/>
          <w:sz w:val="24"/>
        </w:rPr>
      </w:r>
      <w:r>
        <w:rPr>
          <w:sz w:val="24"/>
          <w:vanish/>
        </w:rPr>
        <w:fldChar w:fldCharType="end"/>
      </w:r>
      <w:r>
        <w:rPr>
          <w:sz w:val="24"/>
        </w:rPr>
        <w:t>.    The Non-Defaulting Party shall aggregate all Settlement Amounts into a single amount by:    netting out (a) all Settlement Amounts that are due to the Defaulting Party, plus, at the option of the Non-Defaulting Party, any cash or other form of security then available to the Non</w:t>
        <w:noBreakHyphen/>
        <w:t>Defaulting Party pursuant to Article Eight, plus any or all other amounts due to the Defaulting Party under this Agreement against (b) all Settlement Amounts that are due to the Non</w:t>
        <w:noBreakHyphen/>
        <w:t>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w:t>
        <w:noBreakHyphen/>
        <w:t>Defaulting Party as appropriate.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5.4</w:t>
        <w:tab/>
      </w:r>
      <w:r>
        <w:rPr>
          <w:sz w:val="24"/>
          <w:u w:val="single"/>
        </w:rPr>
        <w:t>Notice of Payment of Termination Payment</w:t>
      </w:r>
      <w:r>
        <w:rPr>
          <w:sz w:val="24"/>
        </w:rPr>
        <w:t xml:space="preserve"> </w:t>
      </w:r>
      <w:r>
        <w:fldChar w:fldCharType="begin"/>
      </w:r>
      <w:r>
        <w:rPr>
          <w:sz w:val="24"/>
          <w:vanish/>
        </w:rPr>
        <w:instrText xml:space="preserve"> TC "5.4</w:instrText>
        <w:tab/>
        <w:instrText xml:space="preserve">Notice of Payment of Termination Payment " \l 1 </w:instrText>
      </w:r>
      <w:r>
        <w:rPr>
          <w:sz w:val="24"/>
          <w:vanish/>
        </w:rPr>
        <w:fldChar w:fldCharType="separate"/>
      </w:r>
      <w:r>
        <w:rPr>
          <w:vanish/>
          <w:sz w:val="24"/>
        </w:rPr>
      </w:r>
      <w:r>
        <w:rPr>
          <w:sz w:val="24"/>
          <w:vanish/>
        </w:rPr>
        <w:fldChar w:fldCharType="end"/>
      </w:r>
      <w:r>
        <w:rPr>
          <w:sz w:val="24"/>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given.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5.5</w:t>
        <w:tab/>
      </w:r>
      <w:r>
        <w:rPr>
          <w:sz w:val="24"/>
          <w:u w:val="single"/>
        </w:rPr>
        <w:t>Disputes With Respect to Termination Payment</w:t>
      </w:r>
      <w:r>
        <w:rPr>
          <w:sz w:val="24"/>
        </w:rPr>
        <w:t xml:space="preserve"> </w:t>
      </w:r>
      <w:r>
        <w:fldChar w:fldCharType="begin"/>
      </w:r>
      <w:r>
        <w:rPr>
          <w:sz w:val="24"/>
          <w:vanish/>
        </w:rPr>
        <w:instrText xml:space="preserve"> TC "5.5</w:instrText>
        <w:tab/>
        <w:instrText xml:space="preserve">Disputes With Respect to Termination Payment " \l 1 </w:instrText>
      </w:r>
      <w:r>
        <w:rPr>
          <w:sz w:val="24"/>
          <w:vanish/>
        </w:rPr>
        <w:fldChar w:fldCharType="separate"/>
      </w:r>
      <w:r>
        <w:rPr>
          <w:vanish/>
          <w:sz w:val="24"/>
        </w:rPr>
      </w:r>
      <w:r>
        <w:rPr>
          <w:sz w:val="24"/>
          <w:vanish/>
        </w:rPr>
        <w:fldChar w:fldCharType="end"/>
      </w:r>
      <w:r>
        <w:rPr>
          <w:sz w:val="24"/>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Performance Assurance to the Non</w:t>
        <w:noBreakHyphen/>
        <w:t xml:space="preserve">Defaulting Party in an amount equal to the Termination Payment.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5.6</w:t>
        <w:tab/>
      </w:r>
      <w:r>
        <w:rPr>
          <w:sz w:val="24"/>
          <w:u w:val="single"/>
        </w:rPr>
        <w:t>Closeout Setoffs</w:t>
      </w:r>
      <w:r>
        <w:rPr>
          <w:sz w:val="24"/>
        </w:rPr>
        <w:t xml:space="preserve"> </w:t>
      </w:r>
      <w:r>
        <w:fldChar w:fldCharType="begin"/>
      </w:r>
      <w:r>
        <w:rPr>
          <w:sz w:val="24"/>
          <w:vanish/>
        </w:rPr>
        <w:instrText xml:space="preserve"> TC "5.6</w:instrText>
        <w:tab/>
        <w:instrText xml:space="preserve">Closeout Setoffs " \l 1 </w:instrText>
      </w:r>
      <w:r>
        <w:rPr>
          <w:sz w:val="24"/>
          <w:vanish/>
        </w:rPr>
        <w:fldChar w:fldCharType="separate"/>
      </w:r>
      <w:r>
        <w:rPr>
          <w:vanish/>
          <w:sz w:val="24"/>
        </w:rPr>
      </w:r>
      <w:r>
        <w:rPr>
          <w:sz w:val="24"/>
          <w:vanish/>
        </w:rPr>
        <w:fldChar w:fldCharType="end"/>
      </w: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 xml:space="preserve">Option A: </w:t>
      </w:r>
      <w:r>
        <w:rPr>
          <w:sz w:val="24"/>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B:</w:t>
      </w:r>
      <w:r>
        <w:rPr>
          <w:sz w:val="24"/>
        </w:rPr>
        <w:t xml:space="preserve">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C:</w:t>
      </w:r>
      <w:r>
        <w:rPr>
          <w:sz w:val="24"/>
        </w:rPr>
        <w:t xml:space="preserve"> Neither Option A nor B shall apply.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5.7</w:t>
        <w:tab/>
      </w:r>
      <w:r>
        <w:rPr>
          <w:sz w:val="24"/>
          <w:u w:val="single"/>
        </w:rPr>
        <w:t>Suspension of Performance</w:t>
      </w:r>
      <w:r>
        <w:rPr>
          <w:sz w:val="24"/>
        </w:rPr>
        <w:t xml:space="preserve"> </w:t>
      </w:r>
      <w:r>
        <w:fldChar w:fldCharType="begin"/>
      </w:r>
      <w:r>
        <w:rPr>
          <w:sz w:val="24"/>
          <w:vanish/>
        </w:rPr>
        <w:instrText xml:space="preserve"> TC "5.7</w:instrText>
        <w:tab/>
        <w:instrText xml:space="preserve">Suspension of Performance " \l 1 </w:instrText>
      </w:r>
      <w:r>
        <w:rPr>
          <w:sz w:val="24"/>
          <w:vanish/>
        </w:rPr>
        <w:fldChar w:fldCharType="separate"/>
      </w:r>
      <w:r>
        <w:rPr>
          <w:vanish/>
          <w:sz w:val="24"/>
        </w:rPr>
      </w:r>
      <w:r>
        <w:rPr>
          <w:sz w:val="24"/>
          <w:vanish/>
        </w:rPr>
        <w:fldChar w:fldCharType="end"/>
      </w:r>
      <w:r>
        <w:rPr>
          <w:sz w:val="24"/>
        </w:rPr>
        <w:t xml:space="preserve">.    Notwithstanding any other provision of this Master Agreement, after the occurrence of (a) an Event of Default so long as the Event of Default is continuing and has not been cured or (b) a Potential Event of Default, the Non-Defaulting Party, upon written notice to the Defaulting Party, shall have the right (1) to suspend performance under any or all Transactions; provided, however, in no event shall any such suspension continue for longer than ten (10) Business Days with respect to any single Transaction unless notice pursuant to Section 5.2 has been given, and (2) to exercise any remedy available at law or in equity.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vanish/>
          <w:sz w:val="24"/>
          <w:u w:val="single"/>
        </w:rPr>
      </w:pPr>
      <w:r>
        <w:rPr>
          <w:b/>
          <w:sz w:val="24"/>
          <w:u w:val="single"/>
        </w:rPr>
        <w:t>ARTICLE SIX</w:t>
      </w:r>
      <w:r>
        <w:rPr>
          <w:b/>
          <w:sz w:val="24"/>
        </w:rPr>
        <w:t>:PAYMENT AND NETTING</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fldChar w:fldCharType="begin"/>
      </w:r>
      <w:r>
        <w:rPr/>
        <w:instrText xml:space="preserve"> TC "ARTICLE SIX:PAYMENT AND NETTING" \l 1 </w:instrText>
      </w:r>
      <w:r>
        <w:rPr/>
        <w:fldChar w:fldCharType="separate"/>
      </w:r>
      <w:r>
        <w:rPr/>
      </w:r>
      <w:r>
        <w:rPr/>
        <w:fldChar w:fldCharType="end"/>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6.1</w:t>
        <w:tab/>
      </w:r>
      <w:r>
        <w:rPr>
          <w:sz w:val="24"/>
          <w:u w:val="single"/>
        </w:rPr>
        <w:t>Billing Period</w:t>
      </w:r>
      <w:r>
        <w:rPr>
          <w:sz w:val="24"/>
        </w:rPr>
        <w:t xml:space="preserve"> </w:t>
      </w:r>
      <w:r>
        <w:fldChar w:fldCharType="begin"/>
      </w:r>
      <w:r>
        <w:rPr>
          <w:sz w:val="24"/>
          <w:vanish/>
        </w:rPr>
        <w:instrText xml:space="preserve"> TC "6.1</w:instrText>
        <w:tab/>
        <w:instrText xml:space="preserve">Billing Period " \l 1 </w:instrText>
      </w:r>
      <w:r>
        <w:rPr>
          <w:sz w:val="24"/>
          <w:vanish/>
        </w:rPr>
        <w:fldChar w:fldCharType="separate"/>
      </w:r>
      <w:r>
        <w:rPr>
          <w:vanish/>
          <w:sz w:val="24"/>
        </w:rPr>
      </w:r>
      <w:r>
        <w:rPr>
          <w:sz w:val="24"/>
          <w:vanish/>
        </w:rPr>
        <w:fldChar w:fldCharType="end"/>
      </w:r>
      <w:r>
        <w:rPr>
          <w:sz w:val="24"/>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6.2</w:t>
        <w:tab/>
      </w:r>
      <w:r>
        <w:rPr>
          <w:sz w:val="24"/>
          <w:u w:val="single"/>
        </w:rPr>
        <w:t>Timeliness of Payment</w:t>
      </w:r>
      <w:r>
        <w:rPr>
          <w:sz w:val="24"/>
        </w:rPr>
        <w:t xml:space="preserve"> </w:t>
      </w:r>
      <w:r>
        <w:fldChar w:fldCharType="begin"/>
      </w:r>
      <w:r>
        <w:rPr>
          <w:sz w:val="24"/>
          <w:vanish/>
        </w:rPr>
        <w:instrText xml:space="preserve"> TC "6.2</w:instrText>
        <w:tab/>
        <w:instrText xml:space="preserve">Timeliness of Payment " \l 1 </w:instrText>
      </w:r>
      <w:r>
        <w:rPr>
          <w:sz w:val="24"/>
          <w:vanish/>
        </w:rPr>
        <w:fldChar w:fldCharType="separate"/>
      </w:r>
      <w:r>
        <w:rPr>
          <w:vanish/>
          <w:sz w:val="24"/>
        </w:rPr>
      </w:r>
      <w:r>
        <w:rPr>
          <w:sz w:val="24"/>
          <w:vanish/>
        </w:rPr>
        <w:fldChar w:fldCharType="end"/>
      </w:r>
      <w:r>
        <w:rPr>
          <w:sz w:val="24"/>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both principal and interest, not paid by the due date will be deemed delinquent and will accrue interest at the Interest Rate, such interest to be calculated from and including the due date to but excluding the date the unpaid amount is paid in full.</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6.3</w:t>
        <w:tab/>
      </w:r>
      <w:r>
        <w:rPr>
          <w:sz w:val="24"/>
          <w:u w:val="single"/>
        </w:rPr>
        <w:t>Disputes and Adjustments of Invoices</w:t>
      </w:r>
      <w:r>
        <w:rPr>
          <w:sz w:val="24"/>
        </w:rPr>
        <w:t xml:space="preserve"> </w:t>
      </w:r>
      <w:r>
        <w:fldChar w:fldCharType="begin"/>
      </w:r>
      <w:r>
        <w:rPr>
          <w:sz w:val="24"/>
          <w:vanish/>
        </w:rPr>
        <w:instrText xml:space="preserve"> TC "6.3</w:instrText>
        <w:tab/>
        <w:instrText xml:space="preserve">Disputes and Adjustments of Invoices " \l 1 </w:instrText>
      </w:r>
      <w:r>
        <w:rPr>
          <w:sz w:val="24"/>
          <w:vanish/>
        </w:rPr>
        <w:fldChar w:fldCharType="separate"/>
      </w:r>
      <w:r>
        <w:rPr>
          <w:vanish/>
          <w:sz w:val="24"/>
        </w:rPr>
      </w:r>
      <w:r>
        <w:rPr>
          <w:sz w:val="24"/>
          <w:vanish/>
        </w:rPr>
        <w:fldChar w:fldCharType="end"/>
      </w:r>
      <w:r>
        <w:rPr>
          <w:sz w:val="24"/>
        </w:rPr>
        <w:t>.    A Party may, in good faith, dispute the correctness of any invoice or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If it is determined that an adjustment to the invoice is appropriate, then such payment shall be required to be made within two (2) Business Days of such determination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6.4</w:t>
        <w:tab/>
      </w:r>
      <w:r>
        <w:rPr>
          <w:sz w:val="24"/>
          <w:u w:val="single"/>
        </w:rPr>
        <w:t>Netting of Payments</w:t>
      </w:r>
      <w:r>
        <w:rPr>
          <w:sz w:val="24"/>
        </w:rPr>
        <w:t xml:space="preserve"> </w:t>
      </w:r>
      <w:r>
        <w:fldChar w:fldCharType="begin"/>
      </w:r>
      <w:r>
        <w:rPr>
          <w:sz w:val="24"/>
          <w:vanish/>
        </w:rPr>
        <w:instrText xml:space="preserve"> TC "6.4</w:instrText>
        <w:tab/>
        <w:instrText xml:space="preserve">Netting of Payments " \l 1 </w:instrText>
      </w:r>
      <w:r>
        <w:rPr>
          <w:sz w:val="24"/>
          <w:vanish/>
        </w:rPr>
        <w:fldChar w:fldCharType="separate"/>
      </w:r>
      <w:r>
        <w:rPr>
          <w:vanish/>
          <w:sz w:val="24"/>
        </w:rPr>
      </w:r>
      <w:r>
        <w:rPr>
          <w:sz w:val="24"/>
          <w:vanish/>
        </w:rPr>
        <w:fldChar w:fldCharType="end"/>
      </w:r>
      <w:r>
        <w:rPr>
          <w:sz w:val="24"/>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6.5</w:t>
        <w:tab/>
      </w:r>
      <w:r>
        <w:rPr>
          <w:sz w:val="24"/>
          <w:u w:val="single"/>
        </w:rPr>
        <w:t>Payment Obligation Absent Netting</w:t>
      </w:r>
      <w:r>
        <w:rPr>
          <w:sz w:val="24"/>
        </w:rPr>
        <w:t xml:space="preserve"> </w:t>
      </w:r>
      <w:r>
        <w:fldChar w:fldCharType="begin"/>
      </w:r>
      <w:r>
        <w:rPr>
          <w:sz w:val="24"/>
          <w:vanish/>
        </w:rPr>
        <w:instrText xml:space="preserve"> TC "6.5</w:instrText>
        <w:tab/>
        <w:instrText xml:space="preserve">Payment Obligation Absent Netting " \l 1 </w:instrText>
      </w:r>
      <w:r>
        <w:rPr>
          <w:sz w:val="24"/>
          <w:vanish/>
        </w:rPr>
        <w:fldChar w:fldCharType="separate"/>
      </w:r>
      <w:r>
        <w:rPr>
          <w:vanish/>
          <w:sz w:val="24"/>
        </w:rPr>
      </w:r>
      <w:r>
        <w:rPr>
          <w:sz w:val="24"/>
          <w:vanish/>
        </w:rPr>
        <w:fldChar w:fldCharType="end"/>
      </w:r>
      <w:r>
        <w:rPr>
          <w:sz w:val="24"/>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6.6</w:t>
        <w:tab/>
      </w:r>
      <w:r>
        <w:rPr>
          <w:sz w:val="24"/>
          <w:u w:val="single"/>
        </w:rPr>
        <w:t>Security</w:t>
      </w:r>
      <w:r>
        <w:rPr>
          <w:sz w:val="24"/>
        </w:rPr>
        <w:t xml:space="preserve"> </w:t>
      </w:r>
      <w:r>
        <w:fldChar w:fldCharType="begin"/>
      </w:r>
      <w:r>
        <w:rPr>
          <w:sz w:val="24"/>
          <w:vanish/>
        </w:rPr>
        <w:instrText xml:space="preserve"> TC "6.6</w:instrText>
        <w:tab/>
        <w:instrText xml:space="preserve">Security " \l 1 </w:instrText>
      </w:r>
      <w:r>
        <w:rPr>
          <w:sz w:val="24"/>
          <w:vanish/>
        </w:rPr>
        <w:fldChar w:fldCharType="separate"/>
      </w:r>
      <w:r>
        <w:rPr>
          <w:vanish/>
          <w:sz w:val="24"/>
        </w:rPr>
      </w:r>
      <w:r>
        <w:rPr>
          <w:sz w:val="24"/>
          <w:vanish/>
        </w:rPr>
        <w:fldChar w:fldCharType="end"/>
      </w:r>
      <w:r>
        <w:rPr>
          <w:sz w:val="24"/>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6.7</w:t>
        <w:tab/>
      </w:r>
      <w:r>
        <w:rPr>
          <w:sz w:val="24"/>
          <w:u w:val="single"/>
        </w:rPr>
        <w:t>Payment for Options</w:t>
      </w:r>
      <w:r>
        <w:rPr>
          <w:sz w:val="24"/>
        </w:rPr>
        <w:t xml:space="preserve"> </w:t>
      </w:r>
      <w:r>
        <w:fldChar w:fldCharType="begin"/>
      </w:r>
      <w:r>
        <w:rPr>
          <w:sz w:val="24"/>
          <w:vanish/>
        </w:rPr>
        <w:instrText xml:space="preserve"> TC "6.7</w:instrText>
        <w:tab/>
        <w:instrText xml:space="preserve">Payment for Options " \l 1 </w:instrText>
      </w:r>
      <w:r>
        <w:rPr>
          <w:sz w:val="24"/>
          <w:vanish/>
        </w:rPr>
        <w:fldChar w:fldCharType="separate"/>
      </w:r>
      <w:r>
        <w:rPr>
          <w:vanish/>
          <w:sz w:val="24"/>
        </w:rPr>
      </w:r>
      <w:r>
        <w:rPr>
          <w:sz w:val="24"/>
          <w:vanish/>
        </w:rPr>
        <w:fldChar w:fldCharType="end"/>
      </w:r>
      <w:r>
        <w:rPr>
          <w:sz w:val="24"/>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6.8</w:t>
        <w:tab/>
      </w:r>
      <w:r>
        <w:rPr>
          <w:sz w:val="24"/>
          <w:u w:val="single"/>
        </w:rPr>
        <w:t>Transaction Netting</w:t>
      </w:r>
      <w:r>
        <w:rPr>
          <w:sz w:val="24"/>
        </w:rPr>
        <w:t xml:space="preserve"> </w:t>
      </w:r>
      <w:r>
        <w:fldChar w:fldCharType="begin"/>
      </w:r>
      <w:r>
        <w:rPr>
          <w:sz w:val="24"/>
          <w:vanish/>
        </w:rPr>
        <w:instrText xml:space="preserve"> TC "6.8</w:instrText>
        <w:tab/>
        <w:instrText xml:space="preserve">Transaction Netting " \l 1 </w:instrText>
      </w:r>
      <w:r>
        <w:rPr>
          <w:sz w:val="24"/>
          <w:vanish/>
        </w:rPr>
        <w:fldChar w:fldCharType="separate"/>
      </w:r>
      <w:r>
        <w:rPr>
          <w:vanish/>
          <w:sz w:val="24"/>
        </w:rPr>
      </w:r>
      <w:r>
        <w:rPr>
          <w:sz w:val="24"/>
          <w:vanish/>
        </w:rPr>
        <w:fldChar w:fldCharType="end"/>
      </w:r>
      <w:r>
        <w:rPr>
          <w:sz w:val="24"/>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both"/>
        <w:rPr>
          <w:sz w:val="24"/>
        </w:rPr>
      </w:pPr>
      <w:r>
        <w:rPr>
          <w:sz w:val="24"/>
        </w:rPr>
        <w:tab/>
        <w:t>(a)</w:t>
        <w:tab/>
        <w:t>The Party owing the greater amount of Energy will deliver the difference between the total amount it owes and the total amount owed to it under the Offsetting Transactions,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2160" w:start="2160"/>
        <w:jc w:val="both"/>
        <w:rPr>
          <w:sz w:val="24"/>
        </w:rPr>
      </w:pPr>
      <w:r>
        <w:rPr>
          <w:sz w:val="24"/>
        </w:rPr>
        <w:tab/>
        <w:tab/>
        <w:t>(b)</w:t>
        <w:tab/>
        <w:t>The Party owing the greater aggregate payment will pay the net difference owed between the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Each single Transaction resulting under this Section shall be deemed part of the single, indivisible contractual arrangement between the parties, and once such resulting Transaction occurs, outstanding obligations under the Offsetting Transactions shall terminate.</w:t>
        <w:b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SEVEN:</w:t>
      </w:r>
      <w:r>
        <w:rPr>
          <w:b/>
          <w:sz w:val="24"/>
        </w:rPr>
        <w:t>LIMITATIONS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4"/>
        </w:rPr>
      </w:pPr>
      <w:r>
        <w:fldChar w:fldCharType="begin"/>
      </w:r>
      <w:r>
        <w:rPr/>
        <w:instrText xml:space="preserve"> TC "ARTICLE SEVEN:LIMITATIONS"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7.1</w:t>
        <w:tab/>
      </w:r>
      <w:r>
        <w:rPr>
          <w:sz w:val="24"/>
          <w:u w:val="single"/>
        </w:rPr>
        <w:t>Limitation of Remedies, Liability and Damages</w:t>
      </w:r>
      <w:r>
        <w:rPr>
          <w:sz w:val="24"/>
        </w:rPr>
        <w:t xml:space="preserve"> </w:t>
      </w:r>
      <w:r>
        <w:fldChar w:fldCharType="begin"/>
      </w:r>
      <w:r>
        <w:rPr>
          <w:sz w:val="24"/>
          <w:vanish/>
        </w:rPr>
        <w:instrText xml:space="preserve"> TC "7.1</w:instrText>
        <w:tab/>
        <w:instrText xml:space="preserve">Limitation of Remedies, Liability and Damages " \l 1 </w:instrText>
      </w:r>
      <w:r>
        <w:rPr>
          <w:sz w:val="24"/>
          <w:vanish/>
        </w:rPr>
        <w:fldChar w:fldCharType="separate"/>
      </w:r>
      <w:r>
        <w:rPr>
          <w:vanish/>
          <w:sz w:val="24"/>
        </w:rPr>
      </w:r>
      <w:r>
        <w:rPr>
          <w:sz w:val="24"/>
          <w:vanish/>
        </w:rPr>
        <w:fldChar w:fldCharType="end"/>
      </w:r>
      <w:r>
        <w:rPr>
          <w:sz w:val="24"/>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EIGHT:</w:t>
      </w:r>
      <w:r>
        <w:rPr>
          <w:b/>
          <w:sz w:val="24"/>
        </w:rPr>
        <w:t>CREDIT AND COLLATERAL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4"/>
        </w:rPr>
      </w:pPr>
      <w:r>
        <w:fldChar w:fldCharType="begin"/>
      </w:r>
      <w:r>
        <w:rPr/>
        <w:instrText xml:space="preserve"> TC "ARTICLE EIGHT:CREDIT AND COLLATERAL REQUIREMENTS"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The applicable credit information requirement shall be as specified on the Cover Sheet.    If no option is checked, Option C shall apply exclusively.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8.1</w:t>
        <w:tab/>
        <w:t xml:space="preserve">Option A:    </w:t>
      </w:r>
      <w:r>
        <w:rPr>
          <w:sz w:val="24"/>
          <w:u w:val="single"/>
        </w:rPr>
        <w:t>Financial Information</w:t>
      </w:r>
      <w:r>
        <w:rPr>
          <w:sz w:val="24"/>
        </w:rPr>
        <w:t xml:space="preserve"> </w:t>
      </w:r>
      <w:r>
        <w:fldChar w:fldCharType="begin"/>
      </w:r>
      <w:r>
        <w:rPr>
          <w:sz w:val="24"/>
          <w:vanish/>
        </w:rPr>
        <w:instrText xml:space="preserve"> TC "8.1</w:instrText>
        <w:tab/>
        <w:instrText xml:space="preserve">Option A:  Financial Information " \l 1 </w:instrText>
      </w:r>
      <w:r>
        <w:rPr>
          <w:sz w:val="24"/>
          <w:vanish/>
        </w:rPr>
        <w:fldChar w:fldCharType="separate"/>
      </w:r>
      <w:r>
        <w:rPr>
          <w:vanish/>
          <w:sz w:val="24"/>
        </w:rPr>
      </w:r>
      <w:r>
        <w:rPr>
          <w:sz w:val="24"/>
          <w:vanish/>
        </w:rPr>
        <w:fldChar w:fldCharType="end"/>
      </w:r>
      <w:r>
        <w:rPr>
          <w:sz w:val="24"/>
        </w:rPr>
        <w:t>.    If requested by a Party, the other Party shall deliver (i) within 120 days following the end of each fiscal year, a copy of such Party’s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Option B:    </w:t>
      </w:r>
      <w:r>
        <w:rPr>
          <w:sz w:val="24"/>
          <w:u w:val="single"/>
        </w:rPr>
        <w:t>Financial Information</w:t>
      </w:r>
      <w:r>
        <w:rPr>
          <w:sz w:val="24"/>
        </w:rPr>
        <w:t>. 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or such other principles then in effect;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Option C:    </w:t>
      </w:r>
      <w:r>
        <w:rPr>
          <w:sz w:val="24"/>
          <w:u w:val="single"/>
        </w:rPr>
        <w:t>Financial Information</w:t>
      </w:r>
      <w:r>
        <w:rPr>
          <w:sz w:val="24"/>
        </w:rPr>
        <w:t xml:space="preserve">.    A Party may request from the other Party the information specified in the Cover Sheet.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The applicable creditworthiness/collateral requirements shall be specified in the Cover Sheet.    If neither option in Section 8.3 or Section 8.4 is checked, Section 8.2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8.2</w:t>
        <w:tab/>
      </w:r>
      <w:r>
        <w:rPr>
          <w:sz w:val="24"/>
          <w:u w:val="single"/>
        </w:rPr>
        <w:t>Credit Assurances</w:t>
      </w:r>
      <w:r>
        <w:rPr>
          <w:sz w:val="24"/>
        </w:rPr>
        <w:t xml:space="preserve"> </w:t>
      </w:r>
      <w:r>
        <w:fldChar w:fldCharType="begin"/>
      </w:r>
      <w:r>
        <w:rPr>
          <w:sz w:val="24"/>
          <w:vanish/>
        </w:rPr>
        <w:instrText xml:space="preserve"> TC "8.2</w:instrText>
        <w:tab/>
        <w:instrText xml:space="preserve">Credit Assurances " \l 1 </w:instrText>
      </w:r>
      <w:r>
        <w:rPr>
          <w:sz w:val="24"/>
          <w:vanish/>
        </w:rPr>
        <w:fldChar w:fldCharType="separate"/>
      </w:r>
      <w:r>
        <w:rPr>
          <w:vanish/>
          <w:sz w:val="24"/>
        </w:rPr>
      </w:r>
      <w:r>
        <w:rPr>
          <w:sz w:val="24"/>
          <w:vanish/>
        </w:rPr>
        <w:fldChar w:fldCharType="end"/>
      </w:r>
      <w:r>
        <w:rPr>
          <w:sz w:val="24"/>
        </w:rPr>
        <w:t>. If a Party (“Requesting Party”) has reasonable grounds to believe that the other Party's creditworthiness or performance under this Agreement has become unsatisfactory, the Requesting Party will provide the other Party with written notice requesting Performance Assurance in an amount determined by the Requesting Party in a commercially reasonable manner.    Upon receipt of such notice the other Party shall have three (3) Business Days to remedy the situation by providing Performance Assurance to the Requesting Party in an amount reasonably determined by the Requesting Party.    In the event that the other Party fails to provide such Performance Assurance, or a guaranty or other credit assurance acceptable to the Requesting Party within three (3) Business Days of receipt of notice, then an Event of Default under Article Five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8.3</w:t>
        <w:tab/>
        <w:t xml:space="preserve">Option A:    (a) </w:t>
      </w:r>
      <w:r>
        <w:rPr>
          <w:sz w:val="24"/>
          <w:u w:val="single"/>
        </w:rPr>
        <w:t>Party B Performance Assurance</w:t>
      </w:r>
      <w:r>
        <w:rPr>
          <w:sz w:val="24"/>
        </w:rPr>
        <w:t xml:space="preserve"> </w:t>
      </w:r>
      <w:r>
        <w:fldChar w:fldCharType="begin"/>
      </w:r>
      <w:r>
        <w:rPr>
          <w:sz w:val="24"/>
          <w:vanish/>
        </w:rPr>
        <w:instrText xml:space="preserve"> TC "8.3</w:instrText>
        <w:tab/>
        <w:instrText xml:space="preserve">Option A:  (a) Party B Performance Assurance " \l 1 </w:instrText>
      </w:r>
      <w:r>
        <w:rPr>
          <w:sz w:val="24"/>
          <w:vanish/>
        </w:rPr>
        <w:fldChar w:fldCharType="separate"/>
      </w:r>
      <w:r>
        <w:rPr>
          <w:vanish/>
          <w:sz w:val="24"/>
        </w:rPr>
      </w:r>
      <w:r>
        <w:rPr>
          <w:sz w:val="24"/>
          <w:vanish/>
        </w:rPr>
        <w:fldChar w:fldCharType="end"/>
      </w:r>
      <w:r>
        <w:rPr>
          <w:sz w:val="24"/>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Option B:</w:t>
        <w:tab/>
        <w:t>(b)</w:t>
        <w:tab/>
      </w:r>
      <w:r>
        <w:rPr>
          <w:sz w:val="24"/>
          <w:u w:val="single"/>
        </w:rPr>
        <w:t>Party A Performance Assurance</w:t>
      </w:r>
      <w:r>
        <w:rPr>
          <w:sz w:val="24"/>
        </w:rPr>
        <w:t xml:space="preserve"> </w:t>
      </w:r>
      <w:r>
        <w:fldChar w:fldCharType="begin"/>
      </w:r>
      <w:r>
        <w:rPr>
          <w:sz w:val="24"/>
          <w:vanish/>
        </w:rPr>
        <w:instrText xml:space="preserve"> TC "(b)</w:instrText>
        <w:tab/>
        <w:instrText xml:space="preserve">Party A Performance Assurance " \l 1 </w:instrText>
      </w:r>
      <w:r>
        <w:rPr>
          <w:sz w:val="24"/>
          <w:vanish/>
        </w:rPr>
        <w:fldChar w:fldCharType="separate"/>
      </w:r>
      <w:r>
        <w:rPr>
          <w:vanish/>
          <w:sz w:val="24"/>
        </w:rPr>
      </w:r>
      <w:r>
        <w:rPr>
          <w:sz w:val="24"/>
          <w:vanish/>
        </w:rPr>
        <w:fldChar w:fldCharType="end"/>
      </w:r>
      <w:r>
        <w:rPr>
          <w:sz w:val="24"/>
        </w:rPr>
        <w:t>. 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(c)</w:t>
        <w:tab/>
        <w:t>For purposes of Sections 8.3(a) and 8.3(b), the calculation of the Termination Payment shall be calculated by the Party requesting Performance Assurance pursuant to Section 5.3 as if all outstanding Transactions had been liquidated, and in addition thereto, shall include all amounts owed but not yet paid by one Party to the other whether or not such amounts are due, for performance already provided pursuant to any and all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8.4</w:t>
        <w:tab/>
      </w:r>
      <w:r>
        <w:rPr>
          <w:sz w:val="24"/>
          <w:u w:val="single"/>
        </w:rPr>
        <w:t>Downgrade Event</w:t>
      </w:r>
      <w:r>
        <w:rPr>
          <w:sz w:val="24"/>
        </w:rPr>
        <w:t xml:space="preserve"> </w:t>
      </w:r>
      <w:r>
        <w:fldChar w:fldCharType="begin"/>
      </w:r>
      <w:r>
        <w:rPr>
          <w:sz w:val="24"/>
          <w:vanish/>
        </w:rPr>
        <w:instrText xml:space="preserve"> TC "8.4</w:instrText>
        <w:tab/>
        <w:instrText xml:space="preserve">Downgrade Event " \l 1 </w:instrText>
      </w:r>
      <w:r>
        <w:rPr>
          <w:sz w:val="24"/>
          <w:vanish/>
        </w:rPr>
        <w:fldChar w:fldCharType="separate"/>
      </w:r>
      <w:r>
        <w:rPr>
          <w:vanish/>
          <w:sz w:val="24"/>
        </w:rPr>
      </w:r>
      <w:r>
        <w:rPr>
          <w:sz w:val="24"/>
          <w:vanish/>
        </w:rPr>
        <w:fldChar w:fldCharType="end"/>
      </w:r>
      <w:r>
        <w:rPr>
          <w:sz w:val="24"/>
        </w:rPr>
        <w:t>.    If at any time there shall occur a Downgrade Event in respect of a Party (a "Downgraded Party"), then the other Party ( the "Requesting Party") may require the Downgraded Party to provide    Performance Assurance in an amount reasonably determined by the Requesting Party.    In the event a Downgraded Party shall fail to provide such Performance Assurance or a guaranty or other credit assurance within three (3) Business Days of receipt of notice, then an Event of Default will be deemed to have occurred.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 xml:space="preserve">8.5 </w:t>
        <w:tab/>
      </w:r>
      <w:r>
        <w:rPr>
          <w:sz w:val="24"/>
          <w:u w:val="single"/>
        </w:rPr>
        <w:t>Grant of Security Interest/Remedies</w:t>
      </w:r>
      <w:r>
        <w:rPr>
          <w:sz w:val="24"/>
        </w:rPr>
        <w:t xml:space="preserve"> </w:t>
      </w:r>
      <w:r>
        <w:fldChar w:fldCharType="begin"/>
      </w:r>
      <w:r>
        <w:rPr>
          <w:sz w:val="24"/>
          <w:vanish/>
        </w:rPr>
        <w:instrText xml:space="preserve"> TC "8.5 </w:instrText>
        <w:tab/>
        <w:instrText xml:space="preserve">Grant of Security Interest/Remedies " \l 1 </w:instrText>
      </w:r>
      <w:r>
        <w:rPr>
          <w:sz w:val="24"/>
          <w:vanish/>
        </w:rPr>
        <w:fldChar w:fldCharType="separate"/>
      </w:r>
      <w:r>
        <w:rPr>
          <w:vanish/>
          <w:sz w:val="24"/>
        </w:rPr>
      </w:r>
      <w:r>
        <w:rPr>
          <w:sz w:val="24"/>
          <w:vanish/>
        </w:rPr>
        <w:fldChar w:fldCharType="end"/>
      </w:r>
      <w:r>
        <w:rPr>
          <w:sz w:val="24"/>
        </w:rPr>
        <w:t>. 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NINE:</w:t>
      </w:r>
      <w:r>
        <w:rPr>
          <w:b/>
          <w:sz w:val="22"/>
        </w:rPr>
        <w:t>TAXES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2"/>
        </w:rPr>
      </w:pPr>
      <w:r>
        <w:fldChar w:fldCharType="begin"/>
      </w:r>
      <w:r>
        <w:rPr/>
        <w:instrText xml:space="preserve"> TC "ARTICLE NINE:TAXES"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8"/>
        </w:rPr>
      </w:pPr>
      <w:r>
        <w:rPr>
          <w:sz w:val="28"/>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8"/>
        </w:rPr>
        <w:tab/>
      </w:r>
      <w:r>
        <w:rPr>
          <w:sz w:val="24"/>
        </w:rPr>
        <w:t>9.1</w:t>
        <w:tab/>
      </w:r>
      <w:r>
        <w:rPr>
          <w:sz w:val="24"/>
          <w:u w:val="single"/>
        </w:rPr>
        <w:t>Cooperation</w:t>
      </w:r>
      <w:r>
        <w:rPr>
          <w:sz w:val="24"/>
        </w:rPr>
        <w:t xml:space="preserve"> </w:t>
      </w:r>
      <w:r>
        <w:fldChar w:fldCharType="begin"/>
      </w:r>
      <w:r>
        <w:rPr>
          <w:sz w:val="24"/>
          <w:vanish/>
        </w:rPr>
        <w:instrText xml:space="preserve"> TC "9.1</w:instrText>
        <w:tab/>
        <w:instrText xml:space="preserve">Cooperation " \l 1 </w:instrText>
      </w:r>
      <w:r>
        <w:rPr>
          <w:sz w:val="24"/>
          <w:vanish/>
        </w:rPr>
        <w:fldChar w:fldCharType="separate"/>
      </w:r>
      <w:r>
        <w:rPr>
          <w:vanish/>
          <w:sz w:val="24"/>
        </w:rPr>
      </w:r>
      <w:r>
        <w:rPr>
          <w:sz w:val="24"/>
          <w:vanish/>
        </w:rPr>
        <w:fldChar w:fldCharType="end"/>
      </w:r>
      <w:r>
        <w:rPr>
          <w:sz w:val="24"/>
        </w:rPr>
        <w:t>.    Each Party shall use reasonable efforts to implement the provisions of and to administer this Master Agreement in accordance with the intent of the parties to minimize Taxes, so long as neither Party is materially adversely affected by such efforts.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9.2</w:t>
        <w:tab/>
      </w:r>
      <w:r>
        <w:rPr>
          <w:sz w:val="24"/>
          <w:u w:val="single"/>
        </w:rPr>
        <w:t>Taxes</w:t>
      </w:r>
      <w:r>
        <w:rPr>
          <w:sz w:val="24"/>
        </w:rPr>
        <w:t xml:space="preserve"> </w:t>
      </w:r>
      <w:r>
        <w:fldChar w:fldCharType="begin"/>
      </w:r>
      <w:r>
        <w:rPr>
          <w:sz w:val="24"/>
          <w:vanish/>
        </w:rPr>
        <w:instrText xml:space="preserve"> TC "9.2</w:instrText>
        <w:tab/>
        <w:instrText xml:space="preserve">Taxes " \l 1 </w:instrText>
      </w:r>
      <w:r>
        <w:rPr>
          <w:sz w:val="24"/>
          <w:vanish/>
        </w:rPr>
        <w:fldChar w:fldCharType="separate"/>
      </w:r>
      <w:r>
        <w:rPr>
          <w:vanish/>
          <w:sz w:val="24"/>
        </w:rPr>
      </w:r>
      <w:r>
        <w:rPr>
          <w:sz w:val="24"/>
          <w:vanish/>
        </w:rPr>
        <w:fldChar w:fldCharType="end"/>
      </w:r>
      <w:r>
        <w:rPr>
          <w:sz w:val="24"/>
        </w:rPr>
        <w:t>.</w:t>
        <w:tab/>
        <w:t>Seller shall pay or cause to be paid, all taxes, fees, levies, penalties, licenses or charges, imposed by any government authority (“Taxes”) on or with respect to the Product or a Transaction arising prior to the Delivery Point.    Buyer shall pay or cause to be paid, all Taxes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under Article 6 of this Agreement.    Nothing shall obligate or cause a Party to pay or be liable to pay any taxes for which it is exempt under the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vanish/>
          <w:sz w:val="24"/>
          <w:u w:val="single"/>
        </w:rPr>
      </w:pPr>
      <w:r>
        <w:rPr>
          <w:b/>
          <w:sz w:val="24"/>
          <w:u w:val="single"/>
        </w:rPr>
        <w:t>ARTICLE TEN:</w:t>
      </w:r>
      <w:r>
        <w:rPr>
          <w:b/>
          <w:sz w:val="22"/>
        </w:rPr>
        <w:t>MISCELLANEOUS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sz w:val="22"/>
        </w:rPr>
      </w:pPr>
      <w:r>
        <w:fldChar w:fldCharType="begin"/>
      </w:r>
      <w:r>
        <w:rPr/>
        <w:instrText xml:space="preserve"> TC "ARTICLE TEN:MISCELLANEOUS"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w:t>
        <w:tab/>
      </w:r>
      <w:r>
        <w:rPr>
          <w:sz w:val="24"/>
          <w:u w:val="single"/>
        </w:rPr>
        <w:t>Term of Master Agreement</w:t>
      </w:r>
      <w:r>
        <w:rPr>
          <w:sz w:val="24"/>
        </w:rPr>
        <w:t xml:space="preserve"> </w:t>
      </w:r>
      <w:r>
        <w:fldChar w:fldCharType="begin"/>
      </w:r>
      <w:r>
        <w:rPr>
          <w:sz w:val="24"/>
          <w:vanish/>
        </w:rPr>
        <w:instrText xml:space="preserve"> TC "10.1</w:instrText>
        <w:tab/>
        <w:instrText xml:space="preserve">Term of Master Agreement " \l 1 </w:instrText>
      </w:r>
      <w:r>
        <w:rPr>
          <w:sz w:val="24"/>
          <w:vanish/>
        </w:rPr>
        <w:fldChar w:fldCharType="separate"/>
      </w:r>
      <w:r>
        <w:rPr>
          <w:vanish/>
          <w:sz w:val="24"/>
        </w:rPr>
      </w:r>
      <w:r>
        <w:rPr>
          <w:sz w:val="24"/>
          <w:vanish/>
        </w:rPr>
        <w:fldChar w:fldCharType="end"/>
      </w:r>
      <w:r>
        <w:rPr>
          <w:sz w:val="24"/>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10.2</w:t>
        <w:tab/>
      </w:r>
      <w:r>
        <w:rPr>
          <w:sz w:val="24"/>
          <w:u w:val="single"/>
        </w:rPr>
        <w:t>Representations and Warranties</w:t>
      </w:r>
      <w:r>
        <w:rPr>
          <w:sz w:val="24"/>
        </w:rPr>
        <w:t xml:space="preserve"> </w:t>
      </w:r>
      <w:r>
        <w:fldChar w:fldCharType="begin"/>
      </w:r>
      <w:r>
        <w:rPr>
          <w:sz w:val="24"/>
          <w:vanish/>
        </w:rPr>
        <w:instrText xml:space="preserve"> TC "10.2</w:instrText>
        <w:tab/>
        <w:instrText xml:space="preserve">Representations and Warranties " \l 1 </w:instrText>
      </w:r>
      <w:r>
        <w:rPr>
          <w:sz w:val="24"/>
          <w:vanish/>
        </w:rPr>
        <w:fldChar w:fldCharType="separate"/>
      </w:r>
      <w:r>
        <w:rPr>
          <w:vanish/>
          <w:sz w:val="24"/>
        </w:rPr>
      </w:r>
      <w:r>
        <w:rPr>
          <w:sz w:val="24"/>
          <w:vanish/>
        </w:rPr>
        <w:fldChar w:fldCharType="end"/>
      </w:r>
      <w:r>
        <w:rPr>
          <w:sz w:val="24"/>
        </w:rPr>
        <w:t xml:space="preserve">.    On the Effective Date and the date of entering into each Transaction, each Party represents and warrants to the other Party that: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(i)</w:t>
        <w:tab/>
        <w:t>it is duly organized, validly existing and in good standing under the laws of the jurisdiction of its 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(ii) </w:t>
        <w:tab/>
        <w:t>it has all regulatory authorizations necessary for it to legally perform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(iii) </w:t>
        <w:tab/>
        <w:t>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(iv) </w:t>
        <w:tab/>
        <w:t>this Master Agreement, each Transaction and each other document executed and delivered in accordance with this Master Agreement constitutes its legally valid and binding obligation enforceable against it in accordance with its 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(v)</w:t>
        <w:tab/>
        <w:t>it is not Bankrupt and there are no proceedings pending or being contemplated by it or, to its knowledge, threatened against it which would result in it being or becoming Bankrupt;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(vi) </w:t>
        <w:tab/>
        <w:t>there is not pending or, to its knowledge, threatened against it or any of its Affiliates any legal proceedings that could materially adversely affect its ability to perform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(vii) </w:t>
        <w:tab/>
        <w:t>no Event of Default or Potential Event of Default with respect to it has occurred and is continuing;    and no such event or circumstance would occur as a result of its entering into or performing its obligations under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(viii) </w:t>
        <w:tab/>
        <w:t>it is acting for its own account, has made its own independent decision to enter into this Master Agreement and each Transaction and as to whether this Master Agreement and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(ix) </w:t>
        <w:tab/>
        <w:t>it is a “forward contract merchant” within the meaning of the United States Bankruptcy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(x) </w:t>
        <w:tab/>
        <w:t>it has entered into this Master Agreement and each Transaction in connection with the conduct of its business and it has the capacity or ability to make or take delivery of all Products referred to in any Transaction to which it is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(xi) </w:t>
        <w:tab/>
        <w:t xml:space="preserve">with respect to each Transaction involving the purchase or sale of a Product or an Option, it is a producer, processor, commercial user or merchant handling the Product, and it is entering into such Transaction for purposes related to its business as such; 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2160"/>
        <w:jc w:val="both"/>
        <w:rPr>
          <w:sz w:val="24"/>
        </w:rPr>
      </w:pPr>
      <w:r>
        <w:rPr>
          <w:sz w:val="24"/>
        </w:rPr>
        <w:t xml:space="preserve">(xii) </w:t>
        <w:tab/>
        <w:t>the material economic terms of each Transaction are subject to individual negotiation by the Parties.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10.3</w:t>
        <w:tab/>
      </w:r>
      <w:r>
        <w:rPr>
          <w:sz w:val="24"/>
          <w:u w:val="single"/>
        </w:rPr>
        <w:t>Title and Risk of Loss</w:t>
      </w:r>
      <w:r>
        <w:rPr>
          <w:sz w:val="24"/>
        </w:rPr>
        <w:t xml:space="preserve"> </w:t>
      </w:r>
      <w:r>
        <w:fldChar w:fldCharType="begin"/>
      </w:r>
      <w:r>
        <w:rPr>
          <w:sz w:val="24"/>
          <w:vanish/>
        </w:rPr>
        <w:instrText xml:space="preserve"> TC "10.3</w:instrText>
        <w:tab/>
        <w:instrText xml:space="preserve">Title and Risk of Loss 02" \l 1 </w:instrText>
      </w:r>
      <w:r>
        <w:rPr>
          <w:sz w:val="24"/>
          <w:vanish/>
        </w:rPr>
        <w:fldChar w:fldCharType="separate"/>
      </w:r>
      <w:r>
        <w:rPr>
          <w:vanish/>
          <w:sz w:val="24"/>
        </w:rPr>
      </w:r>
      <w:r>
        <w:rPr>
          <w:sz w:val="24"/>
          <w:vanish/>
        </w:rPr>
        <w:fldChar w:fldCharType="end"/>
      </w:r>
      <w:r>
        <w:rPr>
          <w:sz w:val="24"/>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10.4</w:t>
        <w:tab/>
      </w:r>
      <w:r>
        <w:rPr>
          <w:sz w:val="24"/>
          <w:u w:val="single"/>
        </w:rPr>
        <w:t>Indemnity</w:t>
      </w:r>
      <w:r>
        <w:rPr>
          <w:sz w:val="24"/>
        </w:rPr>
        <w:t xml:space="preserve"> </w:t>
      </w:r>
      <w:r>
        <w:fldChar w:fldCharType="begin"/>
      </w:r>
      <w:r>
        <w:rPr>
          <w:sz w:val="24"/>
          <w:vanish/>
        </w:rPr>
        <w:instrText xml:space="preserve"> TC "10.4</w:instrText>
        <w:tab/>
        <w:instrText xml:space="preserve">Indemnity " \l 1 </w:instrText>
      </w:r>
      <w:r>
        <w:rPr>
          <w:sz w:val="24"/>
          <w:vanish/>
        </w:rPr>
        <w:fldChar w:fldCharType="separate"/>
      </w:r>
      <w:r>
        <w:rPr>
          <w:vanish/>
          <w:sz w:val="24"/>
        </w:rPr>
      </w:r>
      <w:r>
        <w:rPr>
          <w:sz w:val="24"/>
          <w:vanish/>
        </w:rPr>
        <w:fldChar w:fldCharType="end"/>
      </w:r>
      <w:r>
        <w:rPr>
          <w:sz w:val="24"/>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10.5</w:t>
        <w:tab/>
      </w:r>
      <w:r>
        <w:rPr>
          <w:sz w:val="24"/>
          <w:u w:val="single"/>
        </w:rPr>
        <w:t>Assignment</w:t>
      </w:r>
      <w:r>
        <w:rPr>
          <w:sz w:val="24"/>
        </w:rPr>
        <w:t xml:space="preserve"> </w:t>
      </w:r>
      <w:r>
        <w:fldChar w:fldCharType="begin"/>
      </w:r>
      <w:r>
        <w:rPr>
          <w:sz w:val="24"/>
          <w:vanish/>
        </w:rPr>
        <w:instrText xml:space="preserve"> TC "10.5</w:instrText>
        <w:tab/>
        <w:instrText xml:space="preserve">Assignment " \l 1 </w:instrText>
      </w:r>
      <w:r>
        <w:rPr>
          <w:sz w:val="24"/>
          <w:vanish/>
        </w:rPr>
        <w:fldChar w:fldCharType="separate"/>
      </w:r>
      <w:r>
        <w:rPr>
          <w:vanish/>
          <w:sz w:val="24"/>
        </w:rPr>
      </w:r>
      <w:r>
        <w:rPr>
          <w:sz w:val="24"/>
          <w:vanish/>
        </w:rPr>
        <w:fldChar w:fldCharType="end"/>
      </w:r>
      <w:r>
        <w:rPr>
          <w:sz w:val="24"/>
        </w:rPr>
        <w:t>.    Neither Party shall assign this Agreement or its rights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10.6</w:t>
        <w:tab/>
      </w:r>
      <w:r>
        <w:rPr>
          <w:sz w:val="24"/>
          <w:u w:val="single"/>
        </w:rPr>
        <w:t>Governing Law</w:t>
      </w:r>
      <w:r>
        <w:rPr>
          <w:sz w:val="24"/>
        </w:rPr>
        <w:t xml:space="preserve"> </w:t>
      </w:r>
      <w:r>
        <w:fldChar w:fldCharType="begin"/>
      </w:r>
      <w:r>
        <w:rPr>
          <w:sz w:val="24"/>
          <w:vanish/>
        </w:rPr>
        <w:instrText xml:space="preserve"> TC "10.6</w:instrText>
        <w:tab/>
        <w:instrText xml:space="preserve">Governing Law " \l 1 </w:instrText>
      </w:r>
      <w:r>
        <w:rPr>
          <w:sz w:val="24"/>
          <w:vanish/>
        </w:rPr>
        <w:fldChar w:fldCharType="separate"/>
      </w:r>
      <w:r>
        <w:rPr>
          <w:vanish/>
          <w:sz w:val="24"/>
        </w:rPr>
      </w:r>
      <w:r>
        <w:rPr>
          <w:sz w:val="24"/>
          <w:vanish/>
        </w:rPr>
        <w:fldChar w:fldCharType="end"/>
      </w:r>
      <w:r>
        <w:rPr>
          <w:sz w:val="24"/>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10.7</w:t>
        <w:tab/>
      </w:r>
      <w:r>
        <w:rPr>
          <w:sz w:val="24"/>
          <w:u w:val="single"/>
        </w:rPr>
        <w:t>Notices</w:t>
      </w:r>
      <w:r>
        <w:rPr>
          <w:sz w:val="24"/>
        </w:rPr>
        <w:t xml:space="preserve"> </w:t>
      </w:r>
      <w:r>
        <w:fldChar w:fldCharType="begin"/>
      </w:r>
      <w:r>
        <w:rPr>
          <w:sz w:val="24"/>
          <w:vanish/>
        </w:rPr>
        <w:instrText xml:space="preserve"> TC "10.7</w:instrText>
        <w:tab/>
        <w:instrText xml:space="preserve">Notices " \l 1 </w:instrText>
      </w:r>
      <w:r>
        <w:rPr>
          <w:sz w:val="24"/>
          <w:vanish/>
        </w:rPr>
        <w:fldChar w:fldCharType="separate"/>
      </w:r>
      <w:r>
        <w:rPr>
          <w:vanish/>
          <w:sz w:val="24"/>
        </w:rPr>
      </w:r>
      <w:r>
        <w:rPr>
          <w:sz w:val="24"/>
          <w:vanish/>
        </w:rPr>
        <w:fldChar w:fldCharType="end"/>
      </w:r>
      <w:r>
        <w:rPr>
          <w:sz w:val="24"/>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10.8</w:t>
        <w:tab/>
      </w:r>
      <w:r>
        <w:rPr>
          <w:sz w:val="24"/>
          <w:u w:val="single"/>
        </w:rPr>
        <w:t>General</w:t>
      </w:r>
      <w:r>
        <w:rPr>
          <w:sz w:val="24"/>
        </w:rPr>
        <w:t xml:space="preserve"> </w:t>
      </w:r>
      <w:r>
        <w:fldChar w:fldCharType="begin"/>
      </w:r>
      <w:r>
        <w:rPr>
          <w:sz w:val="24"/>
          <w:vanish/>
        </w:rPr>
        <w:instrText xml:space="preserve"> TC "10.8</w:instrText>
        <w:tab/>
        <w:instrText xml:space="preserve">General " \l 1 </w:instrText>
      </w:r>
      <w:r>
        <w:rPr>
          <w:sz w:val="24"/>
          <w:vanish/>
        </w:rPr>
        <w:fldChar w:fldCharType="separate"/>
      </w:r>
      <w:r>
        <w:rPr>
          <w:vanish/>
          <w:sz w:val="24"/>
        </w:rPr>
      </w:r>
      <w:r>
        <w:rPr>
          <w:sz w:val="24"/>
          <w:vanish/>
        </w:rPr>
        <w:fldChar w:fldCharType="end"/>
      </w:r>
      <w:r>
        <w:rPr>
          <w:sz w:val="24"/>
        </w:rPr>
        <w:t>.    This Master Agreement (including the exhibits, schedules and any written supplements hereto), the Party A Tariff, if any, the Party B Tariff, if any, any designated collateral, credit support or margin agreement or similar arrangement between the Parties and all Transactions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10.9</w:t>
        <w:tab/>
      </w:r>
      <w:r>
        <w:rPr>
          <w:sz w:val="24"/>
          <w:u w:val="single"/>
        </w:rPr>
        <w:t>Audit</w:t>
      </w:r>
      <w:r>
        <w:rPr>
          <w:sz w:val="24"/>
        </w:rPr>
        <w:t xml:space="preserve"> </w:t>
      </w:r>
      <w:r>
        <w:fldChar w:fldCharType="begin"/>
      </w:r>
      <w:r>
        <w:rPr>
          <w:sz w:val="24"/>
          <w:vanish/>
        </w:rPr>
        <w:instrText xml:space="preserve"> TC "10.9</w:instrText>
        <w:tab/>
        <w:instrText xml:space="preserve">Audit " \l 1 </w:instrText>
      </w:r>
      <w:r>
        <w:rPr>
          <w:sz w:val="24"/>
          <w:vanish/>
        </w:rPr>
        <w:fldChar w:fldCharType="separate"/>
      </w:r>
      <w:r>
        <w:rPr>
          <w:vanish/>
          <w:sz w:val="24"/>
        </w:rPr>
      </w:r>
      <w:r>
        <w:rPr>
          <w:sz w:val="24"/>
          <w:vanish/>
        </w:rPr>
        <w:fldChar w:fldCharType="end"/>
      </w:r>
      <w:r>
        <w:rPr>
          <w:sz w:val="24"/>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10.10</w:t>
        <w:tab/>
      </w:r>
      <w:r>
        <w:rPr>
          <w:sz w:val="24"/>
          <w:u w:val="single"/>
        </w:rPr>
        <w:t>Forward Contract</w:t>
      </w:r>
      <w:r>
        <w:rPr>
          <w:sz w:val="24"/>
        </w:rPr>
        <w:t xml:space="preserve"> </w:t>
      </w:r>
      <w:r>
        <w:fldChar w:fldCharType="begin"/>
      </w:r>
      <w:r>
        <w:rPr>
          <w:sz w:val="24"/>
          <w:vanish/>
        </w:rPr>
        <w:instrText xml:space="preserve"> TC "10.10</w:instrText>
        <w:tab/>
        <w:instrText xml:space="preserve">Forward Contract " \l 1 </w:instrText>
      </w:r>
      <w:r>
        <w:rPr>
          <w:sz w:val="24"/>
          <w:vanish/>
        </w:rPr>
        <w:fldChar w:fldCharType="separate"/>
      </w:r>
      <w:r>
        <w:rPr>
          <w:vanish/>
          <w:sz w:val="24"/>
        </w:rPr>
      </w:r>
      <w:r>
        <w:rPr>
          <w:sz w:val="24"/>
          <w:vanish/>
        </w:rPr>
        <w:fldChar w:fldCharType="end"/>
      </w:r>
      <w:r>
        <w:rPr>
          <w:sz w:val="24"/>
        </w:rPr>
        <w:t xml:space="preserve">.    The Parties acknowledge and agree that all Transactions constitute “forward contracts” within the meaning of the United States Bankruptcy Code. 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tab/>
        <w:t>10.11</w:t>
        <w:tab/>
      </w:r>
      <w:r>
        <w:rPr>
          <w:sz w:val="24"/>
          <w:u w:val="single"/>
        </w:rPr>
        <w:t>Confidentiality</w:t>
      </w:r>
      <w:r>
        <w:rPr>
          <w:sz w:val="24"/>
        </w:rPr>
        <w:t xml:space="preserve"> </w:t>
      </w:r>
      <w:r>
        <w:fldChar w:fldCharType="begin"/>
      </w:r>
      <w:r>
        <w:rPr>
          <w:sz w:val="24"/>
          <w:vanish/>
        </w:rPr>
        <w:instrText xml:space="preserve"> TC "10.11</w:instrText>
        <w:tab/>
        <w:instrText xml:space="preserve">Confidentiality " \l 1 </w:instrText>
      </w:r>
      <w:r>
        <w:rPr>
          <w:sz w:val="24"/>
          <w:vanish/>
        </w:rPr>
        <w:fldChar w:fldCharType="separate"/>
      </w:r>
      <w:r>
        <w:rPr>
          <w:vanish/>
          <w:sz w:val="24"/>
        </w:rPr>
      </w:r>
      <w:r>
        <w:rPr>
          <w:sz w:val="24"/>
          <w:vanish/>
        </w:rPr>
        <w:fldChar w:fldCharType="end"/>
      </w:r>
      <w:r>
        <w:rPr>
          <w:sz w:val="24"/>
        </w:rPr>
        <w:t>.    If the Parties have elected on the Cover Sheet to make this Section 10.11 applicable to this Agreement, neither Party shall disclose the terms or conditions of a Transaction under this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bidi w:val="0"/>
        <w:jc w:val="start"/>
        <w:rPr>
          <w:sz w:val="24"/>
        </w:rPr>
      </w:pPr>
      <w:r>
        <w:rPr>
          <w:b/>
          <w:sz w:val="24"/>
        </w:rPr>
        <w:t>SCHEDULE M</w:t>
      </w:r>
      <w:r>
        <w:fldChar w:fldCharType="begin"/>
      </w:r>
      <w:r>
        <w:rPr>
          <w:sz w:val="24"/>
          <w:b/>
          <w:vanish/>
        </w:rPr>
        <w:instrText xml:space="preserve"> TC "SCHEDULE M" \l 1 </w:instrText>
      </w:r>
      <w:r>
        <w:rPr>
          <w:sz w:val="24"/>
          <w:b/>
          <w:vanish/>
        </w:rPr>
        <w:fldChar w:fldCharType="separate"/>
      </w:r>
      <w:r>
        <w:rPr>
          <w:b/>
          <w:vanish/>
          <w:sz w:val="24"/>
        </w:rPr>
      </w:r>
      <w:r>
        <w:rPr>
          <w:sz w:val="24"/>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rPr>
      </w:pPr>
      <w:r>
        <w:rPr>
          <w:b/>
          <w:sz w:val="24"/>
        </w:rPr>
        <w:t>(THIS SCHEDULE IS INCLUDED IF THE APPROPRIATE BOX ON THE COVER SHEET IS MARKED INDICATING A PARTY IS A GOVERNMENTAL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A.</w:t>
        <w:tab/>
        <w:t>The Parties agree to add the following definitions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“Act” means ______________________________.</w:t>
      </w:r>
      <w:r>
        <w:rPr>
          <w:rStyle w:val="FootnoteReference"/>
          <w:sz w:val="24"/>
          <w:vertAlign w:val="superscript"/>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“Governmental Entity” means a municipality, county, governmental board, agency, or other political subdivision or public entity of the United States, any State or territory or any foreign state.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“Special Fund” means a fund or account of the Governmental Entity set aside and or pledged to satisfy the Governmental Entity’s obligations hereunder out of which amounts shall be paid to satisfy all of the Governmental Entity’s obligations under this Master Agreement for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B.</w:t>
        <w:tab/>
        <w:t>The following sentence shall be added to the end of the definition of “Force Majeure”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If the Claiming Party is a Governmental Entity, Force Majeure does not include any action taken by the Government Entity in its governmental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C.</w:t>
        <w:tab/>
        <w:t>The Parties agree to add the following representations and warranties to Section 10.2: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Further and with respect to a Party that is a Governmental Entity, such Government Entity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Governmental Entity’s ordinances, bylaws or other regulations, (ii) all persons making up the governing body of Governmental Entity are the duly elected or appointed incumbents in their positions and hold such positions in good standing in accordance with the Act and other applicable law, (iii) with respect to its contractual obligations hereunder and performance thereof, the Governmental Entity is not entitled to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 (iv) entry into and performance of this Master Agreement by Governmental Entity are for a proper public purpose within the meaning of the Act and all other relevant constitutional, organic or other governing documents and applicable law, (v)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 obligations to make payments hereunder do not constitute any kind of indebtedness of Governmental Entity or create any kind of lien on, or security interest in, any property or revenues of Governmental Entity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D.</w:t>
        <w:tab/>
        <w:t>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 xml:space="preserve">Section 3.4.    </w:t>
      </w:r>
      <w:r>
        <w:rPr>
          <w:sz w:val="24"/>
          <w:u w:val="single"/>
        </w:rPr>
        <w:t>Governmental Entity’s Deliveries</w:t>
      </w:r>
      <w:r>
        <w:rPr>
          <w:sz w:val="24"/>
        </w:rPr>
        <w:t xml:space="preserve">.    On the Effective Date and as a condition to the obligations of the other Party hereunder, Governmental Entity shall provide the other Party hereto (i) certified copies of all ordinances, resolutions, public notices and other documents evidencing the necessary authorizations with respect to the execution, delivery and performance by Governmental Entity of this Master Agreement and (ii) an opinion of counsel for Governmental Entity, in form and substance reasonably satisfactory to the Other Party,    regarding the validity, binding effect and enforceability of this Master Agreement against Governmental Entity in respect of the Act and all other relevant constitutional organic or other governing documents and applicable law. 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E.</w:t>
        <w:tab/>
        <w:t>If the appropriate box is checked on the Cover Sheet, 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 xml:space="preserve">Section 3.5.    </w:t>
      </w:r>
      <w:r>
        <w:rPr>
          <w:sz w:val="24"/>
          <w:u w:val="single"/>
        </w:rPr>
        <w:t>Governmental Entity Security</w:t>
      </w:r>
      <w:r>
        <w:rPr>
          <w:sz w:val="24"/>
        </w:rPr>
        <w:t>.    With respect to each Transaction, Governmental Entity shall either (i) have created and set aside a Special Fund or (ii) upon execution of this Master Agreement and prior to the commencement of each subsequent fiscal year of Governmental Entity during any Delivery Period, obtain all necessary budgetary approvals and certifications for payment of all of its obligations under this Master Agreement for such fiscal year; any breach of this provision shall be deemed to have arisen during a fiscal period of Governmental Entity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w:t>
        <w:tab/>
        <w:t>If the appropriate box is checked on the Cover Sheet, the Parties agree to add the following section to Article Eight: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 xml:space="preserve">Section 8.6.    </w:t>
      </w:r>
      <w:r>
        <w:rPr>
          <w:sz w:val="24"/>
          <w:u w:val="single"/>
        </w:rPr>
        <w:t>Governmental Security</w:t>
      </w:r>
      <w:r>
        <w:rPr>
          <w:sz w:val="24"/>
        </w:rPr>
        <w:t>.    As security for payment and performance of Governmental Entity’s obligations hereunder, Governmental Entity hereby pledges, sets over, assigns and grants to the other Party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G.</w:t>
        <w:tab/>
        <w:t>The Parties agree to add the following sentence at the end of Section 10.6 - 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NOTWITHSTANDING THE FOREGOING, IN RESPECT OF THE APPLICABILITY OF THE ACT AS HEREIN PROVIDED, THE LAWS OF THE STATE OF _____________</w:t>
      </w:r>
      <w:r>
        <w:rPr>
          <w:rStyle w:val="FootnoteReference"/>
          <w:sz w:val="24"/>
          <w:vertAlign w:val="superscript"/>
        </w:rPr>
        <w:footnoteReference w:id="3"/>
      </w:r>
      <w:r>
        <w:rPr>
          <w:sz w:val="24"/>
        </w:rPr>
        <w:t xml:space="preserve">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bidi w:val="0"/>
        <w:jc w:val="start"/>
        <w:rPr>
          <w:sz w:val="24"/>
        </w:rPr>
      </w:pPr>
      <w:r>
        <w:rPr>
          <w:b/>
          <w:sz w:val="24"/>
        </w:rPr>
        <w:t>SCHEDULE P : PRODUCTS</w:t>
      </w:r>
      <w:r>
        <w:rPr>
          <w:sz w:val="24"/>
        </w:rPr>
        <w:t xml:space="preserve"> </w:t>
      </w:r>
      <w:r>
        <w:rPr>
          <w:b/>
          <w:sz w:val="24"/>
        </w:rPr>
        <w:t>AND RELATED DEFINITIONS</w:t>
      </w:r>
      <w:r>
        <w:fldChar w:fldCharType="begin"/>
      </w:r>
      <w:r>
        <w:rPr>
          <w:sz w:val="24"/>
          <w:b/>
          <w:vanish/>
        </w:rPr>
        <w:instrText xml:space="preserve"> TC "SCHEDULE P : PRODUCTS AND RELATED DEFINITIONS" \l 1 </w:instrText>
      </w:r>
      <w:r>
        <w:rPr>
          <w:sz w:val="24"/>
          <w:b/>
          <w:vanish/>
        </w:rPr>
        <w:fldChar w:fldCharType="separate"/>
      </w:r>
      <w:r>
        <w:rPr>
          <w:b/>
          <w:vanish/>
          <w:sz w:val="24"/>
        </w:rPr>
      </w:r>
      <w:r>
        <w:rPr>
          <w:sz w:val="24"/>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any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“Call Option” means an Option entitling, but not obligating, the Option Buyer to purchase and receive the Product from the Option Seller at a price equal to the Strike Price for the Delivery Period for which the Option may be exercised, all as specified in a Transaction.    Upon proper exercise of the Option by the Option Buyer, the Option Seller will be obligated to sell and deliver the Product for the Delivery Period for which the Option has been exercised.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“Capacity” has the meaning specified in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 xml:space="preserve">“Energy” means three-phase, 60-cycle alternating current electric energy, expressed in megawatt hours.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“Firm (LD-System Reliability) means that the Product will be supplied from the owned or controlled generation or pre-existing purchased power assets of the system specified in any Transaction (the “System”).    Seller’s failure to perform its obligations shall be excused by (i) Force Majeure, (ii) Buyer’s failure to perform, (iii) to the extent any failure to deliver shall be necessary to preserve the integrity of, or prevent or limit any instability on, the System or    (iv) to the extent the total of the System’s Native Load, firm energy sales, and pre-existing Firm (LD-System Reliability) Transactions exceed the System’s projected available generation for the period of delivery of the Product less reserve requirements and pre-existing Firm (LD-System Reliability) purchases, as determined in the System’s reasonable judgment.    In such events, Seller shall not be for any damages, including damages under Article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“Into ___________’s (the “Receiving Transmission Provider”) Transmission System Border, Seller’s Daily Choice” means that subject to the provisions set forth below, (1) the Product will be delivered to an interface either (a) at the Receiving Transmission Provider’s transmission system border or (b) an interface from a source of generation inside the Receiving Transmission Provider’s control area , and (2) Seller has the right on a daily prescheduled basis to designate the interface at which the Product will be delivered.    Notwithstanding the foregoing, an “Into” Product shall be subject to the following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b/>
          <w:sz w:val="24"/>
        </w:rPr>
        <w:tab/>
      </w:r>
      <w:r>
        <w:rPr>
          <w:sz w:val="24"/>
        </w:rPr>
        <w:t>1.</w:t>
        <w:tab/>
      </w:r>
      <w:r>
        <w:rPr>
          <w:sz w:val="24"/>
          <w:u w:val="single"/>
        </w:rPr>
        <w:t>Scheduling</w:t>
      </w:r>
      <w:r>
        <w:rPr>
          <w:sz w:val="24"/>
        </w:rPr>
        <w:t>. 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Product for the next delivery day (the “Designated Interface”). Seller shall have the right to choose any interface satisfying the requirements set forth in clauses (1)(a) or (1)(b) above as the Designated Interface.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2.</w:t>
        <w:tab/>
      </w:r>
      <w:r>
        <w:rPr>
          <w:sz w:val="24"/>
          <w:u w:val="single"/>
        </w:rPr>
        <w:t>Availability of Firm Transmission</w:t>
      </w:r>
      <w:r>
        <w:rPr>
          <w:sz w:val="24"/>
        </w:rPr>
        <w:t>.    Buyer must accept Seller’s Designated Interface unless daily, next-day firm transmission (“Firm Transmission”) within the Receiving Transmission Provider’s system is not available to Buyer.    In order to determine availability of Firm Transmission, the following definitions and procedures shall be recognized: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i.</w:t>
        <w:tab/>
        <w:t>A “Timely Request for Transmission” shall mean a request for Firm Transmission made by Buyer in accordance with the controlling tariff procedures, which properly completed request shall be submitted to the Receiving Transmission Provider no later than 30 minutes after the time of delivery of Seller’s Notification, provided, however, if the Receiving Transmission Provider is not accepting requests for Firm Transmission at the time of Seller’s Notification, then such request by Buyer for Firm Transmission shall be made within 30 minutes of the time at which the Receiving Transmission Provider first accepts requests for Firm Transmission.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ii</w:t>
        <w:tab/>
        <w:t>If a Timely Request for Firm Transmission is made by Buyer and is accepted by the Receiving Transmission Provider and Buyer purchases such Firm Transmission, then the rights and obligations of Buyer and Seller shall be further defined by the provisions set forth in Paragraph 3A.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iii.</w:t>
        <w:tab/>
        <w:t>If a Timely Request for Firm Transmission is made by Buyer but is rejected by the Receiving Transmission Provider on the basis that no Firm Transmission is available, then the rights and obligations of the Buyer and Seller shall be further defined by the provisions set forth in Paragraph 3B.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sz w:val="24"/>
        </w:rPr>
      </w:pPr>
      <w:r>
        <w:rPr>
          <w:sz w:val="24"/>
        </w:rPr>
        <w:tab/>
        <w:t>iv</w:t>
        <w:tab/>
        <w:t>If a Timely Request for Firm Transmission is not made by Buyer or if Buyer fails to timely deliver Buyer’s Rejection Notice to Seller or if Buyer chooses to utilize non-firm transmission, then the rights and obligations of the Buyer and Seller shall be further defined by the provisions set forth in Paragraph 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3.</w:t>
        <w:tab/>
      </w:r>
      <w:r>
        <w:rPr>
          <w:sz w:val="24"/>
          <w:u w:val="single"/>
        </w:rPr>
        <w:t>Rights of Buyer and Seller Depending Upon Availability of Timely Request for Firm Transmission</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2160"/>
        <w:jc w:val="start"/>
        <w:rPr>
          <w:sz w:val="24"/>
        </w:rPr>
      </w:pPr>
      <w:r>
        <w:rPr>
          <w:sz w:val="24"/>
        </w:rPr>
        <w:tab/>
        <w:t>A.</w:t>
        <w:tab/>
      </w:r>
      <w:r>
        <w:rPr>
          <w:sz w:val="24"/>
          <w:u w:val="single"/>
        </w:rPr>
        <w:t>Timely Requests for Firm Transmission made by Buyer, Accepted by the Receiving Transmission Provider and Purchased by Buyer</w:t>
      </w:r>
      <w:r>
        <w:rPr>
          <w:sz w:val="24"/>
        </w:rPr>
        <w:t>.    Seller shall deliver and Buyer shall receive the Product at the Designated Interface. If for any reason, including an event of Force Majeure or curtailment of Firm Transmission within the Receiving Transmission Provider’s transmission system, Seller is unable to deliver, or Buyer is unable to receive, the Product at the Designated Interface (or any subsequently selected Alternate Designated Interfaces), then Seller shall be obligated to designate an alternate interface (the “Alternate Designated Interface”) either (i) at the Receiving Transmission Provider’s transmission system border or (ii) an interface from a source of generation inside the Receiving Transmission Provider's control area, in either case, such that Seller’s obligation to deliver the Product to Buyer can be satisfied and Buyer can receive the Product and from which either firm or, at the election of Buyer, non-firm transmission within the Receiving Transmission Provider’s transmission system is available to Buyer.    If transmission within the Receiving Transmission Provider’s transmission system from the Alternate Designated Interface ceases for any reason, including an event of Force Majeure, to be available to Buyer, then Seller shall again be required to select an Alternate Designated Interface.    Seller shall be responsible for any additional transmission costs incurred by Buyer directly as a result of Seller’s failure to deliver the Product to the Designated Interface first selected by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2160"/>
        <w:jc w:val="start"/>
        <w:rPr>
          <w:sz w:val="24"/>
        </w:rPr>
      </w:pPr>
      <w:r>
        <w:rPr>
          <w:sz w:val="24"/>
        </w:rPr>
        <w:tab/>
        <w:t>B.</w:t>
        <w:tab/>
      </w:r>
      <w:r>
        <w:rPr>
          <w:sz w:val="24"/>
          <w:u w:val="single"/>
        </w:rPr>
        <w:t>Timely Request for Firm Transmission made by Buyer but Rejected by the Receiving Transmission Provider</w:t>
      </w:r>
      <w:r>
        <w:rPr>
          <w:sz w:val="24"/>
        </w:rPr>
        <w:t>.    If Buyer’s Timely Request for Firm Transmission is rejected by the Receiving Transmission Provider, then Buyer shall notify Seller within 15 minutes after receipt of the Receiving Transmission Provider’s notice of rejection (“Buyer's Rejection Notice”).    If Buyer properly notifies Seller of such unavailability of Firm Transmission, then (1) Seller shall be obligated to designate an Alternate Designated Interface and (2) thereafter the provisions in Paragraph 3(A) shall apply. If Buyer fails to timely notify Seller of the unavailability of Firm Transmission, then Buyer shall be deemed to have assumed the risk of transmission, and the provisions in Paragraph 3(C)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2160"/>
        <w:jc w:val="start"/>
        <w:rPr>
          <w:sz w:val="24"/>
        </w:rPr>
      </w:pPr>
      <w:r>
        <w:rPr>
          <w:sz w:val="24"/>
        </w:rPr>
        <w:tab/>
        <w:t>C.</w:t>
        <w:tab/>
      </w:r>
      <w:r>
        <w:rPr>
          <w:sz w:val="24"/>
          <w:u w:val="single"/>
        </w:rPr>
        <w:t>No Timely Request for Firm Transmission Made by Buyer, Buyer fails to timely send Buyer’s Rejection Notice or Buyer otherwise elects to utilize non-firm Transmission</w:t>
      </w:r>
      <w:r>
        <w:rPr>
          <w:sz w:val="24"/>
        </w:rPr>
        <w:t>.    If Buyer fails to make a Timely Request for Firm Transmission or Buyer fails to timely deliver Buyer’s Rejection Notice or Buyer otherwise elects to rely on non-firm transmission, then Buyer shall be deemed to have assumed the risk of transmission and shall have no right to request Seller to select an alternate interface.    If Seller’s delivery obligation is interrupted as a result of transmission purchased or otherwise utilized by Buyer, then such event shall not be deemed an event of Force Majeure and Seller shall nevertheless be deemed to have satisfied its delivery obligations to Buyer, and Buyer shall be deemed to have failed to receive the Product and shall be liable to Seller for damages pursuant to Article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4.</w:t>
        <w:tab/>
      </w:r>
      <w:r>
        <w:rPr>
          <w:sz w:val="24"/>
          <w:u w:val="single"/>
        </w:rPr>
        <w:t>Force Majeure</w:t>
      </w:r>
      <w:r>
        <w:rPr>
          <w:sz w:val="24"/>
        </w:rPr>
        <w:t xml:space="preserve">.    Except as otherwise expressly set forth herein, an “Into” Product shall be subject to Force Majeure; provided, however, that it shall not be an event of Force Majeure if Buyer is unable for any reason to secure transmission to transmit the Product to a Delivery Point outside of the transmission system of the Receiving Transmission Provider.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5.</w:t>
        <w:tab/>
      </w:r>
      <w:r>
        <w:rPr>
          <w:sz w:val="24"/>
          <w:u w:val="single"/>
        </w:rPr>
        <w:t>Seller’s Transmission</w:t>
      </w:r>
      <w:r>
        <w:rPr>
          <w:sz w:val="24"/>
        </w:rPr>
        <w:t>.    Except as otherwise expressly set forth herein, Seller shall be responsible for transmission service required to deliver the Product to the Designated Interface or Alternate Designated Interface, as the case may be.    Seller is not responsible for transmission service within the Receiving Transmission Provider’s transmission system or for any costs associated with transmission thereafter.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6.</w:t>
        <w:tab/>
      </w:r>
      <w:r>
        <w:rPr>
          <w:sz w:val="24"/>
          <w:u w:val="single"/>
        </w:rPr>
        <w:t>Buyer’s Transmission</w:t>
      </w:r>
      <w:r>
        <w:rPr>
          <w:sz w:val="24"/>
        </w:rPr>
        <w:t>.    Except as otherwise expressly set forth herein, Buyer shall be obligated to receive the Product at the Designated Interface or Alternate Designated Interface, as the case may be, and shall be responsible for transmission service from the Designated Interface and within the transmission system of the Receiving Transmission Provider and for any costs associated with transmission thereafter.    Buyer shall be responsible for any additional transmission costs incurred by Seller directly as a result of Buyer’s failure to receive the Product at the Designated Interface or Alternate Designated Interface, as the case may be.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“Native Load” means the demand imposed on an electric utility or an entity by the requirements of retail customers located within a franchised service territory that the electric utility or entity has statutory obligation to serve.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“Non-Firm” means, with respect to a Transaction, that delivery or receipt of the Product may be interrupted for any reason or for no reason, without liability on the part of    either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“Option” means</w:t>
      </w:r>
      <w:r>
        <w:rPr>
          <w:b/>
          <w:sz w:val="24"/>
        </w:rPr>
        <w:t xml:space="preserve"> </w:t>
      </w:r>
      <w:r>
        <w:rPr>
          <w:sz w:val="24"/>
        </w:rPr>
        <w:t>the right but not the obligation to purchase or sell a Product as specified in a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“Strike Price” means the price to be paid for the purchase of the Product pursuant to an Option.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“Unit Firm” means, with respect to a Transaction, that the Product subject to the Transaction is intended to be supplied from a particular identified generation asset or assets.    A Party’s failure to deliver under a “Unit Firm” Transaction shall be excused and the non-delivering Party shall not be deemed in default or be liable for damages only to the extent that, and for the period during which the identified generation asset or assets is or are unavailable as a result of forced full or partial outages or a Force Majeure affecting the particular identified generation asset or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"WSBP Western Firm" shall mean:_____________________________.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rPr>
      </w:pPr>
      <w:r>
        <w:rPr>
          <w:b/>
          <w:sz w:val="24"/>
        </w:rPr>
        <w:t>SCHEDULE PP</w:t>
      </w:r>
      <w:r>
        <w:fldChar w:fldCharType="begin"/>
      </w:r>
      <w:r>
        <w:rPr>
          <w:sz w:val="24"/>
          <w:b/>
          <w:vanish/>
        </w:rPr>
        <w:instrText xml:space="preserve"> TC "SCHEDULE PP" \l 1 </w:instrText>
      </w:r>
      <w:r>
        <w:rPr>
          <w:sz w:val="24"/>
          <w:b/>
          <w:vanish/>
        </w:rPr>
        <w:fldChar w:fldCharType="separate"/>
      </w:r>
      <w:r>
        <w:rPr>
          <w:b/>
          <w:vanish/>
          <w:sz w:val="24"/>
        </w:rPr>
      </w:r>
      <w:r>
        <w:rPr>
          <w:sz w:val="24"/>
          <w:b/>
          <w:vanish/>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end="1440"/>
        <w:jc w:val="start"/>
        <w:rPr>
          <w:sz w:val="24"/>
        </w:rPr>
      </w:pPr>
      <w:r>
        <w:rPr>
          <w:b/>
          <w:sz w:val="24"/>
        </w:rPr>
        <w:t>(THIS SCHEDULE IS INCLUDED IF THE APPROPRIATE BOX ON THE COVER SHEET IS MARKED INDICATING A PARTY IS A PUBLIC POWER SYSTEM)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w:t>
        <w:tab/>
        <w:t>The Parties agree to add the following definitions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"Act" means ______________________________.</w:t>
      </w:r>
      <w:r>
        <w:rPr>
          <w:rStyle w:val="FootnoteReference"/>
          <w:sz w:val="24"/>
          <w:vertAlign w:val="superscript"/>
        </w:rPr>
        <w:footnoteReference w:id="4"/>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"Public Power System" means a public power authority, public utility district, joint action agency, or other similar political subdivision or public entity of the United States, one or more States or territories or any combination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"Special Fund" means a fund or account of the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B.</w:t>
        <w:tab/>
        <w:t>The following sentence shall be added to the end of the definition of "Force Majeure" in Article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If the Claiming Party is a Public Power System, Force Majeure does not include any action taken by the Public Power System in its governmental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C.</w:t>
        <w:tab/>
        <w:t>The Parties agree to add the following representations and warranties to Section 10.2: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Further and with respect to a Party that is a Public Power System, such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Public Power System are the duly elected or appointed incumbents in their positions and hold such positions in good standing in accordance with the Act and other applicable law, (iii) entry into and performance of this Master Agreement by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Public Power System' obligations hereunder and under each Transaction or (c) are to be made solely from a Special Fund, (vi) entry into and performance of this Master Agreement and each Transaction by the Public Power System will not adversely affect the exclusion from gross income for federal income tax purposes of interest on any obligation of Public Power System otherwise entitled to such exclusion, and (vii) obligations to make payments hereunder do not constitute any kind of indebtedness of Public Power System or create any kind of lien on, or security interest in, any property or revenues of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D.</w:t>
        <w:tab/>
        <w:t>The Parties agree to add the following sections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Section 3.4.    Public Power System's Deliveries.    On the Effective Date and as a condition to the obligations of the other Party under this Master Agreement, Public Power System shall provide the other Party hereto (i) certified copies of all ordinances, resolutions, public notices and other documents evidencing the necessary authorizations with respect to the execution, delivery and performance by Public Power System of this Master Agreement and (ii) an opinion of counsel for Public Power System, in form and substance reasonably satisfactory to the Other Party,    regarding the validity, binding effect and enforceability of this Master Agreement against Public Power System in respect of the Act and all other relevant constitutional organic or other governing documents and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Section 3.5.    No Immunity Claim. 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E.</w:t>
        <w:tab/>
        <w:t>If the appropriate box is checked on the Cover Sheet, as an alternative to selecting one of the options under Section 8.3, the Parties agree to add the following section to Article Three: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Section 3.6.    Public Power System Security.    With respect to each Transaction, Public Power System shall either (i) have created and set aside a Special Fund or (ii) upon execution of this Master Agreement and prior to the commencement of each subsequent fiscal year of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Public Power System shall be treated as the Defaulting Party.    Public Power System shall have allocated to the Special Fund or its general funds a revenue base that is adequate to cover Public Power System's payment obligations hereunder throughout the entire Delivery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F.</w:t>
        <w:tab/>
        <w:t>If the appropriate box is checked on the Cover Sheet, the Parties agree to add the following section to Article Eight: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ab/>
        <w:t>Section 8.6.    Governmental Security. 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t>G.</w:t>
        <w:tab/>
        <w:t xml:space="preserve">The Parties agree to add the following sentence at the end of Section 10.6 </w:t>
        <w:noBreakHyphen/>
        <w:t xml:space="preserve"> Governing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end="1440"/>
        <w:jc w:val="start"/>
        <w:rPr>
          <w:sz w:val="24"/>
        </w:rPr>
      </w:pPr>
      <w:r>
        <w:rPr>
          <w:sz w:val="24"/>
        </w:rPr>
        <w:t>NOTWITHSTANDING THE FOREGOING, IN RESPECT OF THE APPLICABILITY OF THE ACT AS HEREIN PROVIDED, THE LAWS OF THE STATE OF _____________</w:t>
      </w:r>
      <w:r>
        <w:rPr>
          <w:rStyle w:val="FootnoteReference"/>
          <w:sz w:val="24"/>
          <w:vertAlign w:val="superscript"/>
        </w:rPr>
        <w:footnoteReference w:id="5"/>
      </w:r>
      <w:r>
        <w:rPr>
          <w:sz w:val="24"/>
        </w:rPr>
        <w:t xml:space="preserve">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sz w:val="24"/>
        </w:rPr>
      </w:pPr>
      <w:r>
        <w:rPr>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rPr>
          <w:b/>
          <w:sz w:val="24"/>
        </w:rPr>
      </w:pPr>
      <w:r>
        <w:rPr>
          <w:b/>
          <w:sz w:val="24"/>
        </w:rPr>
        <w:t>CONFIRMATION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This letter shall confirm the Transaction agreed to on ___________, ___ between __________________________ (“Party A”) and _____________________ (“Party B”) regarding the sale/purchase of the Product under the terms and conditions of the Agreement in place between the Parties and the additional terms and conditions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Seller:</w:t>
        <w:tab/>
        <w:t xml:space="preserve"> </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Buyer:</w:t>
        <w:tab/>
        <w:t xml:space="preserve">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Product:    </w:t>
      </w:r>
      <w:r>
        <w:fldChar w:fldCharType="begin"/>
      </w:r>
      <w:r>
        <w:rPr>
          <w:sz w:val="24"/>
        </w:rPr>
        <w:instrText xml:space="preserve">ADVANCE \r 1</w:instrText>
      </w:r>
      <w:r>
        <w:rPr>
          <w:sz w:val="24"/>
        </w:rPr>
      </w:r>
      <w:r>
        <w:rPr>
          <w:sz w:val="24"/>
        </w:rPr>
        <w:fldChar w:fldCharType="separate"/>
      </w:r>
      <w:r>
        <w:rPr>
          <w:sz w:val="24"/>
        </w:rPr>
      </w:r>
      <w:r>
        <w:rPr>
          <w:sz w:val="24"/>
        </w:rPr>
      </w:r>
      <w:r>
        <w:rPr>
          <w:sz w:val="24"/>
        </w:rPr>
        <w:fldChar w:fldCharType="end"/>
      </w:r>
      <w:r>
        <w:rPr>
          <w:rFonts w:ascii="WP TypographicSymbols" w:hAnsi="WP TypographicSymbols"/>
          <w:sz w:val="24"/>
        </w:rPr>
        <w:t></w:t>
      </w:r>
      <w:r>
        <w:rPr>
          <w:sz w:val="24"/>
        </w:rPr>
        <w:t>    Energy                                                            AND</w:t>
        <w:tab/>
        <w:tab/>
        <w:t xml:space="preserve">          Firm (LD)    </w:t>
      </w:r>
      <w:r>
        <w:rPr>
          <w:rFonts w:ascii="Wingdings" w:hAnsi="Wingdings"/>
          <w:sz w:val="24"/>
        </w:rPr>
        <w:t></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Capacity (Specify: __________)</w:t>
        <w:tab/>
        <w:t xml:space="preserve">          Firm (No Force Majeure) 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 xml:space="preserve">Ancillary Services (Specify: _________)      Firm (LD-System Reliability)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start="6480"/>
        <w:jc w:val="both"/>
        <w:rPr>
          <w:sz w:val="24"/>
        </w:rPr>
      </w:pPr>
      <w:r>
        <w:rPr>
          <w:sz w:val="24"/>
        </w:rPr>
        <w:t xml:space="preserve">                </w:t>
      </w:r>
      <w:r>
        <w:rPr>
          <w:sz w:val="24"/>
        </w:rPr>
        <w:t>(Specify System and, if any, transmission                    contingency:____________)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11772" w:start="6480"/>
        <w:jc w:val="both"/>
        <w:rPr>
          <w:sz w:val="24"/>
        </w:rPr>
      </w:pPr>
      <w:r>
        <w:rPr>
          <w:sz w:val="24"/>
        </w:rPr>
        <w:t xml:space="preserve">                                </w:t>
      </w:r>
      <w:r>
        <w:rPr>
          <w:rFonts w:ascii="WP TypographicSymbols" w:hAnsi="WP TypographicSymbols"/>
          <w:sz w:val="24"/>
        </w:rPr>
        <w:t></w:t>
      </w:r>
      <w:r>
        <w:rPr>
          <w:sz w:val="24"/>
        </w:rPr>
        <w:t xml:space="preserve"> </w:t>
      </w:r>
      <w:r>
        <w:rPr>
          <w:sz w:val="24"/>
        </w:rPr>
        <w:t>Other</w:t>
        <w:tab/>
        <w:tab/>
        <w:tab/>
        <w:tab/>
        <w:tab/>
        <w:t xml:space="preserve">      </w:t>
        <w:tab/>
        <w:t xml:space="preserve">          Unit Firm    </w:t>
      </w:r>
      <w:r>
        <w:rPr>
          <w:rFonts w:ascii="WP TypographicSymbols" w:hAnsi="WP TypographicSymbols"/>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ab/>
        <w:tab/>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292"/>
        <w:jc w:val="both"/>
        <w:rPr>
          <w:sz w:val="24"/>
        </w:rPr>
      </w:pPr>
      <w:r>
        <w:rPr>
          <w:sz w:val="24"/>
        </w:rPr>
        <w:t xml:space="preserve">Other Products:    </w:t>
      </w:r>
      <w:r>
        <w:rPr>
          <w:sz w:val="24"/>
          <w:u w:val="single"/>
        </w:rPr>
        <w:t xml:space="preserve">                                                                                                                                                                        </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Contract Quantity: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rPr>
        <w:t xml:space="preserve">Delivery Point: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Into: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Control Area:</w:t>
      </w:r>
      <w:r>
        <w:rPr>
          <w:sz w:val="24"/>
          <w:u w:val="single"/>
        </w:rPr>
        <w:tab/>
        <w:tab/>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u w:val="single"/>
        </w:rPr>
      </w:pPr>
      <w:r>
        <w:rPr>
          <w:sz w:val="24"/>
        </w:rPr>
        <w:t xml:space="preserve">Contract Price: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Energy Price:</w:t>
      </w:r>
      <w:r>
        <w:rPr>
          <w:sz w:val="24"/>
          <w:u w:val="single"/>
        </w:rPr>
        <w:t xml:space="preserve">                                                                                                                                                      </w:t>
      </w:r>
      <w:r>
        <w:rPr>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Demand Charges:</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Transmission Charges:</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ab/>
        <w:t xml:space="preserve">Other Charges: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Delivery Period:</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Special Conditions: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 xml:space="preserve">Scheduling:                                  </w:t>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Option Buyer:</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Option Seller:</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Type of Option:</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Strike Price:</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Premium:</w:t>
        <w:tab/>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t>Exercise Period:</w:t>
        <w:tab/>
      </w:r>
      <w:r>
        <w:rPr>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72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760" w:start="5760"/>
        <w:jc w:val="both"/>
        <w:rPr>
          <w:sz w:val="24"/>
        </w:rPr>
      </w:pPr>
      <w:r>
        <w:rPr>
          <w:sz w:val="24"/>
        </w:rPr>
        <w:t>[Party A]</w:t>
        <w:tab/>
        <w:tab/>
        <w:tab/>
        <w:tab/>
        <w:tab/>
        <w:tab/>
        <w:t>[Party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rPr>
      </w:pPr>
      <w:r>
        <w:rPr>
          <w:sz w:val="24"/>
        </w:rPr>
        <w:t>__________________________________</w:t>
        <w:tab/>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rPr>
      </w:pPr>
      <w:r>
        <w:rPr/>
        <w:t>Name:</w:t>
      </w:r>
      <w:r>
        <w:rPr>
          <w:sz w:val="24"/>
        </w:rPr>
        <w:t>_____________________________</w:t>
        <w:tab/>
      </w:r>
      <w:r>
        <w:rPr/>
        <w:t>Name:</w:t>
      </w:r>
      <w:r>
        <w:rPr>
          <w:sz w:val="24"/>
        </w:rPr>
        <w:t>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rPr>
      </w:pPr>
      <w:r>
        <w:rPr/>
        <w:t>Title</w:t>
      </w:r>
      <w:r>
        <w:rPr>
          <w:sz w:val="24"/>
        </w:rPr>
        <w:t>:______________________________</w:t>
        <w:tab/>
      </w:r>
      <w:r>
        <w:rPr/>
        <w:t>Title</w:t>
      </w:r>
      <w:r>
        <w:rPr>
          <w:sz w:val="24"/>
        </w:rPr>
        <w:t>: 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rPr>
      </w:pPr>
      <w:r>
        <w:rPr/>
        <w:t>Phone No.:</w:t>
      </w:r>
      <w:r>
        <w:rPr>
          <w:sz w:val="24"/>
        </w:rPr>
        <w:t xml:space="preserve"> _________________________</w:t>
        <w:tab/>
      </w:r>
      <w:r>
        <w:rPr/>
        <w:t>Phone No.:</w:t>
      </w:r>
      <w:r>
        <w:rPr>
          <w:sz w:val="24"/>
        </w:rPr>
        <w:t>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5040" w:start="5040"/>
        <w:jc w:val="both"/>
        <w:rPr>
          <w:sz w:val="24"/>
        </w:rPr>
      </w:pPr>
      <w:r>
        <w:rPr/>
        <w:t>Facsimile:</w:t>
      </w:r>
      <w:r>
        <w:rPr>
          <w:sz w:val="24"/>
        </w:rPr>
        <w:t>__________________________</w:t>
        <w:tab/>
      </w:r>
      <w:r>
        <w:rPr/>
        <w:t>Facsimile:</w:t>
      </w:r>
      <w:r>
        <w:rPr>
          <w:sz w:val="24"/>
        </w:rPr>
        <w:t>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sz w:val="24"/>
        </w:rPr>
      </w:pPr>
      <w:r>
        <w:rPr/>
        <w:fldChar w:fldCharType="begin"/>
      </w:r>
      <w:r>
        <w:rPr/>
        <w:instrText xml:space="preserve"> FILENAME </w:instrText>
      </w:r>
      <w:r>
        <w:rPr/>
        <w:fldChar w:fldCharType="separate"/>
      </w:r>
      <w:r>
        <w:rPr/>
        <w:t>3.209178.MMVGM3PVVCDGV01R2GFKNO13EBV0COSWA.1.rtf</w:t>
      </w:r>
      <w:r>
        <w:rPr/>
        <w:fldChar w:fldCharType="end"/>
      </w:r>
    </w:p>
    <w:p>
      <w:pPr>
        <w:pStyle w:val="Normal"/>
        <w:bidi w:val="0"/>
        <w:jc w:val="start"/>
        <w:rPr/>
      </w:pPr>
      <w:r>
        <w:rPr/>
      </w:r>
    </w:p>
    <w:sectPr>
      <w:footerReference w:type="even" r:id="rId8"/>
      <w:footerReference w:type="default" r:id="rId9"/>
      <w:footerReference w:type="first" r:id="rId10"/>
      <w:footnotePr>
        <w:numFmt w:val="decimal"/>
        <w:numRestart w:val="eachSect"/>
      </w:footnotePr>
      <w:type w:val="nextPage"/>
      <w:pgSz w:w="12240" w:h="15840"/>
      <w:pgMar w:left="1440" w:right="1440" w:gutter="0" w:header="0" w:top="1440" w:footer="1056" w:bottom="1440"/>
      <w:pgNumType w:start="1" w:fmt="low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3.209178.MMVGM3PVVCDGV01R2GFKNO13EBV0COSWA.1.rtf</w:t>
    </w:r>
    <w:r>
      <w:rPr>
        <w:sz w:val="24"/>
        <w:lang w:val="en-US"/>
      </w:rPr>
      <w:fldChar w:fldCharType="end"/>
    </w:r>
    <w:r>
      <mc:AlternateContent>
        <mc:Choice Requires="wps">
          <w:drawing>
            <wp:anchor behindDoc="0" distT="0" distB="0" distL="0" distR="0" simplePos="0" locked="0" layoutInCell="0" allowOverlap="1" relativeHeight="3">
              <wp:simplePos x="0" y="0"/>
              <wp:positionH relativeFrom="page">
                <wp:posOffset>3634740</wp:posOffset>
              </wp:positionH>
              <wp:positionV relativeFrom="page">
                <wp:posOffset>9601835</wp:posOffset>
              </wp:positionV>
              <wp:extent cx="365760" cy="146685"/>
              <wp:effectExtent l="0" t="0" r="0" b="0"/>
              <wp:wrapTopAndBottom/>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fldChar w:fldCharType="begin"/>
    </w:r>
    <w:r>
      <w:rPr/>
      <w:instrText xml:space="preserve"> FILENAME </w:instrText>
    </w:r>
    <w:r>
      <w:rPr/>
      <w:fldChar w:fldCharType="separate"/>
    </w:r>
    <w:r>
      <w:rPr/>
      <w:t>3.209178.MMVGM3PVVCDGV01R2GFKNO13EBV0COSWA.1.rtf</w:t>
    </w:r>
    <w:r>
      <w:rPr/>
      <w:fldChar w:fldCharType="end"/>
    </w:r>
    <w:r>
      <mc:AlternateContent>
        <mc:Choice Requires="wps">
          <w:drawing>
            <wp:anchor behindDoc="0" distT="0" distB="0" distL="0" distR="0" simplePos="0" locked="0" layoutInCell="0" allowOverlap="1" relativeHeight="5">
              <wp:simplePos x="0" y="0"/>
              <wp:positionH relativeFrom="page">
                <wp:posOffset>3634740</wp:posOffset>
              </wp:positionH>
              <wp:positionV relativeFrom="page">
                <wp:posOffset>9601835</wp:posOffset>
              </wp:positionV>
              <wp:extent cx="365760" cy="146685"/>
              <wp:effectExtent l="0" t="0" r="0" b="0"/>
              <wp:wrapTopAndBottom/>
              <wp:docPr id="2"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fldChar w:fldCharType="begin"/>
    </w:r>
    <w:r>
      <w:rPr/>
      <w:instrText xml:space="preserve"> FILENAME </w:instrText>
    </w:r>
    <w:r>
      <w:rPr/>
      <w:fldChar w:fldCharType="separate"/>
    </w:r>
    <w:r>
      <w:rPr/>
      <w:t>3.209178.MMVGM3PVVCDGV01R2GFKNO13EBV0COSWA.1.rtf</w:t>
    </w:r>
    <w:r>
      <w:rPr/>
      <w:fldChar w:fldCharType="end"/>
    </w:r>
    <w:r>
      <mc:AlternateContent>
        <mc:Choice Requires="wps">
          <w:drawing>
            <wp:anchor behindDoc="0" distT="0" distB="0" distL="0" distR="0" simplePos="0" locked="0" layoutInCell="0" allowOverlap="1" relativeHeight="5">
              <wp:simplePos x="0" y="0"/>
              <wp:positionH relativeFrom="page">
                <wp:posOffset>3634740</wp:posOffset>
              </wp:positionH>
              <wp:positionV relativeFrom="page">
                <wp:posOffset>9601835</wp:posOffset>
              </wp:positionV>
              <wp:extent cx="365760" cy="146685"/>
              <wp:effectExtent l="0" t="0" r="0" b="0"/>
              <wp:wrapTopAndBottom/>
              <wp:docPr id="3"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5</w:t>
                    </w:r>
                    <w:r>
                      <w:rPr>
                        <w:rStyle w:val="PageNumber"/>
                        <w:lang w:val="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fldChar w:fldCharType="begin"/>
    </w:r>
    <w:r>
      <w:rPr/>
      <w:instrText xml:space="preserve"> FILENAME </w:instrText>
    </w:r>
    <w:r>
      <w:rPr/>
      <w:fldChar w:fldCharType="separate"/>
    </w:r>
    <w:r>
      <w:rPr/>
      <w:t>3.209178.MMVGM3PVVCDGV01R2GFKNO13EBV0COSWA.1.rtf</w:t>
    </w:r>
    <w:r>
      <w:rPr/>
      <w:fldChar w:fldCharType="end"/>
    </w:r>
    <w:r>
      <mc:AlternateContent>
        <mc:Choice Requires="wps">
          <w:drawing>
            <wp:anchor behindDoc="0" distT="0" distB="0" distL="0" distR="0" simplePos="0" locked="0" layoutInCell="0" allowOverlap="1" relativeHeight="38">
              <wp:simplePos x="0" y="0"/>
              <wp:positionH relativeFrom="page">
                <wp:posOffset>3634740</wp:posOffset>
              </wp:positionH>
              <wp:positionV relativeFrom="page">
                <wp:posOffset>9601835</wp:posOffset>
              </wp:positionV>
              <wp:extent cx="365760" cy="146685"/>
              <wp:effectExtent l="0" t="0" r="0" b="0"/>
              <wp:wrapTopAndBottom/>
              <wp:docPr id="4" name="Frame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xxxiii</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xxxiii</w:t>
                    </w:r>
                    <w:r>
                      <w:rPr>
                        <w:rStyle w:val="PageNumber"/>
                        <w:lang w:val="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fldChar w:fldCharType="begin"/>
    </w:r>
    <w:r>
      <w:rPr/>
      <w:instrText xml:space="preserve"> FILENAME </w:instrText>
    </w:r>
    <w:r>
      <w:rPr/>
      <w:fldChar w:fldCharType="separate"/>
    </w:r>
    <w:r>
      <w:rPr/>
      <w:t>3.209178.MMVGM3PVVCDGV01R2GFKNO13EBV0COSWA.1.rtf</w:t>
    </w:r>
    <w:r>
      <w:rPr/>
      <w:fldChar w:fldCharType="end"/>
    </w:r>
    <w:r>
      <mc:AlternateContent>
        <mc:Choice Requires="wps">
          <w:drawing>
            <wp:anchor behindDoc="0" distT="0" distB="0" distL="0" distR="0" simplePos="0" locked="0" layoutInCell="0" allowOverlap="1" relativeHeight="38">
              <wp:simplePos x="0" y="0"/>
              <wp:positionH relativeFrom="page">
                <wp:posOffset>3634740</wp:posOffset>
              </wp:positionH>
              <wp:positionV relativeFrom="page">
                <wp:posOffset>9601835</wp:posOffset>
              </wp:positionV>
              <wp:extent cx="365760" cy="146685"/>
              <wp:effectExtent l="0" t="0" r="0" b="0"/>
              <wp:wrapTopAndBottom/>
              <wp:docPr id="5" name="Frame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xxxiii</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xxxiii</w:t>
                    </w:r>
                    <w:r>
                      <w:rPr>
                        <w:rStyle w:val="PageNumber"/>
                        <w:lang w:val="en-US"/>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sz w:val="24"/>
        </w:rPr>
        <w:t>Cite the state enabling and other relevant statutes applicable to Governmental Entity.</w:t>
      </w:r>
    </w:p>
  </w:footnote>
  <w:footnote w:id="3">
    <w:p>
      <w:pPr>
        <w:pStyle w:val="FootnoteText"/>
        <w:bidi w:val="0"/>
        <w:jc w:val="start"/>
        <w:rPr/>
      </w:pPr>
      <w:r>
        <w:rPr>
          <w:rStyle w:val="FootnoteCharacters"/>
        </w:rPr>
        <w:footnoteRef/>
      </w:r>
      <w:r>
        <w:rPr>
          <w:sz w:val="24"/>
        </w:rPr>
        <w:t>Insert relevant state for Governmental Entity.</w:t>
      </w:r>
    </w:p>
  </w:footnote>
  <w:footnote w:id="4">
    <w:p>
      <w:pPr>
        <w:pStyle w:val="FootnoteText"/>
        <w:bidi w:val="0"/>
        <w:jc w:val="start"/>
        <w:rPr/>
      </w:pPr>
      <w:r>
        <w:rPr>
          <w:rStyle w:val="FootnoteCharacters"/>
        </w:rPr>
        <w:footnoteRef/>
      </w:r>
      <w:r>
        <w:rPr>
          <w:rStyle w:val="FootnoteRef"/>
          <w:sz w:val="24"/>
          <w:vertAlign w:val="superscript"/>
        </w:rPr>
        <w:t xml:space="preserve"> </w:t>
      </w:r>
      <w:r>
        <w:rPr>
          <w:sz w:val="24"/>
        </w:rPr>
        <w:t>Cite the state enabling and other relevant statutes applicable to Public Power System.</w:t>
      </w:r>
    </w:p>
  </w:footnote>
  <w:footnote w:id="5">
    <w:p>
      <w:pPr>
        <w:pStyle w:val="FootnoteText"/>
        <w:bidi w:val="0"/>
        <w:jc w:val="start"/>
        <w:rPr/>
      </w:pPr>
      <w:r>
        <w:rPr>
          <w:rStyle w:val="FootnoteCharacters"/>
        </w:rPr>
        <w:footnoteRef/>
      </w:r>
      <w:r>
        <w:rPr>
          <w:rStyle w:val="FootnoteRef"/>
          <w:sz w:val="24"/>
          <w:vertAlign w:val="superscript"/>
        </w:rPr>
        <w:t xml:space="preserve"> </w:t>
      </w:r>
      <w:r>
        <w:rPr>
          <w:sz w:val="24"/>
        </w:rPr>
        <w:t>Insert relevant state for Public Power System.</w:t>
      </w:r>
    </w:p>
  </w:footnote>
</w:footnotes>
</file>

<file path=word/settings.xml><?xml version="1.0" encoding="utf-8"?>
<w:settings xmlns:w="http://schemas.openxmlformats.org/wordprocessingml/2006/main">
  <w:zoom w:percent="150"/>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US" w:eastAsia="zh-CN" w:bidi="hi-IN"/>
    </w:rPr>
  </w:style>
  <w:style w:type="paragraph" w:styleId="Heading1">
    <w:name w:val="heading 1"/>
    <w:basedOn w:val="Normal"/>
    <w:next w:val="Normal"/>
    <w:qFormat/>
    <w:pPr>
      <w:widowControl w:val="false"/>
      <w:jc w:val="center"/>
    </w:pPr>
    <w:rPr/>
  </w:style>
  <w:style w:type="paragraph" w:styleId="Heading2">
    <w:name w:val="heading 2"/>
    <w:basedOn w:val="Normal"/>
    <w:next w:val="Normal"/>
    <w:qFormat/>
    <w:pPr>
      <w:widowControl w:val="false"/>
      <w:jc w:val="center"/>
    </w:pPr>
    <w:rPr>
      <w:sz w:val="22"/>
    </w:rPr>
  </w:style>
  <w:style w:type="paragraph" w:styleId="Heading3">
    <w:name w:val="heading 3"/>
    <w:basedOn w:val="Normal"/>
    <w:next w:val="Normal"/>
    <w:qFormat/>
    <w:pPr>
      <w:widowControl w:val="false"/>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style>
  <w:style w:type="paragraph" w:styleId="Heading4">
    <w:name w:val="heading 4"/>
    <w:basedOn w:val="Normal"/>
    <w:next w:val="Normal"/>
    <w:qFormat/>
    <w:pPr>
      <w:widowControl w:val="false"/>
      <w:jc w:val="center"/>
    </w:pPr>
    <w:rPr/>
  </w:style>
  <w:style w:type="paragraph" w:styleId="Heading5">
    <w:name w:val="heading 5"/>
    <w:basedOn w:val="Normal"/>
    <w:next w:val="Normal"/>
    <w:qFormat/>
    <w:pPr>
      <w:widowControl w:val="false"/>
      <w:jc w:val="both"/>
    </w:pPr>
    <w:rPr/>
  </w:style>
  <w:style w:type="character" w:styleId="DefaultParagraphFont">
    <w:name w:val="Default Paragraph Font"/>
    <w:qFormat/>
    <w:rPr/>
  </w:style>
  <w:style w:type="character" w:styleId="FootnoteRef">
    <w:name w:val="Footnote Ref"/>
    <w:qFormat/>
    <w:rPr/>
  </w:style>
  <w:style w:type="character" w:styleId="DefaultPara">
    <w:name w:val="Default Para"/>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jc w:val="center"/>
    </w:pPr>
    <w:rPr>
      <w:sz w:val="36"/>
    </w:rPr>
  </w:style>
  <w:style w:type="paragraph" w:styleId="BodyText2">
    <w:name w:val="Body Text 2"/>
    <w:basedOn w:val="Normal"/>
    <w:qFormat/>
    <w:pPr>
      <w:widowControl w:val="false"/>
      <w:jc w:val="both"/>
    </w:pPr>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720"/>
      <w:jc w:val="both"/>
    </w:pPr>
    <w:rPr>
      <w:rFonts w:ascii="Times New Roman" w:hAnsi="Times New Roman" w:eastAsia="Courier New" w:cs="Symbol"/>
      <w:color w:val="auto"/>
      <w:kern w:val="2"/>
      <w:sz w:val="24"/>
      <w:szCs w:val="24"/>
      <w:lang w:val="en-US" w:eastAsia="zh-CN" w:bidi="hi-IN"/>
    </w:rPr>
  </w:style>
  <w:style w:type="paragraph" w:styleId="1">
    <w:name w:val="1"/>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BodyTextIn">
    <w:name w:val="Body Text In"/>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Justified">
    <w:name w:val="Justified"/>
    <w:qFormat/>
    <w:pPr>
      <w:widowControl w:val="false"/>
      <w:bidi w:val="0"/>
    </w:pPr>
    <w:rPr>
      <w:rFonts w:ascii="Times New Roman" w:hAnsi="Times New Roman" w:eastAsia="Courier New" w:cs="Symbol"/>
      <w:color w:val="auto"/>
      <w:kern w:val="2"/>
      <w:sz w:val="24"/>
      <w:szCs w:val="24"/>
      <w:lang w:val="en-US" w:eastAsia="zh-CN" w:bidi="hi-IN"/>
    </w:rPr>
  </w:style>
  <w:style w:type="paragraph" w:styleId="Article1aL4">
    <w:name w:val="Article1a_L4"/>
    <w:qFormat/>
    <w:pPr>
      <w:widowControl w:val="false"/>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end="720"/>
    </w:pPr>
    <w:rPr>
      <w:rFonts w:ascii="Times New Roman" w:hAnsi="Times New Roman" w:eastAsia="Courier New" w:cs="Symbol"/>
      <w:color w:val="auto"/>
      <w:kern w:val="2"/>
      <w:sz w:val="24"/>
      <w:szCs w:val="24"/>
      <w:lang w:val="en-US" w:eastAsia="zh-CN" w:bidi="hi-IN"/>
    </w:rPr>
  </w:style>
  <w:style w:type="paragraph" w:styleId="FootnoteTe">
    <w:name w:val="Footnote Te"/>
    <w:qFormat/>
    <w:pPr>
      <w:widowControl w:val="false"/>
      <w:bidi w:val="0"/>
    </w:pPr>
    <w:rPr>
      <w:rFonts w:ascii="Times New Roman" w:hAnsi="Times New Roman" w:eastAsia="Courier New" w:cs="Symbol"/>
      <w:color w:val="auto"/>
      <w:kern w:val="2"/>
      <w:sz w:val="24"/>
      <w:szCs w:val="24"/>
      <w:lang w:val="en-US" w:eastAsia="zh-CN"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TOC1">
    <w:name w:val="toc 1"/>
    <w:basedOn w:val="Normal"/>
    <w:next w:val="Normal"/>
    <w:autoRedefine/>
    <w:pPr>
      <w:widowControl w:val="false"/>
      <w:ind w:hanging="720" w:start="720"/>
    </w:pPr>
    <w:rPr/>
  </w:style>
  <w:style w:type="paragraph" w:styleId="TOC2">
    <w:name w:val="toc 2"/>
    <w:basedOn w:val="Normal"/>
    <w:next w:val="Normal"/>
    <w:autoRedefine/>
    <w:pPr>
      <w:widowControl w:val="false"/>
      <w:ind w:hanging="720" w:start="1440"/>
    </w:pPr>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14575</Words>
  <Characters>102025</Characters>
  <CharactersWithSpaces>83078</CharactersWithSpaces>
  <Company>Schiff, Hardin &amp; Waite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1999-10-31T17:44:00Z</dcterms:created>
  <dc:creator>Schiff Hardin &amp; Waite</dc:creator>
  <dc:description>MASTER POWER PURCHASE</dc:description>
  <dc:language>en-US</dc:language>
  <cp:lastModifiedBy/>
  <dcterms:modified xsi:type="dcterms:W3CDTF">1999-10-31T17:44:00Z</dcterms:modified>
  <cp:revision>2</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Schiff Hardin &amp; Waite</vt:lpwstr>
  </property>
</Properties>
</file>