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notes.xml" ContentType="application/vnd.openxmlformats-officedocument.wordprocessingml.footnotes+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jc w:val="start"/>
        <w:rPr/>
      </w:pPr>
      <w:r>
        <w:rPr/>
        <w:t xml:space="preserve">This redlined draft, generated by CompareRite (TM) </w:t>
        <w:noBreakHyphen/>
        <w:t xml:space="preserve"> The Instant Redliner, shows the differences between </w:t>
        <w:noBreakHyphen/>
        <w:t xml:space="preserve"> </w:t>
      </w:r>
    </w:p>
    <w:p>
      <w:pPr>
        <w:pStyle w:val="Normal"/>
        <w:widowControl w:val="false"/>
        <w:suppressAutoHyphens w:val="true"/>
        <w:bidi w:val="0"/>
        <w:jc w:val="start"/>
        <w:rPr/>
      </w:pPr>
      <w:r>
        <w:rPr/>
        <w:t>original document      : I:\DOCSDATA\DOCS2\CGOODSON\9RJ301_.WPD</w:t>
      </w:r>
    </w:p>
    <w:p>
      <w:pPr>
        <w:pStyle w:val="Normal"/>
        <w:widowControl w:val="false"/>
        <w:suppressAutoHyphens w:val="true"/>
        <w:bidi w:val="0"/>
        <w:jc w:val="start"/>
        <w:rPr/>
      </w:pPr>
      <w:r>
        <w:rPr/>
        <w:t>and revised document: L:\DOCSDATA\DOCS2\CGOODSON\W9BD03_.WPD</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389 change(s) in the text</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Strikethrough text </w:t>
      </w:r>
    </w:p>
    <w:p>
      <w:pPr>
        <w:sectPr>
          <w:type w:val="nextPage"/>
          <w:pgSz w:w="12240" w:h="15840"/>
          <w:pgMar w:left="1440" w:right="1440" w:gutter="0" w:header="0" w:top="1440" w:footer="0" w:bottom="1440"/>
          <w:pgNumType w:fmt="decimal"/>
          <w:formProt w:val="false"/>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Normal"/>
        <w:widowControl/>
        <w:bidi w:val="0"/>
        <w:jc w:val="center"/>
        <w:rPr>
          <w:b/>
          <w:strike/>
          <w:sz w:val="22"/>
        </w:rPr>
      </w:pPr>
      <w:r>
        <w:rPr>
          <w:b/>
          <w:sz w:val="22"/>
        </w:rPr>
        <w:t xml:space="preserve">MASTER POWER PURCHASE </w:t>
      </w:r>
    </w:p>
    <w:p>
      <w:pPr>
        <w:pStyle w:val="Normal"/>
        <w:widowControl/>
        <w:bidi w:val="0"/>
        <w:jc w:val="center"/>
        <w:rPr>
          <w:b/>
          <w:sz w:val="22"/>
        </w:rPr>
      </w:pPr>
      <w:r>
        <w:rPr>
          <w:b/>
          <w:sz w:val="22"/>
        </w:rPr>
        <w:t>AND SALE AGREEMENT</w:t>
      </w:r>
    </w:p>
    <w:p>
      <w:pPr>
        <w:pStyle w:val="Normal"/>
        <w:widowControl/>
        <w:bidi w:val="0"/>
        <w:jc w:val="center"/>
        <w:rPr>
          <w:sz w:val="18"/>
        </w:rPr>
      </w:pPr>
      <w:r>
        <w:rPr>
          <w:b/>
          <w:sz w:val="22"/>
          <w:u w:val="double"/>
        </w:rPr>
        <w:t>COVER SHEET</w:t>
      </w:r>
    </w:p>
    <w:p>
      <w:pPr>
        <w:pStyle w:val="Normal"/>
        <w:widowControl/>
        <w:bidi w:val="0"/>
        <w:jc w:val="center"/>
        <w:rPr>
          <w:sz w:val="18"/>
        </w:rPr>
      </w:pPr>
      <w:r>
        <w:rPr>
          <w:sz w:val="18"/>
        </w:rPr>
      </w:r>
    </w:p>
    <w:p>
      <w:pPr>
        <w:pStyle w:val="Normal"/>
        <w:widowControl/>
        <w:bidi w:val="0"/>
        <w:jc w:val="start"/>
        <w:rPr>
          <w:strike/>
          <w:sz w:val="18"/>
        </w:rPr>
      </w:pPr>
      <w:r>
        <w:rPr>
          <w:sz w:val="18"/>
        </w:rPr>
        <w:t xml:space="preserve">This Master Power Purchase and Sale Agreement </w:t>
      </w:r>
      <w:r>
        <w:rPr>
          <w:sz w:val="18"/>
          <w:u w:val="double"/>
        </w:rPr>
        <w:t xml:space="preserve">("Master Agreement" ) is made as of the following date: _________ ("Effective Date") .    The Master Agreement (together with the exhibits, schedules and any written supplements hereto) together with all Transactions shall be referred to as the "Agreement."    The Parties to </w:t>
      </w:r>
      <w:r>
        <w:rPr>
          <w:strike/>
          <w:sz w:val="18"/>
        </w:rPr>
        <w:t>(hereinafter referred to as the "Master Agreement") is made as of this___ day of ___________,______, between __________________________, a ____________ corporation (</w:t>
      </w:r>
      <w:r>
        <w:rPr>
          <w:rFonts w:ascii="WP TypographicSymbols" w:hAnsi="WP TypographicSymbols"/>
          <w:strike/>
          <w:sz w:val="18"/>
        </w:rPr>
        <w:t></w:t>
      </w:r>
      <w:r>
        <w:rPr>
          <w:strike/>
          <w:sz w:val="18"/>
        </w:rPr>
        <w:t>_____________</w:t>
      </w:r>
      <w:r>
        <w:rPr>
          <w:rFonts w:ascii="WP TypographicSymbols" w:hAnsi="WP TypographicSymbols"/>
          <w:strike/>
          <w:sz w:val="18"/>
        </w:rPr>
        <w:t></w:t>
      </w:r>
      <w:r>
        <w:rPr>
          <w:strike/>
          <w:sz w:val="18"/>
        </w:rPr>
        <w:t>), and _________________ (</w:t>
      </w:r>
      <w:r>
        <w:rPr>
          <w:rFonts w:ascii="WP TypographicSymbols" w:hAnsi="WP TypographicSymbols"/>
          <w:strike/>
          <w:sz w:val="18"/>
        </w:rPr>
        <w:t></w:t>
      </w:r>
      <w:r>
        <w:rPr>
          <w:strike/>
          <w:sz w:val="18"/>
        </w:rPr>
        <w:t>________________</w:t>
      </w:r>
      <w:r>
        <w:rPr>
          <w:rFonts w:ascii="WP TypographicSymbols" w:hAnsi="WP TypographicSymbols"/>
          <w:strike/>
          <w:sz w:val="18"/>
        </w:rPr>
        <w:t></w:t>
      </w:r>
      <w:r>
        <w:rPr>
          <w:strike/>
          <w:sz w:val="18"/>
        </w:rPr>
        <w:t xml:space="preserve"> or </w:t>
      </w:r>
      <w:r>
        <w:rPr>
          <w:rFonts w:ascii="WP TypographicSymbols" w:hAnsi="WP TypographicSymbols"/>
          <w:strike/>
          <w:sz w:val="18"/>
        </w:rPr>
        <w:t></w:t>
      </w:r>
      <w:r>
        <w:rPr>
          <w:strike/>
          <w:sz w:val="18"/>
        </w:rPr>
        <w:t>Counterparty</w:t>
      </w:r>
      <w:r>
        <w:rPr>
          <w:rFonts w:ascii="WP TypographicSymbols" w:hAnsi="WP TypographicSymbols"/>
          <w:strike/>
          <w:sz w:val="18"/>
        </w:rPr>
        <w:t></w:t>
      </w:r>
      <w:r>
        <w:rPr>
          <w:strike/>
          <w:sz w:val="18"/>
        </w:rPr>
        <w:t xml:space="preserve">). ____________ and _____________ are hereinafter referred to singularly as </w:t>
      </w:r>
      <w:r>
        <w:rPr>
          <w:rFonts w:ascii="WP TypographicSymbols" w:hAnsi="WP TypographicSymbols"/>
          <w:strike/>
          <w:sz w:val="18"/>
        </w:rPr>
        <w:t></w:t>
      </w:r>
      <w:r>
        <w:rPr>
          <w:strike/>
          <w:sz w:val="18"/>
        </w:rPr>
        <w:t>Party</w:t>
      </w:r>
      <w:r>
        <w:rPr>
          <w:rFonts w:ascii="WP TypographicSymbols" w:hAnsi="WP TypographicSymbols"/>
          <w:strike/>
          <w:sz w:val="18"/>
        </w:rPr>
        <w:t></w:t>
      </w:r>
      <w:r>
        <w:rPr>
          <w:strike/>
          <w:sz w:val="18"/>
        </w:rPr>
        <w:t xml:space="preserve"> and collectively as </w:t>
      </w:r>
      <w:r>
        <w:rPr>
          <w:rFonts w:ascii="WP TypographicSymbols" w:hAnsi="WP TypographicSymbols"/>
          <w:strike/>
          <w:sz w:val="18"/>
        </w:rPr>
        <w:t></w:t>
      </w:r>
      <w:r>
        <w:rPr>
          <w:strike/>
          <w:sz w:val="18"/>
        </w:rPr>
        <w:t>Parties</w:t>
      </w:r>
      <w:r>
        <w:rPr>
          <w:rFonts w:ascii="WP TypographicSymbols" w:hAnsi="WP TypographicSymbols"/>
          <w:strike/>
          <w:sz w:val="18"/>
        </w:rPr>
        <w:t></w:t>
      </w:r>
      <w:r>
        <w:rPr>
          <w:strike/>
          <w:sz w:val="18"/>
        </w:rPr>
        <w:t>. For capitalized terms not otherwise defined in the text, see Article 1 below.</w:t>
      </w:r>
    </w:p>
    <w:p>
      <w:pPr>
        <w:pStyle w:val="Normal"/>
        <w:widowControl/>
        <w:bidi w:val="0"/>
        <w:jc w:val="start"/>
        <w:rPr>
          <w:strike/>
          <w:sz w:val="18"/>
        </w:rPr>
      </w:pPr>
      <w:r>
        <w:rPr>
          <w:strike/>
          <w:sz w:val="18"/>
        </w:rPr>
      </w:r>
    </w:p>
    <w:p>
      <w:pPr>
        <w:pStyle w:val="Normal"/>
        <w:widowControl/>
        <w:bidi w:val="0"/>
        <w:jc w:val="start"/>
        <w:rPr>
          <w:strike/>
          <w:sz w:val="18"/>
        </w:rPr>
      </w:pPr>
      <w:r>
        <w:rPr>
          <w:strike/>
          <w:sz w:val="18"/>
        </w:rPr>
        <w:t>WITNESSETH:</w:t>
      </w:r>
    </w:p>
    <w:p>
      <w:pPr>
        <w:pStyle w:val="Normal"/>
        <w:widowControl/>
        <w:bidi w:val="0"/>
        <w:jc w:val="start"/>
        <w:rPr>
          <w:strike/>
          <w:sz w:val="18"/>
        </w:rPr>
      </w:pPr>
      <w:r>
        <w:rPr>
          <w:strike/>
          <w:sz w:val="18"/>
        </w:rPr>
      </w:r>
    </w:p>
    <w:p>
      <w:pPr>
        <w:pStyle w:val="Normal"/>
        <w:widowControl/>
        <w:bidi w:val="0"/>
        <w:jc w:val="start"/>
        <w:rPr>
          <w:strike/>
          <w:sz w:val="18"/>
        </w:rPr>
      </w:pPr>
      <w:r>
        <w:rPr>
          <w:strike/>
          <w:sz w:val="18"/>
        </w:rPr>
        <w:t xml:space="preserve">[WHEREAS, from time to time, the Parties may, but shall not be obligated to, enter into transactions for the purchase and sale of any Product or Products (each, a </w:t>
      </w:r>
      <w:r>
        <w:rPr>
          <w:rFonts w:ascii="WP TypographicSymbols" w:hAnsi="WP TypographicSymbols"/>
          <w:strike/>
          <w:sz w:val="18"/>
        </w:rPr>
        <w:t></w:t>
      </w:r>
      <w:r>
        <w:rPr>
          <w:strike/>
          <w:sz w:val="18"/>
        </w:rPr>
        <w:t>Transaction</w:t>
      </w:r>
      <w:r>
        <w:rPr>
          <w:rFonts w:ascii="WP TypographicSymbols" w:hAnsi="WP TypographicSymbols"/>
          <w:strike/>
          <w:sz w:val="18"/>
        </w:rPr>
        <w:t></w:t>
      </w:r>
      <w:r>
        <w:rPr>
          <w:strike/>
          <w:sz w:val="18"/>
        </w:rPr>
        <w:t>) under</w:t>
      </w:r>
      <w:r>
        <w:rPr>
          <w:sz w:val="18"/>
        </w:rPr>
        <w:t xml:space="preserve"> this Master Agreement </w:t>
      </w:r>
      <w:r>
        <w:rPr>
          <w:sz w:val="18"/>
          <w:u w:val="double"/>
        </w:rPr>
        <w:t>are the following:</w:t>
      </w:r>
      <w:r>
        <w:rPr>
          <w:sz w:val="18"/>
        </w:rPr>
        <w:t xml:space="preserve"> </w:t>
      </w:r>
      <w:r>
        <w:rPr>
          <w:strike/>
          <w:sz w:val="18"/>
        </w:rPr>
        <w:t xml:space="preserve">and the applicable tariff described below. For Transactions in which __________ is the Seller and Counterparty is the Buyer, ___________ will provide services to Counterparty under the ___________Tariff dated ____________, as accepted by FERC, Docket No.____________, hereinafter referred to as the </w:t>
      </w:r>
      <w:r>
        <w:rPr>
          <w:rFonts w:ascii="WP TypographicSymbols" w:hAnsi="WP TypographicSymbols"/>
          <w:strike/>
          <w:sz w:val="18"/>
        </w:rPr>
        <w:t></w:t>
      </w:r>
      <w:r>
        <w:rPr>
          <w:strike/>
          <w:sz w:val="18"/>
        </w:rPr>
        <w:t>____________ Tariff</w:t>
      </w:r>
      <w:r>
        <w:rPr>
          <w:rFonts w:ascii="WP TypographicSymbols" w:hAnsi="WP TypographicSymbols"/>
          <w:strike/>
          <w:sz w:val="18"/>
        </w:rPr>
        <w:t></w:t>
      </w:r>
      <w:r>
        <w:rPr>
          <w:strike/>
          <w:sz w:val="18"/>
        </w:rPr>
        <w:t xml:space="preserve"> and its incorporated service schedules, as they may be amended from time to time. For Transactions in which __________ is the Buyer and Counterparty is the Seller, Counterparty will provide services to___________ under the ___________Tariff dated ____________, as accepted by FERC, Docket No.____________, hereinafter referred to as the </w:t>
      </w:r>
      <w:r>
        <w:rPr>
          <w:rFonts w:ascii="WP TypographicSymbols" w:hAnsi="WP TypographicSymbols"/>
          <w:strike/>
          <w:sz w:val="18"/>
        </w:rPr>
        <w:t></w:t>
      </w:r>
      <w:r>
        <w:rPr>
          <w:strike/>
          <w:sz w:val="18"/>
        </w:rPr>
        <w:t>Counterparty Tariff</w:t>
      </w:r>
      <w:r>
        <w:rPr>
          <w:rFonts w:ascii="WP TypographicSymbols" w:hAnsi="WP TypographicSymbols"/>
          <w:strike/>
          <w:sz w:val="18"/>
        </w:rPr>
        <w:t></w:t>
      </w:r>
      <w:r>
        <w:rPr>
          <w:strike/>
          <w:sz w:val="18"/>
        </w:rPr>
        <w:t xml:space="preserve"> and its incorporated service schedules, as they may be amended from time to time;</w:t>
      </w:r>
    </w:p>
    <w:p>
      <w:pPr>
        <w:pStyle w:val="Normal"/>
        <w:widowControl/>
        <w:bidi w:val="0"/>
        <w:jc w:val="start"/>
        <w:rPr>
          <w:strike/>
          <w:sz w:val="18"/>
        </w:rPr>
      </w:pPr>
      <w:r>
        <w:rPr>
          <w:strike/>
          <w:sz w:val="18"/>
        </w:rPr>
      </w:r>
    </w:p>
    <w:p>
      <w:pPr>
        <w:pStyle w:val="Normal"/>
        <w:widowControl/>
        <w:bidi w:val="0"/>
        <w:jc w:val="start"/>
        <w:rPr>
          <w:strike/>
          <w:sz w:val="18"/>
        </w:rPr>
      </w:pPr>
      <w:r>
        <w:rPr>
          <w:strike/>
          <w:sz w:val="18"/>
        </w:rPr>
        <w:t>WHEREAS, the Parties wish to agree to certain additional terms and conditions with respect to Transactions between the Parties that are governed by the _____________ Tariff or the Counterparty Tariff, as the case may be;]</w:t>
      </w:r>
    </w:p>
    <w:p>
      <w:pPr>
        <w:pStyle w:val="Normal"/>
        <w:widowControl/>
        <w:bidi w:val="0"/>
        <w:jc w:val="start"/>
        <w:rPr>
          <w:strike/>
          <w:sz w:val="18"/>
        </w:rPr>
      </w:pPr>
      <w:r>
        <w:rPr>
          <w:strike/>
          <w:sz w:val="18"/>
        </w:rPr>
      </w:r>
    </w:p>
    <w:p>
      <w:pPr>
        <w:pStyle w:val="Normal"/>
        <w:widowControl/>
        <w:bidi w:val="0"/>
        <w:jc w:val="start"/>
        <w:rPr>
          <w:sz w:val="18"/>
        </w:rPr>
      </w:pPr>
      <w:r>
        <w:rPr>
          <w:strike/>
          <w:sz w:val="18"/>
        </w:rPr>
        <w:t>NOW, THEREFORE, the Parties agree as follows:</w:t>
      </w:r>
    </w:p>
    <w:tbl>
      <w:tblPr>
        <w:tblW w:w="10080" w:type="dxa"/>
        <w:jc w:val="center"/>
        <w:tblInd w:w="0" w:type="dxa"/>
        <w:tblLayout w:type="fixed"/>
        <w:tblCellMar>
          <w:top w:w="0" w:type="dxa"/>
          <w:start w:w="120" w:type="dxa"/>
          <w:bottom w:w="0" w:type="dxa"/>
          <w:end w:w="120" w:type="dxa"/>
        </w:tblCellMar>
      </w:tblPr>
      <w:tblGrid>
        <w:gridCol w:w="5040"/>
        <w:gridCol w:w="5039"/>
      </w:tblGrid>
      <w:tr>
        <w:trPr/>
        <w:tc>
          <w:tcPr>
            <w:tcW w:w="504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u w:val="double"/>
              </w:rPr>
            </w:pPr>
            <w:r>
              <w:rPr>
                <w:sz w:val="18"/>
                <w:u w:val="double"/>
              </w:rPr>
              <w:t>Name (</w:t>
            </w:r>
            <w:r>
              <w:rPr>
                <w:rFonts w:ascii="WP TypographicSymbols" w:hAnsi="WP TypographicSymbols"/>
                <w:sz w:val="18"/>
                <w:u w:val="double"/>
              </w:rPr>
              <w:t></w:t>
            </w:r>
            <w:r>
              <w:rPr>
                <w:sz w:val="18"/>
                <w:u w:val="double"/>
              </w:rPr>
              <w:t>__________________</w:t>
            </w:r>
            <w:r>
              <w:rPr>
                <w:rFonts w:ascii="WP TypographicSymbols" w:hAnsi="WP TypographicSymbols"/>
                <w:sz w:val="18"/>
                <w:u w:val="double"/>
              </w:rPr>
              <w:t></w:t>
            </w:r>
            <w:r>
              <w:rPr>
                <w:sz w:val="18"/>
                <w:u w:val="double"/>
              </w:rPr>
              <w:t xml:space="preserve"> or </w:t>
            </w:r>
            <w:r>
              <w:rPr>
                <w:rFonts w:ascii="WP TypographicSymbols" w:hAnsi="WP TypographicSymbols"/>
                <w:sz w:val="18"/>
                <w:u w:val="double"/>
              </w:rPr>
              <w:t></w:t>
            </w:r>
            <w:r>
              <w:rPr>
                <w:sz w:val="18"/>
                <w:u w:val="double"/>
              </w:rPr>
              <w:t>Party A</w:t>
            </w:r>
            <w:r>
              <w:rPr>
                <w:rFonts w:ascii="WP TypographicSymbols" w:hAnsi="WP TypographicSymbols"/>
                <w:sz w:val="18"/>
                <w:u w:val="double"/>
              </w:rPr>
              <w:t></w:t>
            </w:r>
            <w:r>
              <w:rPr>
                <w:sz w:val="18"/>
                <w:u w:val="double"/>
              </w:rPr>
              <w:t>)</w:t>
            </w:r>
          </w:p>
          <w:p>
            <w:pPr>
              <w:pStyle w:val="Normal"/>
              <w:widowControl/>
              <w:tabs>
                <w:tab w:val="clear" w:pos="720"/>
              </w:tabs>
              <w:bidi w:val="0"/>
              <w:jc w:val="start"/>
              <w:rPr>
                <w:sz w:val="18"/>
                <w:u w:val="double"/>
              </w:rPr>
            </w:pPr>
            <w:r>
              <w:rPr>
                <w:sz w:val="18"/>
                <w:u w:val="double"/>
              </w:rPr>
              <w:t>Street, City Zip</w:t>
            </w:r>
          </w:p>
          <w:p>
            <w:pPr>
              <w:pStyle w:val="Normal"/>
              <w:widowControl/>
              <w:tabs>
                <w:tab w:val="clear" w:pos="720"/>
              </w:tabs>
              <w:bidi w:val="0"/>
              <w:jc w:val="start"/>
              <w:rPr>
                <w:sz w:val="18"/>
                <w:u w:val="double"/>
              </w:rPr>
            </w:pPr>
            <w:r>
              <w:rPr>
                <w:sz w:val="18"/>
                <w:u w:val="double"/>
              </w:rPr>
              <w:t>Attn: Contract Administration</w:t>
            </w:r>
          </w:p>
          <w:p>
            <w:pPr>
              <w:pStyle w:val="Normal"/>
              <w:widowControl/>
              <w:tabs>
                <w:tab w:val="clear" w:pos="720"/>
              </w:tabs>
              <w:bidi w:val="0"/>
              <w:jc w:val="start"/>
              <w:rPr>
                <w:sz w:val="18"/>
                <w:u w:val="double"/>
              </w:rPr>
            </w:pPr>
            <w:r>
              <w:rPr>
                <w:sz w:val="18"/>
                <w:u w:val="double"/>
              </w:rPr>
              <w:t xml:space="preserve">Phone: </w:t>
              <w:tab/>
              <w:tab/>
              <w:tab/>
              <w:tab/>
            </w:r>
          </w:p>
          <w:p>
            <w:pPr>
              <w:pStyle w:val="Normal"/>
              <w:widowControl/>
              <w:tabs>
                <w:tab w:val="clear" w:pos="720"/>
              </w:tabs>
              <w:bidi w:val="0"/>
              <w:jc w:val="start"/>
              <w:rPr>
                <w:sz w:val="18"/>
                <w:u w:val="double"/>
              </w:rPr>
            </w:pPr>
            <w:r>
              <w:rPr>
                <w:sz w:val="18"/>
                <w:u w:val="double"/>
              </w:rPr>
              <w:t xml:space="preserve">Facsimile: </w:t>
              <w:tab/>
              <w:tab/>
              <w:tab/>
            </w:r>
          </w:p>
          <w:p>
            <w:pPr>
              <w:pStyle w:val="Normal"/>
              <w:widowControl/>
              <w:tabs>
                <w:tab w:val="clear" w:pos="720"/>
              </w:tabs>
              <w:bidi w:val="0"/>
              <w:jc w:val="start"/>
              <w:rPr>
                <w:sz w:val="18"/>
                <w:u w:val="double"/>
              </w:rPr>
            </w:pPr>
            <w:r>
              <w:rPr>
                <w:sz w:val="18"/>
                <w:u w:val="double"/>
              </w:rPr>
              <w:t>Duns: __________________________</w:t>
            </w:r>
          </w:p>
          <w:p>
            <w:pPr>
              <w:pStyle w:val="Normal"/>
              <w:widowControl/>
              <w:tabs>
                <w:tab w:val="clear" w:pos="720"/>
              </w:tabs>
              <w:bidi w:val="0"/>
              <w:jc w:val="start"/>
              <w:rPr>
                <w:sz w:val="18"/>
                <w:u w:val="double"/>
              </w:rPr>
            </w:pPr>
            <w:r>
              <w:rPr>
                <w:sz w:val="18"/>
                <w:u w:val="double"/>
              </w:rPr>
              <w:t>Federal Tax ID Number: ______________________</w:t>
            </w:r>
          </w:p>
          <w:p>
            <w:pPr>
              <w:pStyle w:val="Normal"/>
              <w:widowControl/>
              <w:tabs>
                <w:tab w:val="clear" w:pos="720"/>
              </w:tabs>
              <w:bidi w:val="0"/>
              <w:jc w:val="start"/>
              <w:rPr>
                <w:sz w:val="18"/>
                <w:u w:val="double"/>
              </w:rPr>
            </w:pPr>
            <w:r>
              <w:rPr>
                <w:sz w:val="18"/>
                <w:u w:val="double"/>
              </w:rPr>
              <w:t>Invoices:</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widowControl/>
              <w:tabs>
                <w:tab w:val="clear" w:pos="720"/>
              </w:tabs>
              <w:bidi w:val="0"/>
              <w:jc w:val="start"/>
              <w:rPr>
                <w:sz w:val="18"/>
                <w:u w:val="double"/>
              </w:rPr>
            </w:pPr>
            <w:r>
              <w:rPr>
                <w:sz w:val="18"/>
                <w:u w:val="double"/>
              </w:rPr>
              <w:t>Scheduling:</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widowControl/>
              <w:tabs>
                <w:tab w:val="clear" w:pos="720"/>
              </w:tabs>
              <w:bidi w:val="0"/>
              <w:jc w:val="start"/>
              <w:rPr>
                <w:sz w:val="18"/>
                <w:u w:val="double"/>
              </w:rPr>
            </w:pPr>
            <w:r>
              <w:rPr>
                <w:sz w:val="18"/>
                <w:u w:val="double"/>
              </w:rPr>
              <w:t>Payments:</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widowControl/>
              <w:tabs>
                <w:tab w:val="clear" w:pos="720"/>
              </w:tabs>
              <w:bidi w:val="0"/>
              <w:jc w:val="start"/>
              <w:rPr>
                <w:sz w:val="18"/>
                <w:u w:val="double"/>
              </w:rPr>
            </w:pPr>
            <w:r>
              <w:rPr>
                <w:sz w:val="18"/>
                <w:u w:val="double"/>
              </w:rPr>
              <w:t>Wire Transfer:</w:t>
            </w:r>
          </w:p>
          <w:p>
            <w:pPr>
              <w:pStyle w:val="Normal"/>
              <w:widowControl/>
              <w:tabs>
                <w:tab w:val="clear" w:pos="720"/>
              </w:tabs>
              <w:bidi w:val="0"/>
              <w:jc w:val="start"/>
              <w:rPr>
                <w:sz w:val="18"/>
                <w:u w:val="double"/>
              </w:rPr>
            </w:pPr>
            <w:r>
              <w:rPr>
                <w:sz w:val="18"/>
                <w:u w:val="double"/>
              </w:rPr>
              <w:t xml:space="preserve">          </w:t>
            </w:r>
            <w:r>
              <w:rPr>
                <w:sz w:val="18"/>
                <w:u w:val="double"/>
              </w:rPr>
              <w:t>BNK:</w:t>
            </w:r>
          </w:p>
          <w:p>
            <w:pPr>
              <w:pStyle w:val="Normal"/>
              <w:widowControl/>
              <w:tabs>
                <w:tab w:val="clear" w:pos="720"/>
              </w:tabs>
              <w:bidi w:val="0"/>
              <w:jc w:val="start"/>
              <w:rPr>
                <w:sz w:val="18"/>
                <w:u w:val="double"/>
              </w:rPr>
            </w:pPr>
            <w:r>
              <w:rPr>
                <w:sz w:val="18"/>
                <w:u w:val="double"/>
              </w:rPr>
              <w:t xml:space="preserve">          </w:t>
            </w:r>
            <w:r>
              <w:rPr>
                <w:sz w:val="18"/>
                <w:u w:val="double"/>
              </w:rPr>
              <w:t>ABA:</w:t>
            </w:r>
          </w:p>
          <w:p>
            <w:pPr>
              <w:pStyle w:val="Normal"/>
              <w:widowControl/>
              <w:tabs>
                <w:tab w:val="clear" w:pos="720"/>
              </w:tabs>
              <w:bidi w:val="0"/>
              <w:jc w:val="start"/>
              <w:rPr>
                <w:sz w:val="18"/>
                <w:u w:val="double"/>
              </w:rPr>
            </w:pPr>
            <w:r>
              <w:rPr>
                <w:sz w:val="18"/>
                <w:u w:val="double"/>
              </w:rPr>
              <w:t xml:space="preserve">          </w:t>
            </w:r>
            <w:r>
              <w:rPr>
                <w:sz w:val="18"/>
                <w:u w:val="double"/>
              </w:rPr>
              <w:t>ACCT:</w:t>
            </w:r>
          </w:p>
          <w:p>
            <w:pPr>
              <w:pStyle w:val="Normal"/>
              <w:widowControl/>
              <w:tabs>
                <w:tab w:val="clear" w:pos="720"/>
              </w:tabs>
              <w:bidi w:val="0"/>
              <w:jc w:val="start"/>
              <w:rPr>
                <w:sz w:val="18"/>
                <w:u w:val="double"/>
              </w:rPr>
            </w:pPr>
            <w:r>
              <w:rPr>
                <w:sz w:val="18"/>
                <w:u w:val="double"/>
              </w:rPr>
              <w:t>Credit and Collections:</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spacing w:before="0" w:after="58"/>
              <w:jc w:val="start"/>
              <w:rPr/>
            </w:pPr>
            <w:r>
              <w:rPr>
                <w:sz w:val="18"/>
                <w:u w:val="double"/>
              </w:rPr>
              <w:t xml:space="preserve">          </w:t>
            </w:r>
            <w:r>
              <w:rPr>
                <w:sz w:val="18"/>
                <w:u w:val="double"/>
              </w:rPr>
              <w:t xml:space="preserve">Facsimile: </w:t>
              <w:tab/>
              <w:tab/>
              <w:tab/>
            </w:r>
          </w:p>
        </w:tc>
        <w:tc>
          <w:tcPr>
            <w:tcW w:w="503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jc w:val="start"/>
              <w:rPr>
                <w:sz w:val="18"/>
                <w:u w:val="double"/>
              </w:rPr>
            </w:pPr>
            <w:r>
              <w:rPr>
                <w:sz w:val="18"/>
                <w:u w:val="double"/>
              </w:rPr>
              <w:t>Name (</w:t>
            </w:r>
            <w:r>
              <w:rPr>
                <w:rFonts w:ascii="WP TypographicSymbols" w:hAnsi="WP TypographicSymbols"/>
                <w:sz w:val="18"/>
                <w:u w:val="double"/>
              </w:rPr>
              <w:t></w:t>
            </w:r>
            <w:r>
              <w:rPr>
                <w:sz w:val="18"/>
                <w:u w:val="double"/>
              </w:rPr>
              <w:t>Counterparty</w:t>
            </w:r>
            <w:r>
              <w:rPr>
                <w:rFonts w:ascii="WP TypographicSymbols" w:hAnsi="WP TypographicSymbols"/>
                <w:sz w:val="18"/>
                <w:u w:val="double"/>
              </w:rPr>
              <w:t></w:t>
            </w:r>
            <w:r>
              <w:rPr>
                <w:sz w:val="18"/>
                <w:u w:val="double"/>
              </w:rPr>
              <w:t xml:space="preserve"> or </w:t>
            </w:r>
            <w:r>
              <w:rPr>
                <w:rFonts w:ascii="WP TypographicSymbols" w:hAnsi="WP TypographicSymbols"/>
                <w:sz w:val="18"/>
                <w:u w:val="double"/>
              </w:rPr>
              <w:t></w:t>
            </w:r>
            <w:r>
              <w:rPr>
                <w:sz w:val="18"/>
                <w:u w:val="double"/>
              </w:rPr>
              <w:t>Party B</w:t>
            </w:r>
            <w:r>
              <w:rPr>
                <w:rFonts w:ascii="WP TypographicSymbols" w:hAnsi="WP TypographicSymbols"/>
                <w:sz w:val="18"/>
                <w:u w:val="double"/>
              </w:rPr>
              <w:t></w:t>
            </w:r>
            <w:r>
              <w:rPr>
                <w:sz w:val="18"/>
                <w:u w:val="double"/>
              </w:rPr>
              <w:t>)</w:t>
            </w:r>
          </w:p>
          <w:p>
            <w:pPr>
              <w:pStyle w:val="Normal"/>
              <w:widowControl/>
              <w:tabs>
                <w:tab w:val="clear" w:pos="720"/>
              </w:tabs>
              <w:bidi w:val="0"/>
              <w:jc w:val="start"/>
              <w:rPr>
                <w:sz w:val="18"/>
                <w:u w:val="double"/>
              </w:rPr>
            </w:pPr>
            <w:r>
              <w:rPr>
                <w:sz w:val="18"/>
                <w:u w:val="double"/>
              </w:rPr>
              <w:t>Street, City, Zip</w:t>
            </w:r>
          </w:p>
          <w:p>
            <w:pPr>
              <w:pStyle w:val="Normal"/>
              <w:widowControl/>
              <w:tabs>
                <w:tab w:val="clear" w:pos="720"/>
              </w:tabs>
              <w:bidi w:val="0"/>
              <w:jc w:val="start"/>
              <w:rPr>
                <w:sz w:val="18"/>
                <w:u w:val="double"/>
              </w:rPr>
            </w:pPr>
            <w:r>
              <w:rPr>
                <w:sz w:val="18"/>
                <w:u w:val="double"/>
              </w:rPr>
              <w:t>Attn: Contract Administration</w:t>
            </w:r>
          </w:p>
          <w:p>
            <w:pPr>
              <w:pStyle w:val="Normal"/>
              <w:widowControl/>
              <w:tabs>
                <w:tab w:val="clear" w:pos="720"/>
              </w:tabs>
              <w:bidi w:val="0"/>
              <w:jc w:val="start"/>
              <w:rPr>
                <w:sz w:val="18"/>
                <w:u w:val="double"/>
              </w:rPr>
            </w:pPr>
            <w:r>
              <w:rPr>
                <w:sz w:val="18"/>
                <w:u w:val="double"/>
              </w:rPr>
              <w:t xml:space="preserve">Phone: </w:t>
              <w:tab/>
              <w:tab/>
              <w:tab/>
              <w:tab/>
            </w:r>
          </w:p>
          <w:p>
            <w:pPr>
              <w:pStyle w:val="Normal"/>
              <w:widowControl/>
              <w:tabs>
                <w:tab w:val="clear" w:pos="720"/>
              </w:tabs>
              <w:bidi w:val="0"/>
              <w:jc w:val="start"/>
              <w:rPr>
                <w:sz w:val="18"/>
                <w:u w:val="double"/>
              </w:rPr>
            </w:pPr>
            <w:r>
              <w:rPr>
                <w:sz w:val="18"/>
                <w:u w:val="double"/>
              </w:rPr>
              <w:t xml:space="preserve">Facsimile: </w:t>
              <w:tab/>
              <w:tab/>
              <w:tab/>
            </w:r>
          </w:p>
          <w:p>
            <w:pPr>
              <w:pStyle w:val="Normal"/>
              <w:widowControl/>
              <w:tabs>
                <w:tab w:val="clear" w:pos="720"/>
              </w:tabs>
              <w:bidi w:val="0"/>
              <w:jc w:val="start"/>
              <w:rPr>
                <w:sz w:val="18"/>
                <w:u w:val="double"/>
              </w:rPr>
            </w:pPr>
            <w:r>
              <w:rPr>
                <w:sz w:val="18"/>
                <w:u w:val="double"/>
              </w:rPr>
              <w:t xml:space="preserve">Duns: </w:t>
              <w:tab/>
              <w:tab/>
              <w:tab/>
              <w:tab/>
            </w:r>
          </w:p>
          <w:p>
            <w:pPr>
              <w:pStyle w:val="Normal"/>
              <w:widowControl/>
              <w:tabs>
                <w:tab w:val="clear" w:pos="720"/>
              </w:tabs>
              <w:bidi w:val="0"/>
              <w:jc w:val="start"/>
              <w:rPr>
                <w:sz w:val="18"/>
                <w:u w:val="double"/>
              </w:rPr>
            </w:pPr>
            <w:r>
              <w:rPr>
                <w:sz w:val="18"/>
                <w:u w:val="double"/>
              </w:rPr>
              <w:t>Federal Tax ID Number: ________________________</w:t>
            </w:r>
          </w:p>
          <w:p>
            <w:pPr>
              <w:pStyle w:val="Normal"/>
              <w:widowControl/>
              <w:tabs>
                <w:tab w:val="clear" w:pos="720"/>
              </w:tabs>
              <w:bidi w:val="0"/>
              <w:jc w:val="start"/>
              <w:rPr>
                <w:sz w:val="18"/>
                <w:u w:val="double"/>
              </w:rPr>
            </w:pPr>
            <w:r>
              <w:rPr>
                <w:sz w:val="18"/>
                <w:u w:val="double"/>
              </w:rPr>
              <w:t>Invoices:</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widowControl/>
              <w:tabs>
                <w:tab w:val="clear" w:pos="720"/>
              </w:tabs>
              <w:bidi w:val="0"/>
              <w:jc w:val="start"/>
              <w:rPr>
                <w:sz w:val="18"/>
                <w:u w:val="double"/>
              </w:rPr>
            </w:pPr>
            <w:r>
              <w:rPr>
                <w:sz w:val="18"/>
                <w:u w:val="double"/>
              </w:rPr>
              <w:t>Scheduling:</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widowControl/>
              <w:tabs>
                <w:tab w:val="clear" w:pos="720"/>
              </w:tabs>
              <w:bidi w:val="0"/>
              <w:jc w:val="start"/>
              <w:rPr>
                <w:sz w:val="18"/>
                <w:u w:val="double"/>
              </w:rPr>
            </w:pPr>
            <w:r>
              <w:rPr>
                <w:sz w:val="18"/>
                <w:u w:val="double"/>
              </w:rPr>
              <w:t>Payments:</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widowControl/>
              <w:tabs>
                <w:tab w:val="clear" w:pos="720"/>
              </w:tabs>
              <w:bidi w:val="0"/>
              <w:jc w:val="start"/>
              <w:rPr>
                <w:sz w:val="18"/>
                <w:u w:val="double"/>
              </w:rPr>
            </w:pPr>
            <w:r>
              <w:rPr>
                <w:sz w:val="18"/>
                <w:u w:val="double"/>
              </w:rPr>
              <w:t>Wire Transfer:</w:t>
            </w:r>
          </w:p>
          <w:p>
            <w:pPr>
              <w:pStyle w:val="Normal"/>
              <w:widowControl/>
              <w:tabs>
                <w:tab w:val="clear" w:pos="720"/>
              </w:tabs>
              <w:bidi w:val="0"/>
              <w:jc w:val="start"/>
              <w:rPr>
                <w:sz w:val="18"/>
                <w:u w:val="double"/>
              </w:rPr>
            </w:pPr>
            <w:r>
              <w:rPr>
                <w:sz w:val="18"/>
                <w:u w:val="double"/>
              </w:rPr>
              <w:t xml:space="preserve">          </w:t>
            </w:r>
            <w:r>
              <w:rPr>
                <w:sz w:val="18"/>
                <w:u w:val="double"/>
              </w:rPr>
              <w:t>BNK:</w:t>
            </w:r>
          </w:p>
          <w:p>
            <w:pPr>
              <w:pStyle w:val="Normal"/>
              <w:widowControl/>
              <w:tabs>
                <w:tab w:val="clear" w:pos="720"/>
              </w:tabs>
              <w:bidi w:val="0"/>
              <w:jc w:val="start"/>
              <w:rPr>
                <w:sz w:val="18"/>
                <w:u w:val="double"/>
              </w:rPr>
            </w:pPr>
            <w:r>
              <w:rPr>
                <w:sz w:val="18"/>
                <w:u w:val="double"/>
              </w:rPr>
              <w:t xml:space="preserve">          </w:t>
            </w:r>
            <w:r>
              <w:rPr>
                <w:sz w:val="18"/>
                <w:u w:val="double"/>
              </w:rPr>
              <w:t>ABA:</w:t>
            </w:r>
          </w:p>
          <w:p>
            <w:pPr>
              <w:pStyle w:val="Normal"/>
              <w:widowControl/>
              <w:tabs>
                <w:tab w:val="clear" w:pos="720"/>
              </w:tabs>
              <w:bidi w:val="0"/>
              <w:jc w:val="start"/>
              <w:rPr>
                <w:sz w:val="18"/>
                <w:u w:val="double"/>
              </w:rPr>
            </w:pPr>
            <w:r>
              <w:rPr>
                <w:sz w:val="18"/>
                <w:u w:val="double"/>
              </w:rPr>
              <w:t xml:space="preserve">          </w:t>
            </w:r>
            <w:r>
              <w:rPr>
                <w:sz w:val="18"/>
                <w:u w:val="double"/>
              </w:rPr>
              <w:t>ACCT:</w:t>
            </w:r>
          </w:p>
          <w:p>
            <w:pPr>
              <w:pStyle w:val="Normal"/>
              <w:widowControl/>
              <w:tabs>
                <w:tab w:val="clear" w:pos="720"/>
              </w:tabs>
              <w:bidi w:val="0"/>
              <w:jc w:val="start"/>
              <w:rPr>
                <w:sz w:val="18"/>
                <w:u w:val="double"/>
              </w:rPr>
            </w:pPr>
            <w:r>
              <w:rPr>
                <w:sz w:val="18"/>
                <w:u w:val="double"/>
              </w:rPr>
              <w:t>Credit and Collections:</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spacing w:before="0" w:after="58"/>
              <w:jc w:val="start"/>
              <w:rPr/>
            </w:pPr>
            <w:r>
              <w:rPr>
                <w:sz w:val="18"/>
                <w:u w:val="double"/>
              </w:rPr>
              <w:t xml:space="preserve">          </w:t>
            </w:r>
            <w:r>
              <w:rPr>
                <w:sz w:val="18"/>
                <w:u w:val="double"/>
              </w:rPr>
              <w:t xml:space="preserve">Facsimile: </w:t>
              <w:tab/>
              <w:tab/>
              <w:tab/>
            </w:r>
          </w:p>
        </w:tc>
      </w:tr>
      <w:tr>
        <w:trPr/>
        <w:tc>
          <w:tcPr>
            <w:tcW w:w="504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spacing w:before="0" w:after="58"/>
              <w:jc w:val="start"/>
              <w:rPr>
                <w:sz w:val="18"/>
                <w:u w:val="double"/>
              </w:rPr>
            </w:pPr>
            <w:r>
              <w:rPr>
                <w:sz w:val="18"/>
                <w:u w:val="double"/>
              </w:rPr>
            </w:r>
          </w:p>
        </w:tc>
        <w:tc>
          <w:tcPr>
            <w:tcW w:w="503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spacing w:before="0" w:after="58"/>
              <w:jc w:val="start"/>
              <w:rPr>
                <w:sz w:val="18"/>
                <w:u w:val="double"/>
              </w:rPr>
            </w:pPr>
            <w:r>
              <w:rPr>
                <w:sz w:val="18"/>
                <w:u w:val="double"/>
              </w:rPr>
            </w:r>
          </w:p>
        </w:tc>
      </w:tr>
    </w:tbl>
    <w:p>
      <w:pPr>
        <w:pStyle w:val="Normal"/>
        <w:widowControl/>
        <w:bidi w:val="0"/>
        <w:jc w:val="start"/>
        <w:rPr>
          <w:sz w:val="18"/>
        </w:rPr>
      </w:pPr>
      <w:r>
        <w:rPr>
          <w:sz w:val="18"/>
        </w:rPr>
      </w:r>
    </w:p>
    <w:p>
      <w:pPr>
        <w:pStyle w:val="Normal"/>
        <w:widowControl/>
        <w:bidi w:val="0"/>
        <w:jc w:val="start"/>
        <w:rPr>
          <w:sz w:val="18"/>
        </w:rPr>
      </w:pPr>
      <w:r>
        <w:rPr>
          <w:sz w:val="18"/>
          <w:u w:val="double"/>
        </w:rPr>
        <w:t>The Parties hereby agree that the General Terms and Conditions are incorporated herein, and to the following provisions as provided for in the General Terms and Conditions:</w:t>
      </w:r>
    </w:p>
    <w:tbl>
      <w:tblPr>
        <w:tblW w:w="10080" w:type="dxa"/>
        <w:jc w:val="center"/>
        <w:tblInd w:w="0" w:type="dxa"/>
        <w:tblLayout w:type="fixed"/>
        <w:tblCellMar>
          <w:top w:w="0" w:type="dxa"/>
          <w:start w:w="120" w:type="dxa"/>
          <w:bottom w:w="0" w:type="dxa"/>
          <w:end w:w="120" w:type="dxa"/>
        </w:tblCellMar>
      </w:tblPr>
      <w:tblGrid>
        <w:gridCol w:w="2520"/>
        <w:gridCol w:w="7559"/>
      </w:tblGrid>
      <w:tr>
        <w:trPr/>
        <w:tc>
          <w:tcPr>
            <w:tcW w:w="252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u w:val="double"/>
              </w:rPr>
            </w:pPr>
            <w:r>
              <w:rPr>
                <w:sz w:val="18"/>
                <w:u w:val="double"/>
              </w:rPr>
              <w:t>Party A Tariff</w:t>
            </w:r>
          </w:p>
          <w:p>
            <w:pPr>
              <w:pStyle w:val="Normal"/>
              <w:widowControl/>
              <w:tabs>
                <w:tab w:val="clear" w:pos="720"/>
              </w:tabs>
              <w:bidi w:val="0"/>
              <w:jc w:val="start"/>
              <w:rPr>
                <w:sz w:val="18"/>
                <w:u w:val="double"/>
              </w:rPr>
            </w:pPr>
            <w:r>
              <w:rPr>
                <w:sz w:val="18"/>
                <w:u w:val="double"/>
              </w:rPr>
            </w:r>
          </w:p>
          <w:p>
            <w:pPr>
              <w:pStyle w:val="Normal"/>
              <w:widowControl/>
              <w:tabs>
                <w:tab w:val="clear" w:pos="720"/>
              </w:tabs>
              <w:bidi w:val="0"/>
              <w:spacing w:before="0" w:after="58"/>
              <w:jc w:val="start"/>
              <w:rPr/>
            </w:pPr>
            <w:r>
              <w:rPr>
                <w:sz w:val="18"/>
                <w:u w:val="double"/>
              </w:rPr>
              <w:t>Party B Tariff</w:t>
            </w:r>
          </w:p>
        </w:tc>
        <w:tc>
          <w:tcPr>
            <w:tcW w:w="755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jc w:val="start"/>
              <w:rPr>
                <w:sz w:val="18"/>
                <w:u w:val="double"/>
              </w:rPr>
            </w:pPr>
            <w:r>
              <w:rPr>
                <w:sz w:val="18"/>
                <w:u w:val="double"/>
              </w:rPr>
              <w:t xml:space="preserve">Tariff __________________ Dated _______________ Docket Number    </w:t>
              <w:tab/>
              <w:tab/>
              <w:tab/>
            </w:r>
          </w:p>
          <w:p>
            <w:pPr>
              <w:pStyle w:val="Normal"/>
              <w:widowControl/>
              <w:tabs>
                <w:tab w:val="clear" w:pos="720"/>
              </w:tabs>
              <w:bidi w:val="0"/>
              <w:jc w:val="start"/>
              <w:rPr>
                <w:sz w:val="18"/>
                <w:u w:val="double"/>
              </w:rPr>
            </w:pPr>
            <w:r>
              <w:rPr>
                <w:sz w:val="18"/>
                <w:u w:val="double"/>
              </w:rPr>
            </w:r>
          </w:p>
          <w:p>
            <w:pPr>
              <w:pStyle w:val="Normal"/>
              <w:widowControl/>
              <w:tabs>
                <w:tab w:val="clear" w:pos="720"/>
              </w:tabs>
              <w:bidi w:val="0"/>
              <w:spacing w:before="0" w:after="58"/>
              <w:jc w:val="start"/>
              <w:rPr/>
            </w:pPr>
            <w:r>
              <w:rPr>
                <w:sz w:val="18"/>
                <w:u w:val="double"/>
              </w:rPr>
              <w:t xml:space="preserve">Tariff __________________ Dated _______________ Docket Number </w:t>
              <w:tab/>
              <w:tab/>
              <w:tab/>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jc w:val="start"/>
              <w:rPr>
                <w:sz w:val="18"/>
                <w:u w:val="double"/>
              </w:rPr>
            </w:pPr>
            <w:r>
              <w:rPr>
                <w:sz w:val="18"/>
                <w:u w:val="double"/>
              </w:rPr>
              <w:t>Article Four</w:t>
            </w:r>
          </w:p>
          <w:p>
            <w:pPr>
              <w:pStyle w:val="Normal"/>
              <w:widowControl/>
              <w:tabs>
                <w:tab w:val="clear" w:pos="720"/>
              </w:tabs>
              <w:bidi w:val="0"/>
              <w:spacing w:before="0" w:after="58"/>
              <w:jc w:val="start"/>
              <w:rPr/>
            </w:pPr>
            <w:r>
              <w:rPr>
                <w:sz w:val="18"/>
                <w:u w:val="double"/>
              </w:rPr>
              <w:t>Remedies for Failure to Deliver or Receive</w:t>
            </w:r>
          </w:p>
        </w:tc>
        <w:tc>
          <w:tcPr>
            <w:tcW w:w="755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jc w:val="start"/>
              <w:rPr>
                <w:sz w:val="18"/>
                <w:u w:val="double"/>
              </w:rPr>
            </w:pPr>
            <w:r>
              <w:rPr>
                <w:sz w:val="18"/>
                <w:u w:val="double"/>
              </w:rPr>
              <w:t xml:space="preserve">Accelerated Payment of Damages: </w:t>
            </w:r>
            <w:r>
              <w:rPr>
                <w:rFonts w:ascii="WP TypographicSymbols" w:hAnsi="WP TypographicSymbols"/>
                <w:u w:val="double"/>
              </w:rPr>
              <w:t></w:t>
            </w:r>
            <w:r>
              <w:rPr>
                <w:sz w:val="18"/>
                <w:u w:val="double"/>
              </w:rPr>
              <w:t xml:space="preserve"> Yes    </w:t>
            </w:r>
            <w:r>
              <w:rPr>
                <w:rFonts w:ascii="WP TypographicSymbols" w:hAnsi="WP TypographicSymbols"/>
                <w:u w:val="double"/>
              </w:rPr>
              <w:t></w:t>
            </w:r>
            <w:r>
              <w:rPr>
                <w:sz w:val="18"/>
                <w:u w:val="double"/>
              </w:rPr>
              <w:t>No</w:t>
            </w:r>
          </w:p>
          <w:p>
            <w:pPr>
              <w:pStyle w:val="Normal"/>
              <w:widowControl/>
              <w:tabs>
                <w:tab w:val="clear" w:pos="720"/>
              </w:tabs>
              <w:bidi w:val="0"/>
              <w:spacing w:before="0" w:after="58"/>
              <w:jc w:val="start"/>
              <w:rPr>
                <w:sz w:val="18"/>
                <w:u w:val="double"/>
              </w:rPr>
            </w:pPr>
            <w:r>
              <w:rPr>
                <w:sz w:val="18"/>
                <w:u w:val="double"/>
              </w:rPr>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u w:val="double"/>
              </w:rPr>
            </w:pPr>
            <w:r>
              <w:rPr>
                <w:sz w:val="18"/>
                <w:u w:val="double"/>
              </w:rPr>
            </w:r>
          </w:p>
          <w:p>
            <w:pPr>
              <w:pStyle w:val="Normal"/>
              <w:widowControl/>
              <w:bidi w:val="0"/>
              <w:jc w:val="start"/>
              <w:rPr>
                <w:sz w:val="18"/>
                <w:u w:val="double"/>
              </w:rPr>
            </w:pPr>
            <w:r>
              <w:rPr>
                <w:sz w:val="18"/>
                <w:u w:val="double"/>
              </w:rPr>
              <w:t>Article Five</w:t>
            </w:r>
          </w:p>
          <w:p>
            <w:pPr>
              <w:pStyle w:val="Normal"/>
              <w:widowControl/>
              <w:bidi w:val="0"/>
              <w:jc w:val="start"/>
              <w:rPr>
                <w:sz w:val="18"/>
                <w:u w:val="double"/>
              </w:rPr>
            </w:pPr>
            <w:r>
              <w:rPr>
                <w:sz w:val="18"/>
                <w:u w:val="double"/>
              </w:rPr>
              <w:t>Events of Default;</w:t>
            </w:r>
          </w:p>
          <w:p>
            <w:pPr>
              <w:pStyle w:val="Normal"/>
              <w:widowControl/>
              <w:bidi w:val="0"/>
              <w:spacing w:before="0" w:after="58"/>
              <w:jc w:val="start"/>
              <w:rPr/>
            </w:pPr>
            <w:r>
              <w:rPr>
                <w:sz w:val="18"/>
                <w:u w:val="double"/>
              </w:rPr>
              <w:t>Remedies</w:t>
            </w:r>
          </w:p>
        </w:tc>
        <w:tc>
          <w:tcPr>
            <w:tcW w:w="7559"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u w:val="double"/>
              </w:rPr>
            </w:pPr>
            <w:r>
              <w:rPr>
                <w:sz w:val="18"/>
                <w:u w:val="double"/>
              </w:rPr>
            </w:r>
          </w:p>
          <w:p>
            <w:pPr>
              <w:pStyle w:val="Normal"/>
              <w:widowControl/>
              <w:bidi w:val="0"/>
              <w:jc w:val="start"/>
              <w:rPr>
                <w:sz w:val="18"/>
                <w:u w:val="double"/>
              </w:rPr>
            </w:pPr>
            <w:r>
              <w:rPr>
                <w:rFonts w:ascii="WP TypographicSymbols" w:hAnsi="WP TypographicSymbols"/>
                <w:u w:val="double"/>
              </w:rPr>
              <w:t></w:t>
            </w:r>
            <w:r>
              <w:rPr>
                <w:sz w:val="18"/>
                <w:u w:val="double"/>
              </w:rPr>
              <w:t xml:space="preserve"> </w:t>
            </w:r>
            <w:r>
              <w:rPr>
                <w:sz w:val="18"/>
                <w:u w:val="double"/>
              </w:rPr>
              <w:t>Cross Default for Party A:</w:t>
            </w:r>
          </w:p>
          <w:p>
            <w:pPr>
              <w:pStyle w:val="Normal"/>
              <w:widowControl/>
              <w:bidi w:val="0"/>
              <w:ind w:firstLine="720"/>
              <w:jc w:val="start"/>
              <w:rPr>
                <w:sz w:val="18"/>
                <w:u w:val="double"/>
              </w:rPr>
            </w:pPr>
            <w:r>
              <w:rPr>
                <w:rFonts w:ascii="WP TypographicSymbols" w:hAnsi="WP TypographicSymbols"/>
                <w:u w:val="double"/>
              </w:rPr>
              <w:t></w:t>
            </w:r>
            <w:r>
              <w:rPr>
                <w:sz w:val="18"/>
                <w:u w:val="double"/>
              </w:rPr>
              <w:t xml:space="preserve"> </w:t>
            </w:r>
            <w:r>
              <w:rPr>
                <w:sz w:val="18"/>
                <w:u w:val="double"/>
              </w:rPr>
              <w:t>Party A: _____      Cross Default Amount $_______</w:t>
            </w:r>
          </w:p>
          <w:p>
            <w:pPr>
              <w:pStyle w:val="Normal"/>
              <w:widowControl/>
              <w:bidi w:val="0"/>
              <w:ind w:firstLine="720"/>
              <w:jc w:val="start"/>
              <w:rPr>
                <w:sz w:val="18"/>
                <w:u w:val="double"/>
              </w:rPr>
            </w:pPr>
            <w:r>
              <w:rPr>
                <w:rFonts w:ascii="WP TypographicSymbols" w:hAnsi="WP TypographicSymbols"/>
                <w:u w:val="double"/>
              </w:rPr>
              <w:t></w:t>
            </w:r>
            <w:r>
              <w:rPr>
                <w:u w:val="double"/>
              </w:rPr>
              <w:t xml:space="preserve"> </w:t>
            </w:r>
            <w:r>
              <w:rPr>
                <w:sz w:val="18"/>
                <w:u w:val="double"/>
              </w:rPr>
              <w:t>Other</w:t>
            </w:r>
            <w:r>
              <w:rPr>
                <w:u w:val="double"/>
              </w:rPr>
              <w:t xml:space="preserve">: </w:t>
            </w:r>
            <w:r>
              <w:rPr>
                <w:sz w:val="18"/>
                <w:u w:val="double"/>
              </w:rPr>
              <w:t>_______ Cross Default Amount $_______</w:t>
            </w:r>
          </w:p>
          <w:p>
            <w:pPr>
              <w:pStyle w:val="Normal"/>
              <w:widowControl/>
              <w:bidi w:val="0"/>
              <w:jc w:val="start"/>
              <w:rPr>
                <w:sz w:val="18"/>
                <w:u w:val="double"/>
              </w:rPr>
            </w:pPr>
            <w:r>
              <w:rPr>
                <w:rFonts w:ascii="WP TypographicSymbols" w:hAnsi="WP TypographicSymbols"/>
                <w:u w:val="double"/>
              </w:rPr>
              <w:t></w:t>
            </w:r>
            <w:r>
              <w:rPr>
                <w:sz w:val="18"/>
                <w:u w:val="double"/>
              </w:rPr>
              <w:t xml:space="preserve"> </w:t>
            </w:r>
            <w:r>
              <w:rPr>
                <w:sz w:val="18"/>
                <w:u w:val="double"/>
              </w:rPr>
              <w:t>Cross Default for Party B:</w:t>
            </w:r>
          </w:p>
          <w:p>
            <w:pPr>
              <w:pStyle w:val="Normal"/>
              <w:widowControl/>
              <w:bidi w:val="0"/>
              <w:ind w:firstLine="720"/>
              <w:jc w:val="start"/>
              <w:rPr>
                <w:sz w:val="18"/>
                <w:u w:val="double"/>
              </w:rPr>
            </w:pPr>
            <w:r>
              <w:rPr>
                <w:rFonts w:ascii="WP TypographicSymbols" w:hAnsi="WP TypographicSymbols"/>
                <w:u w:val="double"/>
              </w:rPr>
              <w:t></w:t>
            </w:r>
            <w:r>
              <w:rPr>
                <w:sz w:val="18"/>
                <w:u w:val="double"/>
              </w:rPr>
              <w:t xml:space="preserve"> </w:t>
            </w:r>
            <w:r>
              <w:rPr>
                <w:sz w:val="18"/>
                <w:u w:val="double"/>
              </w:rPr>
              <w:t>Party B: _____      Cross Default Amount $_______</w:t>
            </w:r>
          </w:p>
          <w:p>
            <w:pPr>
              <w:pStyle w:val="Normal"/>
              <w:widowControl/>
              <w:bidi w:val="0"/>
              <w:ind w:firstLine="720"/>
              <w:jc w:val="start"/>
              <w:rPr>
                <w:sz w:val="18"/>
                <w:u w:val="double"/>
              </w:rPr>
            </w:pPr>
            <w:r>
              <w:rPr>
                <w:rFonts w:ascii="WP TypographicSymbols" w:hAnsi="WP TypographicSymbols"/>
                <w:u w:val="double"/>
              </w:rPr>
              <w:t></w:t>
            </w:r>
            <w:r>
              <w:rPr>
                <w:u w:val="double"/>
              </w:rPr>
              <w:t xml:space="preserve"> </w:t>
            </w:r>
            <w:r>
              <w:rPr>
                <w:sz w:val="18"/>
                <w:u w:val="double"/>
              </w:rPr>
              <w:t>Other</w:t>
            </w:r>
            <w:r>
              <w:rPr>
                <w:u w:val="double"/>
              </w:rPr>
              <w:t xml:space="preserve">: </w:t>
            </w:r>
            <w:r>
              <w:rPr>
                <w:sz w:val="18"/>
                <w:u w:val="double"/>
              </w:rPr>
              <w:t>_______ Cross Default Amount $_______</w:t>
            </w:r>
          </w:p>
          <w:p>
            <w:pPr>
              <w:pStyle w:val="Normal"/>
              <w:widowControl/>
              <w:bidi w:val="0"/>
              <w:jc w:val="start"/>
              <w:rPr>
                <w:sz w:val="18"/>
                <w:u w:val="double"/>
              </w:rPr>
            </w:pPr>
            <w:r>
              <w:rPr>
                <w:sz w:val="18"/>
                <w:u w:val="double"/>
              </w:rPr>
              <w:t>Guarantor for Party A: _________________________</w:t>
              <w:tab/>
              <w:t>Amount of Guaranty: _______</w:t>
            </w:r>
          </w:p>
          <w:p>
            <w:pPr>
              <w:pStyle w:val="Normal"/>
              <w:widowControl/>
              <w:bidi w:val="0"/>
              <w:jc w:val="start"/>
              <w:rPr>
                <w:sz w:val="18"/>
                <w:u w:val="double"/>
              </w:rPr>
            </w:pPr>
            <w:r>
              <w:rPr>
                <w:sz w:val="18"/>
                <w:u w:val="double"/>
              </w:rPr>
              <w:t>Guarantor for Party B: _________________________</w:t>
              <w:tab/>
              <w:t>Amount of Guaranty: _______</w:t>
            </w:r>
          </w:p>
          <w:p>
            <w:pPr>
              <w:pStyle w:val="Normal"/>
              <w:widowControl/>
              <w:bidi w:val="0"/>
              <w:jc w:val="start"/>
              <w:rPr>
                <w:sz w:val="18"/>
                <w:u w:val="double"/>
              </w:rPr>
            </w:pPr>
            <w:r>
              <w:rPr>
                <w:sz w:val="18"/>
                <w:u w:val="double"/>
              </w:rPr>
              <w:t xml:space="preserve">5.6 (Setoff):      </w:t>
            </w:r>
            <w:r>
              <w:rPr>
                <w:rFonts w:ascii="WP TypographicSymbols" w:hAnsi="WP TypographicSymbols"/>
                <w:u w:val="double"/>
              </w:rPr>
              <w:t></w:t>
            </w:r>
            <w:r>
              <w:rPr>
                <w:sz w:val="18"/>
                <w:u w:val="double"/>
              </w:rPr>
              <w:t xml:space="preserve"> Option A</w:t>
              <w:tab/>
            </w:r>
            <w:r>
              <w:rPr>
                <w:rFonts w:ascii="WP TypographicSymbols" w:hAnsi="WP TypographicSymbols"/>
                <w:u w:val="double"/>
              </w:rPr>
              <w:t></w:t>
            </w:r>
            <w:r>
              <w:rPr>
                <w:sz w:val="18"/>
                <w:u w:val="double"/>
              </w:rPr>
              <w:t xml:space="preserve"> Option B (</w:t>
            </w:r>
            <w:r>
              <w:rPr>
                <w:rFonts w:ascii="WP TypographicSymbols" w:hAnsi="WP TypographicSymbols"/>
                <w:sz w:val="18"/>
                <w:u w:val="double"/>
              </w:rPr>
              <w:t></w:t>
            </w:r>
            <w:r>
              <w:rPr>
                <w:sz w:val="18"/>
                <w:u w:val="double"/>
              </w:rPr>
              <w:t>Affiliates</w:t>
            </w:r>
            <w:r>
              <w:rPr>
                <w:rFonts w:ascii="WP TypographicSymbols" w:hAnsi="WP TypographicSymbols"/>
                <w:sz w:val="18"/>
                <w:u w:val="double"/>
              </w:rPr>
              <w:t></w:t>
            </w:r>
            <w:r>
              <w:rPr>
                <w:sz w:val="18"/>
                <w:u w:val="double"/>
              </w:rPr>
              <w:t xml:space="preserve"> shall mean ____________________)</w:t>
              <w:tab/>
            </w:r>
            <w:r>
              <w:rPr>
                <w:rFonts w:ascii="WP TypographicSymbols" w:hAnsi="WP TypographicSymbols"/>
                <w:u w:val="double"/>
              </w:rPr>
              <w:t></w:t>
            </w:r>
            <w:r>
              <w:rPr>
                <w:sz w:val="18"/>
                <w:u w:val="double"/>
              </w:rPr>
              <w:t xml:space="preserve"> Option C (No Setoff)</w:t>
            </w:r>
          </w:p>
          <w:p>
            <w:pPr>
              <w:pStyle w:val="Normal"/>
              <w:widowControl/>
              <w:bidi w:val="0"/>
              <w:spacing w:before="0" w:after="58"/>
              <w:ind w:firstLine="2160"/>
              <w:jc w:val="start"/>
              <w:rPr/>
            </w:pPr>
            <w:r>
              <w:rPr>
                <w:sz w:val="18"/>
                <w:u w:val="double"/>
              </w:rPr>
              <w:t xml:space="preserve">                  </w:t>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u w:val="double"/>
              </w:rPr>
            </w:pPr>
            <w:r>
              <w:rPr>
                <w:sz w:val="18"/>
                <w:u w:val="double"/>
              </w:rPr>
            </w:r>
          </w:p>
          <w:p>
            <w:pPr>
              <w:pStyle w:val="Normal"/>
              <w:widowControl/>
              <w:bidi w:val="0"/>
              <w:jc w:val="start"/>
              <w:rPr>
                <w:sz w:val="18"/>
                <w:u w:val="double"/>
              </w:rPr>
            </w:pPr>
            <w:r>
              <w:rPr>
                <w:sz w:val="18"/>
                <w:u w:val="double"/>
              </w:rPr>
              <w:t>Article 8</w:t>
            </w:r>
          </w:p>
          <w:p>
            <w:pPr>
              <w:pStyle w:val="Normal"/>
              <w:widowControl/>
              <w:bidi w:val="0"/>
              <w:spacing w:before="0" w:after="58"/>
              <w:jc w:val="start"/>
              <w:rPr/>
            </w:pPr>
            <w:r>
              <w:rPr>
                <w:sz w:val="18"/>
                <w:u w:val="double"/>
              </w:rPr>
              <w:t>Credit and Collateral Requirements</w:t>
            </w:r>
          </w:p>
        </w:tc>
        <w:tc>
          <w:tcPr>
            <w:tcW w:w="7559"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u w:val="double"/>
              </w:rPr>
            </w:pPr>
            <w:r>
              <w:rPr>
                <w:sz w:val="18"/>
                <w:u w:val="double"/>
              </w:rPr>
            </w:r>
          </w:p>
          <w:p>
            <w:pPr>
              <w:pStyle w:val="Normal"/>
              <w:widowControl/>
              <w:bidi w:val="0"/>
              <w:jc w:val="start"/>
              <w:rPr>
                <w:sz w:val="18"/>
                <w:u w:val="double"/>
              </w:rPr>
            </w:pPr>
            <w:r>
              <w:rPr>
                <w:sz w:val="18"/>
                <w:u w:val="double"/>
              </w:rPr>
              <w:t>8.1 Credit Information:</w:t>
            </w:r>
          </w:p>
          <w:p>
            <w:pPr>
              <w:pStyle w:val="Normal"/>
              <w:widowControl/>
              <w:bidi w:val="0"/>
              <w:jc w:val="start"/>
              <w:rPr>
                <w:sz w:val="18"/>
                <w:u w:val="double"/>
              </w:rPr>
            </w:pPr>
            <w:r>
              <w:rPr>
                <w:sz w:val="18"/>
                <w:u w:val="double"/>
              </w:rPr>
              <w:t>Party A:</w:t>
              <w:tab/>
              <w:tab/>
              <w:tab/>
              <w:tab/>
              <w:tab/>
              <w:tab/>
              <w:tab/>
            </w:r>
          </w:p>
          <w:p>
            <w:pPr>
              <w:pStyle w:val="Normal"/>
              <w:widowControl/>
              <w:bidi w:val="0"/>
              <w:ind w:firstLine="720"/>
              <w:jc w:val="start"/>
              <w:rPr>
                <w:sz w:val="18"/>
                <w:u w:val="double"/>
              </w:rPr>
            </w:pPr>
            <w:r>
              <w:rPr>
                <w:rFonts w:ascii="WP TypographicSymbols" w:hAnsi="WP TypographicSymbols"/>
                <w:sz w:val="18"/>
                <w:u w:val="double"/>
              </w:rPr>
              <w:t></w:t>
            </w:r>
            <w:r>
              <w:rPr>
                <w:sz w:val="18"/>
                <w:u w:val="double"/>
              </w:rPr>
              <w:t xml:space="preserve"> </w:t>
            </w:r>
            <w:r>
              <w:rPr>
                <w:sz w:val="18"/>
                <w:u w:val="double"/>
              </w:rPr>
              <w:t>Option A</w:t>
            </w:r>
            <w:r>
              <w:rPr>
                <w:u w:val="double"/>
              </w:rPr>
              <w:tab/>
              <w:tab/>
              <w:tab/>
              <w:tab/>
              <w:tab/>
              <w:tab/>
              <w:tab/>
              <w:tab/>
              <w:tab/>
            </w:r>
            <w:r>
              <w:rPr>
                <w:rFonts w:ascii="WP TypographicSymbols" w:hAnsi="WP TypographicSymbols"/>
                <w:sz w:val="18"/>
                <w:u w:val="double"/>
              </w:rPr>
              <w:t></w:t>
            </w:r>
            <w:r>
              <w:rPr>
                <w:sz w:val="18"/>
                <w:u w:val="double"/>
              </w:rPr>
              <w:t xml:space="preserve"> Option B      Specify :______________________</w:t>
            </w:r>
          </w:p>
          <w:p>
            <w:pPr>
              <w:pStyle w:val="Normal"/>
              <w:widowControl/>
              <w:bidi w:val="0"/>
              <w:ind w:firstLine="720"/>
              <w:jc w:val="start"/>
              <w:rPr>
                <w:sz w:val="18"/>
                <w:u w:val="double"/>
              </w:rPr>
            </w:pPr>
            <w:r>
              <w:rPr>
                <w:rFonts w:ascii="WP TypographicSymbols" w:hAnsi="WP TypographicSymbols"/>
                <w:sz w:val="18"/>
                <w:u w:val="double"/>
              </w:rPr>
              <w:t></w:t>
            </w:r>
            <w:r>
              <w:rPr>
                <w:sz w:val="18"/>
                <w:u w:val="double"/>
              </w:rPr>
              <w:t xml:space="preserve"> </w:t>
            </w:r>
            <w:r>
              <w:rPr>
                <w:sz w:val="18"/>
                <w:u w:val="double"/>
              </w:rPr>
              <w:t>Option C      Specify:______________________</w:t>
            </w:r>
          </w:p>
          <w:p>
            <w:pPr>
              <w:pStyle w:val="Normal"/>
              <w:widowControl/>
              <w:bidi w:val="0"/>
              <w:jc w:val="start"/>
              <w:rPr>
                <w:sz w:val="18"/>
                <w:u w:val="double"/>
              </w:rPr>
            </w:pPr>
            <w:r>
              <w:rPr>
                <w:sz w:val="18"/>
                <w:u w:val="double"/>
              </w:rPr>
            </w:r>
          </w:p>
          <w:p>
            <w:pPr>
              <w:pStyle w:val="Normal"/>
              <w:widowControl/>
              <w:bidi w:val="0"/>
              <w:jc w:val="start"/>
              <w:rPr>
                <w:sz w:val="18"/>
                <w:u w:val="double"/>
              </w:rPr>
            </w:pPr>
            <w:r>
              <w:rPr>
                <w:sz w:val="18"/>
                <w:u w:val="double"/>
              </w:rPr>
              <w:t>Party B:</w:t>
            </w:r>
          </w:p>
          <w:p>
            <w:pPr>
              <w:pStyle w:val="Normal"/>
              <w:widowControl/>
              <w:bidi w:val="0"/>
              <w:ind w:firstLine="720"/>
              <w:jc w:val="start"/>
              <w:rPr>
                <w:sz w:val="18"/>
                <w:u w:val="double"/>
              </w:rPr>
            </w:pPr>
            <w:r>
              <w:rPr>
                <w:rFonts w:ascii="WP TypographicSymbols" w:hAnsi="WP TypographicSymbols"/>
                <w:sz w:val="18"/>
                <w:u w:val="double"/>
              </w:rPr>
              <w:t></w:t>
            </w:r>
            <w:r>
              <w:rPr>
                <w:sz w:val="18"/>
                <w:u w:val="double"/>
              </w:rPr>
              <w:t xml:space="preserve"> </w:t>
            </w:r>
            <w:r>
              <w:rPr>
                <w:sz w:val="18"/>
                <w:u w:val="double"/>
              </w:rPr>
              <w:t>Option A</w:t>
            </w:r>
            <w:r>
              <w:rPr>
                <w:u w:val="double"/>
              </w:rPr>
              <w:tab/>
            </w:r>
          </w:p>
          <w:p>
            <w:pPr>
              <w:pStyle w:val="Normal"/>
              <w:widowControl/>
              <w:bidi w:val="0"/>
              <w:ind w:firstLine="720"/>
              <w:jc w:val="start"/>
              <w:rPr>
                <w:sz w:val="18"/>
                <w:u w:val="double"/>
              </w:rPr>
            </w:pPr>
            <w:r>
              <w:rPr>
                <w:rFonts w:ascii="WP TypographicSymbols" w:hAnsi="WP TypographicSymbols"/>
                <w:sz w:val="18"/>
                <w:u w:val="double"/>
              </w:rPr>
              <w:t></w:t>
            </w:r>
            <w:r>
              <w:rPr>
                <w:sz w:val="18"/>
                <w:u w:val="double"/>
              </w:rPr>
              <w:t xml:space="preserve"> </w:t>
            </w:r>
            <w:r>
              <w:rPr>
                <w:sz w:val="18"/>
                <w:u w:val="double"/>
              </w:rPr>
              <w:t>Option B      Specify :______________________</w:t>
            </w:r>
          </w:p>
          <w:p>
            <w:pPr>
              <w:pStyle w:val="Normal"/>
              <w:widowControl/>
              <w:bidi w:val="0"/>
              <w:ind w:firstLine="720"/>
              <w:jc w:val="start"/>
              <w:rPr>
                <w:sz w:val="18"/>
                <w:u w:val="double"/>
              </w:rPr>
            </w:pPr>
            <w:r>
              <w:rPr>
                <w:rFonts w:ascii="WP TypographicSymbols" w:hAnsi="WP TypographicSymbols"/>
                <w:sz w:val="18"/>
                <w:u w:val="double"/>
              </w:rPr>
              <w:t></w:t>
            </w:r>
            <w:r>
              <w:rPr>
                <w:sz w:val="18"/>
                <w:u w:val="double"/>
              </w:rPr>
              <w:t xml:space="preserve"> </w:t>
            </w:r>
            <w:r>
              <w:rPr>
                <w:sz w:val="18"/>
                <w:u w:val="double"/>
              </w:rPr>
              <w:t>Option C      Specify:______________________</w:t>
            </w:r>
          </w:p>
          <w:p>
            <w:pPr>
              <w:pStyle w:val="Normal"/>
              <w:widowControl/>
              <w:bidi w:val="0"/>
              <w:jc w:val="start"/>
              <w:rPr>
                <w:sz w:val="18"/>
                <w:u w:val="double"/>
              </w:rPr>
            </w:pPr>
            <w:r>
              <w:rPr>
                <w:sz w:val="18"/>
                <w:u w:val="double"/>
              </w:rPr>
              <w:t xml:space="preserve">8.2    </w:t>
            </w:r>
            <w:r>
              <w:rPr>
                <w:rFonts w:ascii="WP TypographicSymbols" w:hAnsi="WP TypographicSymbols"/>
                <w:u w:val="double"/>
              </w:rPr>
              <w:t></w:t>
            </w:r>
            <w:r>
              <w:rPr>
                <w:sz w:val="18"/>
                <w:u w:val="double"/>
              </w:rPr>
              <w:t xml:space="preserve"> Applicable if no other selection is made.</w:t>
            </w:r>
          </w:p>
          <w:p>
            <w:pPr>
              <w:pStyle w:val="Normal"/>
              <w:widowControl/>
              <w:bidi w:val="0"/>
              <w:jc w:val="start"/>
              <w:rPr>
                <w:sz w:val="18"/>
                <w:u w:val="double"/>
              </w:rPr>
            </w:pPr>
            <w:r>
              <w:rPr>
                <w:sz w:val="18"/>
                <w:u w:val="double"/>
              </w:rPr>
              <w:t xml:space="preserve">8.3    </w:t>
            </w:r>
            <w:r>
              <w:rPr>
                <w:rFonts w:ascii="WP TypographicSymbols" w:hAnsi="WP TypographicSymbols"/>
                <w:u w:val="double"/>
              </w:rPr>
              <w:t></w:t>
            </w:r>
            <w:r>
              <w:rPr>
                <w:sz w:val="18"/>
                <w:u w:val="double"/>
              </w:rPr>
              <w:t xml:space="preserve">    </w:t>
            </w:r>
          </w:p>
          <w:p>
            <w:pPr>
              <w:pStyle w:val="Normal"/>
              <w:widowControl/>
              <w:bidi w:val="0"/>
              <w:jc w:val="start"/>
              <w:rPr>
                <w:sz w:val="18"/>
                <w:u w:val="double"/>
              </w:rPr>
            </w:pPr>
            <w:r>
              <w:rPr>
                <w:sz w:val="18"/>
                <w:u w:val="double"/>
              </w:rPr>
              <w:t xml:space="preserve">8.4    </w:t>
            </w:r>
            <w:r>
              <w:rPr>
                <w:rFonts w:ascii="WP TypographicSymbols" w:hAnsi="WP TypographicSymbols"/>
                <w:u w:val="double"/>
              </w:rPr>
              <w:t></w:t>
            </w:r>
            <w:r>
              <w:rPr>
                <w:sz w:val="18"/>
                <w:u w:val="double"/>
              </w:rPr>
              <w:t>    Option A</w:t>
              <w:tab/>
              <w:tab/>
            </w:r>
            <w:r>
              <w:rPr>
                <w:rFonts w:ascii="WP TypographicSymbols" w:hAnsi="WP TypographicSymbols"/>
                <w:u w:val="double"/>
              </w:rPr>
              <w:t></w:t>
            </w:r>
            <w:r>
              <w:rPr>
                <w:sz w:val="18"/>
                <w:u w:val="double"/>
              </w:rPr>
              <w:t xml:space="preserve"> Option B</w:t>
            </w:r>
          </w:p>
          <w:p>
            <w:pPr>
              <w:pStyle w:val="Normal"/>
              <w:widowControl/>
              <w:bidi w:val="0"/>
              <w:jc w:val="start"/>
              <w:rPr>
                <w:sz w:val="18"/>
                <w:u w:val="double"/>
              </w:rPr>
            </w:pPr>
            <w:r>
              <w:rPr>
                <w:sz w:val="18"/>
                <w:u w:val="double"/>
              </w:rPr>
              <w:t>Party A Exposure Amount: $_________; provided, however, that each Party</w:t>
            </w:r>
            <w:r>
              <w:rPr>
                <w:rFonts w:ascii="WP TypographicSymbols" w:hAnsi="WP TypographicSymbols"/>
                <w:sz w:val="18"/>
                <w:u w:val="double"/>
              </w:rPr>
              <w:t></w:t>
            </w:r>
            <w:r>
              <w:rPr>
                <w:sz w:val="18"/>
                <w:u w:val="double"/>
              </w:rPr>
              <w:t>s Exposure Amount shall be zero if an Event of    Default or Potential Event of Default with respect to such Party has occurred and is continuing.</w:t>
            </w:r>
          </w:p>
          <w:p>
            <w:pPr>
              <w:pStyle w:val="Normal"/>
              <w:widowControl/>
              <w:bidi w:val="0"/>
              <w:jc w:val="start"/>
              <w:rPr>
                <w:sz w:val="18"/>
                <w:u w:val="double"/>
              </w:rPr>
            </w:pPr>
            <w:r>
              <w:rPr>
                <w:sz w:val="18"/>
                <w:u w:val="double"/>
              </w:rPr>
              <w:t>Party B Exposure Amount: $ __________; provided, however, that each Party</w:t>
            </w:r>
            <w:r>
              <w:rPr>
                <w:rFonts w:ascii="WP TypographicSymbols" w:hAnsi="WP TypographicSymbols"/>
                <w:sz w:val="18"/>
                <w:u w:val="double"/>
              </w:rPr>
              <w:t></w:t>
            </w:r>
            <w:r>
              <w:rPr>
                <w:sz w:val="18"/>
                <w:u w:val="double"/>
              </w:rPr>
              <w:t>s Exposure Amount shall be zero if an Event of    Default or Potential Event of Default with respect to such Party has occurred and is continuing.</w:t>
            </w:r>
          </w:p>
          <w:p>
            <w:pPr>
              <w:pStyle w:val="Normal"/>
              <w:widowControl/>
              <w:bidi w:val="0"/>
              <w:jc w:val="start"/>
              <w:rPr>
                <w:sz w:val="18"/>
                <w:u w:val="double"/>
              </w:rPr>
            </w:pPr>
            <w:r>
              <w:rPr>
                <w:sz w:val="18"/>
                <w:u w:val="double"/>
              </w:rPr>
              <w:t>Party A Rounding Amount: $__________</w:t>
            </w:r>
          </w:p>
          <w:p>
            <w:pPr>
              <w:pStyle w:val="Normal"/>
              <w:widowControl/>
              <w:bidi w:val="0"/>
              <w:jc w:val="start"/>
              <w:rPr>
                <w:sz w:val="18"/>
                <w:u w:val="double"/>
              </w:rPr>
            </w:pPr>
            <w:r>
              <w:rPr>
                <w:sz w:val="18"/>
                <w:u w:val="double"/>
              </w:rPr>
              <w:t>Party B Rounding Amount: $__________</w:t>
            </w:r>
          </w:p>
          <w:p>
            <w:pPr>
              <w:pStyle w:val="Normal"/>
              <w:widowControl/>
              <w:bidi w:val="0"/>
              <w:jc w:val="start"/>
              <w:rPr>
                <w:sz w:val="18"/>
                <w:u w:val="double"/>
              </w:rPr>
            </w:pPr>
            <w:r>
              <w:rPr>
                <w:sz w:val="18"/>
                <w:u w:val="double"/>
              </w:rPr>
            </w:r>
          </w:p>
          <w:p>
            <w:pPr>
              <w:pStyle w:val="Normal"/>
              <w:widowControl/>
              <w:bidi w:val="0"/>
              <w:jc w:val="start"/>
              <w:rPr>
                <w:sz w:val="18"/>
                <w:u w:val="double"/>
              </w:rPr>
            </w:pPr>
            <w:r>
              <w:rPr>
                <w:sz w:val="18"/>
                <w:u w:val="double"/>
              </w:rPr>
              <w:t>8.5 Downgrade Event applicable</w:t>
            </w:r>
          </w:p>
          <w:p>
            <w:pPr>
              <w:pStyle w:val="Normal"/>
              <w:widowControl/>
              <w:bidi w:val="0"/>
              <w:jc w:val="start"/>
              <w:rPr>
                <w:sz w:val="18"/>
                <w:u w:val="double"/>
              </w:rPr>
            </w:pPr>
            <w:r>
              <w:rPr>
                <w:sz w:val="18"/>
                <w:u w:val="double"/>
              </w:rPr>
              <w:t xml:space="preserve"> </w:t>
            </w:r>
            <w:r>
              <w:rPr>
                <w:rFonts w:ascii="WP TypographicSymbols" w:hAnsi="WP TypographicSymbols"/>
                <w:u w:val="double"/>
              </w:rPr>
              <w:t></w:t>
            </w:r>
            <w:r>
              <w:rPr>
                <w:sz w:val="18"/>
                <w:u w:val="double"/>
              </w:rPr>
              <w:t xml:space="preserve"> </w:t>
            </w:r>
            <w:r>
              <w:rPr>
                <w:sz w:val="18"/>
                <w:u w:val="double"/>
              </w:rPr>
              <w:t>It shall be a Downgrade Event for Party A if __________</w:t>
            </w:r>
            <w:r>
              <w:rPr>
                <w:rFonts w:ascii="WP TypographicSymbols" w:hAnsi="WP TypographicSymbols"/>
                <w:sz w:val="18"/>
                <w:u w:val="double"/>
              </w:rPr>
              <w:t></w:t>
            </w:r>
            <w:r>
              <w:rPr>
                <w:sz w:val="18"/>
                <w:u w:val="double"/>
              </w:rPr>
              <w:t>s Credit Rating falls below __________ from S&amp;P or    __________ from Moody</w:t>
            </w:r>
            <w:r>
              <w:rPr>
                <w:rFonts w:ascii="WP TypographicSymbols" w:hAnsi="WP TypographicSymbols"/>
                <w:sz w:val="18"/>
                <w:u w:val="double"/>
              </w:rPr>
              <w:t></w:t>
            </w:r>
            <w:r>
              <w:rPr>
                <w:sz w:val="18"/>
                <w:u w:val="double"/>
              </w:rPr>
              <w:t>s or if    _________ is not rated    by either S&amp;P or Moody</w:t>
            </w:r>
            <w:r>
              <w:rPr>
                <w:rFonts w:ascii="WP TypographicSymbols" w:hAnsi="WP TypographicSymbols"/>
                <w:sz w:val="18"/>
                <w:u w:val="double"/>
              </w:rPr>
              <w:t></w:t>
            </w:r>
            <w:r>
              <w:rPr>
                <w:sz w:val="18"/>
                <w:u w:val="double"/>
              </w:rPr>
              <w:t>s</w:t>
            </w:r>
          </w:p>
          <w:p>
            <w:pPr>
              <w:pStyle w:val="Normal"/>
              <w:widowControl/>
              <w:bidi w:val="0"/>
              <w:jc w:val="start"/>
              <w:rPr>
                <w:sz w:val="18"/>
                <w:u w:val="double"/>
              </w:rPr>
            </w:pPr>
            <w:r>
              <w:rPr>
                <w:u w:val="double"/>
              </w:rPr>
              <w:t xml:space="preserve"> </w:t>
            </w:r>
            <w:r>
              <w:rPr>
                <w:rFonts w:ascii="WP TypographicSymbols" w:hAnsi="WP TypographicSymbols"/>
                <w:u w:val="double"/>
              </w:rPr>
              <w:t></w:t>
            </w:r>
            <w:r>
              <w:rPr>
                <w:u w:val="double"/>
              </w:rPr>
              <w:t xml:space="preserve"> </w:t>
            </w:r>
            <w:r>
              <w:rPr>
                <w:sz w:val="18"/>
                <w:u w:val="double"/>
              </w:rPr>
              <w:t>It shall be a Downgrade Event for Party B if __________</w:t>
            </w:r>
            <w:r>
              <w:rPr>
                <w:rFonts w:ascii="WP TypographicSymbols" w:hAnsi="WP TypographicSymbols"/>
                <w:sz w:val="18"/>
                <w:u w:val="double"/>
              </w:rPr>
              <w:t></w:t>
            </w:r>
            <w:r>
              <w:rPr>
                <w:sz w:val="18"/>
                <w:u w:val="double"/>
              </w:rPr>
              <w:t>s Credit Rating falls below __________ from S&amp;P or    __________ from Moody</w:t>
            </w:r>
            <w:r>
              <w:rPr>
                <w:rFonts w:ascii="WP TypographicSymbols" w:hAnsi="WP TypographicSymbols"/>
                <w:sz w:val="18"/>
                <w:u w:val="double"/>
              </w:rPr>
              <w:t></w:t>
            </w:r>
            <w:r>
              <w:rPr>
                <w:sz w:val="18"/>
                <w:u w:val="double"/>
              </w:rPr>
              <w:t>s or if    __________ is not rated by either S&amp;P or Moody</w:t>
            </w:r>
            <w:r>
              <w:rPr>
                <w:rFonts w:ascii="WP TypographicSymbols" w:hAnsi="WP TypographicSymbols"/>
                <w:sz w:val="18"/>
                <w:u w:val="double"/>
              </w:rPr>
              <w:t></w:t>
            </w:r>
            <w:r>
              <w:rPr>
                <w:sz w:val="18"/>
                <w:u w:val="double"/>
              </w:rPr>
              <w:t xml:space="preserve">s </w:t>
            </w:r>
          </w:p>
          <w:p>
            <w:pPr>
              <w:pStyle w:val="Normal"/>
              <w:widowControl/>
              <w:bidi w:val="0"/>
              <w:jc w:val="start"/>
              <w:rPr>
                <w:sz w:val="18"/>
                <w:u w:val="double"/>
              </w:rPr>
            </w:pPr>
            <w:r>
              <w:rPr>
                <w:u w:val="double"/>
              </w:rPr>
              <w:t xml:space="preserve"> </w:t>
            </w:r>
            <w:r>
              <w:rPr>
                <w:rFonts w:ascii="WP TypographicSymbols" w:hAnsi="WP TypographicSymbols"/>
                <w:u w:val="double"/>
              </w:rPr>
              <w:t></w:t>
            </w:r>
            <w:r>
              <w:rPr>
                <w:sz w:val="18"/>
                <w:u w:val="double"/>
              </w:rPr>
              <w:t xml:space="preserve"> </w:t>
            </w:r>
            <w:r>
              <w:rPr>
                <w:sz w:val="18"/>
                <w:u w:val="double"/>
              </w:rPr>
              <w:t>Other:</w:t>
            </w:r>
          </w:p>
          <w:p>
            <w:pPr>
              <w:pStyle w:val="Normal"/>
              <w:widowControl/>
              <w:bidi w:val="0"/>
              <w:jc w:val="start"/>
              <w:rPr>
                <w:sz w:val="18"/>
                <w:u w:val="double"/>
              </w:rPr>
            </w:pPr>
            <w:r>
              <w:rPr>
                <w:sz w:val="18"/>
                <w:u w:val="double"/>
              </w:rPr>
              <w:t>Specify: ______________________</w:t>
            </w:r>
          </w:p>
          <w:p>
            <w:pPr>
              <w:pStyle w:val="Normal"/>
              <w:widowControl/>
              <w:bidi w:val="0"/>
              <w:spacing w:before="0" w:after="58"/>
              <w:jc w:val="start"/>
              <w:rPr>
                <w:sz w:val="18"/>
                <w:u w:val="double"/>
              </w:rPr>
            </w:pPr>
            <w:r>
              <w:rPr>
                <w:sz w:val="18"/>
                <w:u w:val="double"/>
              </w:rPr>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u w:val="double"/>
              </w:rPr>
            </w:pPr>
            <w:r>
              <w:rPr>
                <w:sz w:val="18"/>
                <w:u w:val="double"/>
              </w:rPr>
            </w:r>
          </w:p>
          <w:p>
            <w:pPr>
              <w:pStyle w:val="Normal"/>
              <w:widowControl/>
              <w:bidi w:val="0"/>
              <w:jc w:val="start"/>
              <w:rPr>
                <w:sz w:val="18"/>
                <w:u w:val="double"/>
              </w:rPr>
            </w:pPr>
            <w:r>
              <w:rPr>
                <w:sz w:val="18"/>
                <w:u w:val="double"/>
              </w:rPr>
              <w:t>Article 10</w:t>
            </w:r>
          </w:p>
          <w:p>
            <w:pPr>
              <w:pStyle w:val="Normal"/>
              <w:widowControl/>
              <w:bidi w:val="0"/>
              <w:spacing w:before="0" w:after="58"/>
              <w:jc w:val="start"/>
              <w:rPr/>
            </w:pPr>
            <w:r>
              <w:rPr>
                <w:sz w:val="18"/>
                <w:u w:val="double"/>
              </w:rPr>
              <w:t>Confidentiality</w:t>
            </w:r>
          </w:p>
        </w:tc>
        <w:tc>
          <w:tcPr>
            <w:tcW w:w="7559"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u w:val="double"/>
              </w:rPr>
            </w:pPr>
            <w:r>
              <w:rPr>
                <w:sz w:val="18"/>
                <w:u w:val="double"/>
              </w:rPr>
            </w:r>
          </w:p>
          <w:p>
            <w:pPr>
              <w:pStyle w:val="Normal"/>
              <w:widowControl/>
              <w:bidi w:val="0"/>
              <w:jc w:val="start"/>
              <w:rPr>
                <w:u w:val="double"/>
              </w:rPr>
            </w:pPr>
            <w:r>
              <w:rPr>
                <w:sz w:val="18"/>
                <w:u w:val="double"/>
              </w:rPr>
              <w:t xml:space="preserve">Confidentiality Applicable    </w:t>
            </w:r>
            <w:r>
              <w:rPr>
                <w:rFonts w:ascii="WP TypographicSymbols" w:hAnsi="WP TypographicSymbols"/>
                <w:u w:val="double"/>
              </w:rPr>
              <w:t></w:t>
            </w:r>
            <w:r>
              <w:rPr>
                <w:sz w:val="18"/>
                <w:u w:val="double"/>
              </w:rPr>
              <w:t>    If not checked, inapplicable.</w:t>
            </w:r>
            <w:r>
              <w:rPr>
                <w:u w:val="double"/>
              </w:rPr>
              <w:t xml:space="preserve"> </w:t>
            </w:r>
          </w:p>
          <w:p>
            <w:pPr>
              <w:pStyle w:val="Normal"/>
              <w:widowControl/>
              <w:bidi w:val="0"/>
              <w:spacing w:before="0" w:after="58"/>
              <w:jc w:val="start"/>
              <w:rPr>
                <w:sz w:val="18"/>
                <w:u w:val="double"/>
              </w:rPr>
            </w:pPr>
            <w:r>
              <w:rPr>
                <w:sz w:val="18"/>
                <w:u w:val="double"/>
              </w:rPr>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spacing w:before="0" w:after="58"/>
              <w:jc w:val="start"/>
              <w:rPr/>
            </w:pPr>
            <w:r>
              <w:rPr>
                <w:sz w:val="18"/>
                <w:u w:val="double"/>
              </w:rPr>
              <w:t>Schedule M</w:t>
            </w:r>
          </w:p>
        </w:tc>
        <w:tc>
          <w:tcPr>
            <w:tcW w:w="755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jc w:val="start"/>
              <w:rPr>
                <w:sz w:val="18"/>
                <w:u w:val="double"/>
              </w:rPr>
            </w:pPr>
            <w:r>
              <w:rPr>
                <w:u w:val="double"/>
              </w:rPr>
              <w:t xml:space="preserve"> </w:t>
            </w:r>
            <w:r>
              <w:rPr>
                <w:rFonts w:ascii="WP TypographicSymbols" w:hAnsi="WP TypographicSymbols"/>
                <w:u w:val="double"/>
              </w:rPr>
              <w:t></w:t>
            </w:r>
            <w:r>
              <w:rPr>
                <w:sz w:val="18"/>
                <w:u w:val="double"/>
              </w:rPr>
              <w:t xml:space="preserve"> </w:t>
            </w:r>
            <w:r>
              <w:rPr>
                <w:sz w:val="18"/>
                <w:u w:val="double"/>
              </w:rPr>
              <w:t>Party A is a Governmental Entity and Schedule M is applicable</w:t>
            </w:r>
          </w:p>
          <w:p>
            <w:pPr>
              <w:pStyle w:val="Normal"/>
              <w:widowControl/>
              <w:tabs>
                <w:tab w:val="clear" w:pos="720"/>
              </w:tabs>
              <w:bidi w:val="0"/>
              <w:jc w:val="start"/>
              <w:rPr>
                <w:sz w:val="18"/>
                <w:u w:val="double"/>
              </w:rPr>
            </w:pPr>
            <w:r>
              <w:rPr>
                <w:u w:val="double"/>
              </w:rPr>
              <w:t xml:space="preserve"> </w:t>
            </w:r>
            <w:r>
              <w:rPr>
                <w:rFonts w:ascii="WP TypographicSymbols" w:hAnsi="WP TypographicSymbols"/>
                <w:u w:val="double"/>
              </w:rPr>
              <w:t></w:t>
            </w:r>
            <w:r>
              <w:rPr>
                <w:sz w:val="18"/>
                <w:u w:val="double"/>
              </w:rPr>
              <w:t xml:space="preserve"> </w:t>
            </w:r>
            <w:r>
              <w:rPr>
                <w:sz w:val="18"/>
                <w:u w:val="double"/>
              </w:rPr>
              <w:t>Party B is a Governmental Entity and Schedule M is applicable</w:t>
            </w:r>
          </w:p>
          <w:p>
            <w:pPr>
              <w:pStyle w:val="Normal"/>
              <w:widowControl/>
              <w:tabs>
                <w:tab w:val="clear" w:pos="720"/>
              </w:tabs>
              <w:bidi w:val="0"/>
              <w:jc w:val="start"/>
              <w:rPr>
                <w:sz w:val="18"/>
                <w:u w:val="double"/>
              </w:rPr>
            </w:pPr>
            <w:r>
              <w:rPr>
                <w:sz w:val="18"/>
                <w:u w:val="double"/>
              </w:rPr>
              <w:t xml:space="preserve"> </w:t>
            </w:r>
            <w:r>
              <w:rPr>
                <w:rFonts w:ascii="WP TypographicSymbols" w:hAnsi="WP TypographicSymbols"/>
                <w:u w:val="double"/>
              </w:rPr>
              <w:t></w:t>
            </w:r>
            <w:r>
              <w:rPr>
                <w:u w:val="double"/>
              </w:rPr>
              <w:t xml:space="preserve"> </w:t>
            </w:r>
            <w:r>
              <w:rPr>
                <w:sz w:val="18"/>
                <w:u w:val="double"/>
              </w:rPr>
              <w:t>Add 3.5</w:t>
            </w:r>
          </w:p>
          <w:p>
            <w:pPr>
              <w:pStyle w:val="Normal"/>
              <w:widowControl/>
              <w:tabs>
                <w:tab w:val="clear" w:pos="720"/>
              </w:tabs>
              <w:bidi w:val="0"/>
              <w:spacing w:before="0" w:after="58"/>
              <w:jc w:val="start"/>
              <w:rPr/>
            </w:pPr>
            <w:r>
              <w:rPr>
                <w:sz w:val="18"/>
                <w:u w:val="double"/>
              </w:rPr>
              <w:t xml:space="preserve"> </w:t>
            </w:r>
            <w:r>
              <w:rPr>
                <w:rFonts w:ascii="WP TypographicSymbols" w:hAnsi="WP TypographicSymbols"/>
                <w:u w:val="double"/>
              </w:rPr>
              <w:t></w:t>
            </w:r>
            <w:r>
              <w:rPr>
                <w:sz w:val="18"/>
                <w:u w:val="double"/>
              </w:rPr>
              <w:t xml:space="preserve"> </w:t>
            </w:r>
            <w:r>
              <w:rPr>
                <w:sz w:val="18"/>
                <w:u w:val="double"/>
              </w:rPr>
              <w:t>Add 8.6</w:t>
            </w:r>
          </w:p>
        </w:tc>
      </w:tr>
    </w:tbl>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u w:val="double"/>
        </w:rPr>
        <w:t xml:space="preserve">      </w:t>
      </w:r>
      <w:r>
        <w:rPr>
          <w:sz w:val="18"/>
          <w:u w:val="double"/>
        </w:rPr>
        <w:t xml:space="preserve">Other Changes:    </w:t>
        <w:tab/>
        <w:tab/>
        <w:tab/>
        <w:t>        Specify, if any: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216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u w:val="double"/>
        </w:rPr>
      </w:pPr>
      <w:r>
        <w:rPr>
          <w:sz w:val="18"/>
          <w:u w:val="double"/>
        </w:rPr>
        <w:t>IN WITNESS WHEREOF, the Parties have caused this Master Agreement to be duly executed as of the date first above written.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u w:val="double"/>
        </w:rPr>
      </w:pPr>
      <w:r>
        <w:rPr>
          <w:sz w:val="18"/>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3600" w:start="3600"/>
        <w:jc w:val="start"/>
        <w:rPr>
          <w:sz w:val="18"/>
          <w:u w:val="double"/>
        </w:rPr>
      </w:pPr>
      <w:r>
        <w:rPr>
          <w:sz w:val="18"/>
          <w:u w:val="double"/>
        </w:rPr>
        <w:t>Company Name</w:t>
        <w:tab/>
        <w:tab/>
        <w:tab/>
        <w:tab/>
        <w:tab/>
        <w:tab/>
        <w:t>Company Name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u w:val="double"/>
        </w:rPr>
      </w:pPr>
      <w:r>
        <w:rPr>
          <w:sz w:val="18"/>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4320" w:start="4320"/>
        <w:jc w:val="start"/>
        <w:rPr>
          <w:sz w:val="18"/>
          <w:u w:val="double"/>
        </w:rPr>
      </w:pPr>
      <w:r>
        <w:rPr>
          <w:sz w:val="18"/>
          <w:u w:val="double"/>
        </w:rPr>
        <w:t>By: ____________________________________</w:t>
        <w:tab/>
        <w:tab/>
        <w:t>By: ____________________________________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u w:val="double"/>
        </w:rPr>
      </w:pPr>
      <w:r>
        <w:rPr>
          <w:sz w:val="18"/>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4320" w:start="4320"/>
        <w:jc w:val="start"/>
        <w:rPr>
          <w:sz w:val="18"/>
          <w:u w:val="double"/>
        </w:rPr>
      </w:pPr>
      <w:r>
        <w:rPr>
          <w:sz w:val="18"/>
          <w:u w:val="double"/>
        </w:rPr>
        <w:t>Name: __________________________________</w:t>
        <w:tab/>
        <w:t>Name: __________________________________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u w:val="double"/>
        </w:rPr>
      </w:pPr>
      <w:r>
        <w:rPr>
          <w:sz w:val="18"/>
          <w:u w:val="double"/>
        </w:rPr>
      </w:r>
    </w:p>
    <w:p>
      <w:pPr>
        <w:sectPr>
          <w:footerReference w:type="even" r:id="rId2"/>
          <w:footerReference w:type="default" r:id="rId3"/>
          <w:footerReference w:type="first" r:id="rId4"/>
          <w:type w:val="nextPage"/>
          <w:pgSz w:w="12240" w:h="15840"/>
          <w:pgMar w:left="720" w:right="1440" w:gutter="0" w:header="0" w:top="720" w:footer="576" w:bottom="633"/>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s>
        <w:bidi w:val="0"/>
        <w:ind w:hanging="4320" w:start="4320"/>
        <w:jc w:val="start"/>
        <w:rPr>
          <w:sz w:val="18"/>
          <w:u w:val="double"/>
        </w:rPr>
      </w:pPr>
      <w:r>
        <w:rPr>
          <w:sz w:val="18"/>
          <w:u w:val="double"/>
        </w:rPr>
        <w:t>Title: ___________________________________</w:t>
        <w:tab/>
        <w:t>Title: ___________________________________</w:t>
      </w:r>
    </w:p>
    <w:p>
      <w:pPr>
        <w:pStyle w:val="Normal"/>
        <w:widowControl/>
        <w:tabs>
          <w:tab w:val="clear" w:pos="720"/>
          <w:tab w:val="center" w:pos="5400" w:leader="none"/>
        </w:tabs>
        <w:bidi w:val="0"/>
        <w:ind w:hanging="0" w:start="720"/>
        <w:jc w:val="start"/>
        <w:rPr/>
      </w:pPr>
      <w:r>
        <w:rPr>
          <w:b/>
          <w:u w:val="double"/>
        </w:rPr>
        <w:tab/>
        <w:t>GENERAL TERMS AND CONDITIONS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b/>
          <w:u w:val="single"/>
        </w:rPr>
        <w:t>ARTICLE ONE: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b/>
        </w:rPr>
        <w:t>GENERAL DEFINITIONS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720" w:start="2160"/>
        <w:jc w:val="both"/>
        <w:rPr>
          <w:u w:val="double"/>
        </w:rPr>
      </w:pPr>
      <w:r>
        <w:rPr>
          <w:u w:val="double"/>
        </w:rPr>
        <w:t>1.1</w:t>
        <w:tab/>
      </w:r>
      <w:r>
        <w:rPr>
          <w:rFonts w:ascii="WP TypographicSymbols" w:hAnsi="WP TypographicSymbols"/>
          <w:u w:val="double"/>
        </w:rPr>
        <w:t></w:t>
      </w:r>
      <w:r>
        <w:rPr>
          <w:u w:val="double"/>
        </w:rPr>
        <w:t>Agreement</w:t>
      </w:r>
      <w:r>
        <w:rPr>
          <w:rFonts w:ascii="WP TypographicSymbols" w:hAnsi="WP TypographicSymbols"/>
          <w:u w:val="double"/>
        </w:rPr>
        <w:t></w:t>
      </w:r>
      <w:r>
        <w:rPr>
          <w:u w:val="double"/>
        </w:rPr>
        <w:t xml:space="preserve"> has the meaning set forth in the Cover Sheet.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1.2</w:t>
      </w:r>
      <w:r>
        <w:rPr/>
        <w:tab/>
      </w:r>
      <w:r>
        <w:rPr>
          <w:rFonts w:ascii="WP TypographicSymbols" w:hAnsi="WP TypographicSymbols"/>
        </w:rPr>
        <w:t></w:t>
      </w:r>
      <w:r>
        <w:rPr/>
        <w:t>Bankrupt</w:t>
      </w:r>
      <w:r>
        <w:rPr>
          <w:rFonts w:ascii="WP TypographicSymbols" w:hAnsi="WP TypographicSymbols"/>
        </w:rPr>
        <w:t></w:t>
      </w:r>
      <w:r>
        <w:rPr/>
        <w:t xml:space="preserve"> means with respect to a Party </w:t>
      </w:r>
      <w:r>
        <w:rPr>
          <w:u w:val="double"/>
        </w:rPr>
        <w:t>or entity</w:t>
      </w:r>
      <w:r>
        <w:rPr/>
        <w:t xml:space="preserve">, such Party </w:t>
      </w:r>
      <w:r>
        <w:rPr>
          <w:u w:val="double"/>
        </w:rPr>
        <w:t>or entity</w:t>
      </w:r>
      <w:r>
        <w:rPr/>
        <w:t xml:space="preserve"> (i) files a petition or otherwise commences</w:t>
      </w:r>
      <w:r>
        <w:rPr>
          <w:u w:val="double"/>
        </w:rPr>
        <w:t>, authorizes or acquiesces in the commencement of</w:t>
      </w:r>
      <w:r>
        <w:rPr/>
        <w:t xml:space="preserve"> a proceeding </w:t>
      </w:r>
      <w:r>
        <w:rPr>
          <w:u w:val="double"/>
        </w:rPr>
        <w:t>or cause of action</w:t>
      </w:r>
      <w:r>
        <w:rPr/>
        <w:t xml:space="preserve">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w:t>
      </w:r>
      <w:r>
        <w:rPr/>
        <w:tab/>
      </w:r>
      <w:r>
        <w:rPr>
          <w:rFonts w:ascii="WP TypographicSymbols" w:hAnsi="WP TypographicSymbols"/>
        </w:rPr>
        <w:t></w:t>
      </w:r>
      <w:r>
        <w:rPr/>
        <w:t>Business Day</w:t>
      </w:r>
      <w:r>
        <w:rPr>
          <w:rFonts w:ascii="WP TypographicSymbols" w:hAnsi="WP TypographicSymbols"/>
        </w:rPr>
        <w:t></w:t>
      </w:r>
      <w:r>
        <w:rPr/>
        <w:t xml:space="preserve"> means any day except </w:t>
      </w:r>
      <w:r>
        <w:rPr>
          <w:u w:val="double"/>
        </w:rPr>
        <w:t>a</w:t>
      </w:r>
      <w:r>
        <w:rPr/>
        <w:t xml:space="preserve"> Saturday, Sunday, a Federal Reserve Bank holiday or a holiday </w:t>
      </w:r>
      <w:r>
        <w:rPr>
          <w:strike/>
        </w:rPr>
        <w:t>according to</w:t>
      </w:r>
      <w:r>
        <w:rPr/>
        <w:t xml:space="preserve"> </w:t>
      </w:r>
      <w:r>
        <w:rPr>
          <w:u w:val="double"/>
        </w:rPr>
        <w:t>as defined by</w:t>
      </w:r>
      <w:r>
        <w:rPr/>
        <w:t xml:space="preserve"> the North American Electric Reliability Council or any successor organization thereto.    </w:t>
      </w:r>
      <w:r>
        <w:rPr>
          <w:u w:val="double"/>
        </w:rPr>
        <w:t>A Business Day shall open at 8:00 a.m. and close at 5:00 p.m. local time for each Party</w:t>
      </w:r>
      <w:r>
        <w:rPr>
          <w:rFonts w:ascii="WP TypographicSymbols" w:hAnsi="WP TypographicSymbols"/>
          <w:u w:val="double"/>
        </w:rPr>
        <w:t></w:t>
      </w:r>
      <w:r>
        <w:rPr>
          <w:u w:val="double"/>
        </w:rPr>
        <w:t>s principal place of business.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1.4</w:t>
      </w:r>
      <w:r>
        <w:rPr/>
        <w:tab/>
      </w:r>
      <w:r>
        <w:rPr>
          <w:rFonts w:ascii="WP TypographicSymbols" w:hAnsi="WP TypographicSymbols"/>
        </w:rPr>
        <w:t></w:t>
      </w:r>
      <w:r>
        <w:rPr/>
        <w:t>Buyer</w:t>
      </w:r>
      <w:r>
        <w:rPr>
          <w:rFonts w:ascii="WP TypographicSymbols" w:hAnsi="WP TypographicSymbols"/>
        </w:rPr>
        <w:t></w:t>
      </w:r>
      <w:r>
        <w:rPr/>
        <w:t xml:space="preserve"> means the Party to a Transaction that is obligated to purchase and receive, or cause to be received, the Product.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rFonts w:ascii="WP TypographicSymbols" w:hAnsi="WP TypographicSymbols"/>
          <w:strike/>
        </w:rPr>
        <w:t></w:t>
      </w:r>
      <w:r>
        <w:rPr>
          <w:strike/>
        </w:rPr>
        <w:t>Commercially reasonable manner</w:t>
      </w:r>
      <w:r>
        <w:rPr>
          <w:rFonts w:ascii="WP TypographicSymbols" w:hAnsi="WP TypographicSymbols"/>
          <w:strike/>
        </w:rPr>
        <w:t></w:t>
      </w:r>
      <w:r>
        <w:rPr>
          <w:strike/>
        </w:rPr>
        <w:t xml:space="preserve"> shall include commercially reasonable purchases and sales of the Product in the market, but shall not require a Non</w:t>
        <w:noBreakHyphen/>
        <w:t>Defaulting Party to utilize or change its utilization of its owned or controlled assets or market positions to minimize a Defaulting Party</w:t>
      </w:r>
      <w:r>
        <w:rPr>
          <w:rFonts w:ascii="WP TypographicSymbols" w:hAnsi="WP TypographicSymbols"/>
          <w:strike/>
        </w:rPr>
        <w:t></w:t>
      </w:r>
      <w:r>
        <w:rPr>
          <w:strike/>
        </w:rPr>
        <w:t>s liability.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t>1.5</w:t>
        <w:tab/>
        <w:t>"Claiming Party" has the meaning set forth in Section 2.3.</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1.6</w:t>
        <w:tab/>
      </w:r>
      <w:r>
        <w:rPr>
          <w:rFonts w:ascii="WP TypographicSymbols" w:hAnsi="WP TypographicSymbols"/>
          <w:u w:val="double"/>
        </w:rPr>
        <w:t></w:t>
      </w:r>
      <w:r>
        <w:rPr>
          <w:u w:val="double"/>
        </w:rPr>
        <w:t>Claims</w:t>
      </w:r>
      <w:r>
        <w:rPr>
          <w:rFonts w:ascii="WP TypographicSymbols" w:hAnsi="WP TypographicSymbols"/>
          <w:u w:val="double"/>
        </w:rPr>
        <w:t></w:t>
      </w:r>
      <w:r>
        <w:rPr>
          <w:u w:val="double"/>
        </w:rPr>
        <w:t xml:space="preserve"> means all claims or actions, threatened or filed and, whether groundless, false or fraudulent, that directly or indirectly relate to the subject matter of an indemnity, and the resulting losses, damages, expenses, attorneys</w:t>
      </w:r>
      <w:r>
        <w:rPr>
          <w:rFonts w:ascii="WP TypographicSymbols" w:hAnsi="WP TypographicSymbols"/>
          <w:u w:val="double"/>
        </w:rPr>
        <w:t></w:t>
      </w:r>
      <w:r>
        <w:rPr>
          <w:u w:val="double"/>
        </w:rPr>
        <w:t xml:space="preserve"> fees and court costs, whether incurred by settlement or otherwise, and whether such claims or actions are threatened or filed prior to or after the termination of this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1.7</w:t>
        <w:tab/>
        <w:t>"Confirmation" has the meaning set forth in Section 3.3.</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1.8</w:t>
      </w:r>
      <w:r>
        <w:rPr/>
        <w:tab/>
      </w:r>
      <w:r>
        <w:rPr>
          <w:rFonts w:ascii="WP TypographicSymbols" w:hAnsi="WP TypographicSymbols"/>
        </w:rPr>
        <w:t></w:t>
      </w:r>
      <w:r>
        <w:rPr/>
        <w:t>Contract Price</w:t>
      </w:r>
      <w:r>
        <w:rPr>
          <w:rFonts w:ascii="WP TypographicSymbols" w:hAnsi="WP TypographicSymbols"/>
        </w:rPr>
        <w:t></w:t>
      </w:r>
      <w:r>
        <w:rPr/>
        <w:t xml:space="preserve"> means the price in $U.S. </w:t>
      </w:r>
      <w:r>
        <w:rPr>
          <w:strike/>
        </w:rPr>
        <w:t>per unit of Product</w:t>
      </w:r>
      <w:r>
        <w:rPr/>
        <w:t>(unless otherwise provided for) to be paid by Buyer to Seller for the purchase of the Product</w:t>
      </w:r>
      <w:r>
        <w:rPr>
          <w:u w:val="double"/>
        </w:rPr>
        <w:t>, as specified in any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1.9</w:t>
        <w:tab/>
      </w:r>
      <w:r>
        <w:rPr>
          <w:rFonts w:ascii="WP TypographicSymbols" w:hAnsi="WP TypographicSymbols"/>
          <w:u w:val="double"/>
        </w:rPr>
        <w:t></w:t>
      </w:r>
      <w:r>
        <w:rPr>
          <w:u w:val="double"/>
        </w:rPr>
        <w:t>Costs</w:t>
      </w:r>
      <w:r>
        <w:rPr>
          <w:rFonts w:ascii="WP TypographicSymbols" w:hAnsi="WP TypographicSymbols"/>
          <w:u w:val="double"/>
        </w:rPr>
        <w:t></w:t>
      </w:r>
      <w:r>
        <w:rPr>
          <w:u w:val="double"/>
        </w:rPr>
        <w:t xml:space="preserve"> means, with respect to the Non</w:t>
        <w:noBreakHyphen/>
        <w:t>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Pr>
          <w:rFonts w:ascii="WP TypographicSymbols" w:hAnsi="WP TypographicSymbols"/>
          <w:u w:val="double"/>
        </w:rPr>
        <w:t></w:t>
      </w:r>
      <w:r>
        <w:rPr>
          <w:u w:val="double"/>
        </w:rPr>
        <w:t xml:space="preserve"> fees and expenses incurred by the Non</w:t>
        <w:noBreakHyphen/>
        <w:t>Defaulting Party in connection with the termination of a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1.10</w:t>
        <w:tab/>
      </w:r>
      <w:r>
        <w:rPr>
          <w:rFonts w:ascii="WP TypographicSymbols" w:hAnsi="WP TypographicSymbols"/>
          <w:u w:val="double"/>
        </w:rPr>
        <w:t></w:t>
      </w:r>
      <w:r>
        <w:rPr>
          <w:u w:val="double"/>
        </w:rPr>
        <w:t>Credit Rating</w:t>
      </w:r>
      <w:r>
        <w:rPr>
          <w:rFonts w:ascii="WP TypographicSymbols" w:hAnsi="WP TypographicSymbols"/>
          <w:u w:val="double"/>
        </w:rPr>
        <w:t></w:t>
      </w:r>
      <w:r>
        <w:rPr>
          <w:u w:val="double"/>
        </w:rPr>
        <w:t xml:space="preserve"> means, with respect to any entity, the rating then assigned to such entity</w:t>
      </w:r>
      <w:r>
        <w:rPr>
          <w:rFonts w:ascii="WP TypographicSymbols" w:hAnsi="WP TypographicSymbols"/>
          <w:u w:val="double"/>
        </w:rPr>
        <w:t></w:t>
      </w:r>
      <w:r>
        <w:rPr>
          <w:u w:val="double"/>
        </w:rPr>
        <w:t>s unsecured, senior long</w:t>
        <w:noBreakHyphen/>
        <w:t>term debt or deposit obligations (not supported by third party credit enhancements) by S&amp;P, Moody</w:t>
      </w:r>
      <w:r>
        <w:rPr>
          <w:rFonts w:ascii="WP TypographicSymbols" w:hAnsi="WP TypographicSymbols"/>
          <w:u w:val="double"/>
        </w:rPr>
        <w:t></w:t>
      </w:r>
      <w:r>
        <w:rPr>
          <w:u w:val="double"/>
        </w:rPr>
        <w:t>s or any other rating agency agreed by the Parties as set forth in the Cover Sheet.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t xml:space="preserv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1.11</w:t>
        <w:tab/>
      </w:r>
      <w:r>
        <w:rPr>
          <w:rFonts w:ascii="WP TypographicSymbols" w:hAnsi="WP TypographicSymbols"/>
          <w:u w:val="double"/>
        </w:rPr>
        <w:t></w:t>
      </w:r>
      <w:r>
        <w:rPr>
          <w:u w:val="double"/>
        </w:rPr>
        <w:t>Cross Default Amount</w:t>
      </w:r>
      <w:r>
        <w:rPr>
          <w:rFonts w:ascii="WP TypographicSymbols" w:hAnsi="WP TypographicSymbols"/>
          <w:u w:val="double"/>
        </w:rPr>
        <w:t></w:t>
      </w:r>
      <w:r>
        <w:rPr>
          <w:u w:val="double"/>
        </w:rPr>
        <w:t xml:space="preserve"> shall mean the cross default amount, if any, set forth in the Cover Sheet for a Party.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1.12</w:t>
        <w:tab/>
      </w:r>
      <w:r>
        <w:rPr>
          <w:rFonts w:ascii="WP TypographicSymbols" w:hAnsi="WP TypographicSymbols"/>
          <w:u w:val="double"/>
        </w:rPr>
        <w:t></w:t>
      </w:r>
      <w:r>
        <w:rPr>
          <w:u w:val="double"/>
        </w:rPr>
        <w:t>Defaulting Party</w:t>
      </w:r>
      <w:r>
        <w:rPr>
          <w:rFonts w:ascii="WP TypographicSymbols" w:hAnsi="WP TypographicSymbols"/>
          <w:u w:val="double"/>
        </w:rPr>
        <w:t></w:t>
      </w:r>
      <w:r>
        <w:rPr>
          <w:u w:val="double"/>
        </w:rPr>
        <w:t xml:space="preserve"> has the meaning set forth in Section 5.1.</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u w:val="double"/>
        </w:rPr>
        <w:t>1.13</w:t>
      </w:r>
      <w:r>
        <w:rPr>
          <w:strik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rFonts w:ascii="WP TypographicSymbols" w:hAnsi="WP TypographicSymbols"/>
        </w:rPr>
        <w:t></w:t>
      </w:r>
      <w:r>
        <w:rPr/>
        <w:t>Delivery Period</w:t>
      </w:r>
      <w:r>
        <w:rPr>
          <w:rFonts w:ascii="WP TypographicSymbols" w:hAnsi="WP TypographicSymbols"/>
        </w:rPr>
        <w:t></w:t>
      </w:r>
      <w:r>
        <w:rPr/>
        <w:t xml:space="preserve"> means the period of delivery for a Transaction</w:t>
      </w:r>
      <w:r>
        <w:rPr>
          <w:u w:val="double"/>
        </w:rPr>
        <w:t>, as</w:t>
      </w:r>
      <w:r>
        <w:rPr/>
        <w:t xml:space="preserve"> specified in the </w:t>
      </w:r>
      <w:r>
        <w:rPr>
          <w:strike/>
        </w:rPr>
        <w:t>Confirmation.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t>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u w:val="double"/>
        </w:rPr>
        <w:t>1.14</w:t>
      </w:r>
      <w:r>
        <w:rPr/>
        <w:tab/>
      </w:r>
      <w:r>
        <w:rPr>
          <w:rFonts w:ascii="WP TypographicSymbols" w:hAnsi="WP TypographicSymbols"/>
        </w:rPr>
        <w:t></w:t>
      </w:r>
      <w:r>
        <w:rPr/>
        <w:t>Delivery Point</w:t>
      </w:r>
      <w:r>
        <w:rPr>
          <w:rFonts w:ascii="WP TypographicSymbols" w:hAnsi="WP TypographicSymbols"/>
        </w:rPr>
        <w:t></w:t>
      </w:r>
      <w:r>
        <w:rPr/>
        <w:t xml:space="preserve"> means the point at which the Product will be delivered</w:t>
      </w:r>
      <w:r>
        <w:rPr>
          <w:strike/>
        </w:rPr>
        <w:t>, which may be designated in any Transaction by referring to a Delivery Point.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rFonts w:ascii="WP TypographicSymbols" w:hAnsi="WP TypographicSymbols"/>
          <w:strike/>
        </w:rPr>
        <w:t></w:t>
      </w:r>
      <w:r>
        <w:rPr>
          <w:strike/>
        </w:rPr>
        <w:t>Effective Date</w:t>
      </w:r>
      <w:r>
        <w:rPr>
          <w:rFonts w:ascii="WP TypographicSymbols" w:hAnsi="WP TypographicSymbols"/>
          <w:strike/>
        </w:rPr>
        <w:t></w:t>
      </w:r>
      <w:r>
        <w:rPr>
          <w:strike/>
        </w:rPr>
        <w:t xml:space="preserve"> means the date first written above.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t xml:space="preserve"> </w:t>
      </w:r>
      <w:r>
        <w:rPr>
          <w:u w:val="double"/>
        </w:rPr>
        <w:t>and received, as specified in any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1.15</w:t>
        <w:tab/>
      </w:r>
      <w:r>
        <w:rPr>
          <w:rFonts w:ascii="WP TypographicSymbols" w:hAnsi="WP TypographicSymbols"/>
          <w:u w:val="double"/>
        </w:rPr>
        <w:t></w:t>
      </w:r>
      <w:r>
        <w:rPr>
          <w:u w:val="double"/>
        </w:rPr>
        <w:t>Downgrade Event</w:t>
      </w:r>
      <w:r>
        <w:rPr>
          <w:rFonts w:ascii="WP TypographicSymbols" w:hAnsi="WP TypographicSymbols"/>
          <w:u w:val="double"/>
        </w:rPr>
        <w:t></w:t>
      </w:r>
      <w:r>
        <w:rPr>
          <w:u w:val="double"/>
        </w:rPr>
        <w:t xml:space="preserve"> has the meaning set forth on the Cover Sheet.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1.16</w:t>
        <w:tab/>
      </w:r>
      <w:r>
        <w:rPr>
          <w:rFonts w:ascii="WP TypographicSymbols" w:hAnsi="WP TypographicSymbols"/>
          <w:u w:val="double"/>
        </w:rPr>
        <w:t></w:t>
      </w:r>
      <w:r>
        <w:rPr>
          <w:u w:val="double"/>
        </w:rPr>
        <w:t>Early Termination Date</w:t>
      </w:r>
      <w:r>
        <w:rPr>
          <w:rFonts w:ascii="WP TypographicSymbols" w:hAnsi="WP TypographicSymbols"/>
          <w:u w:val="double"/>
        </w:rPr>
        <w:t></w:t>
      </w:r>
      <w:r>
        <w:rPr>
          <w:u w:val="double"/>
        </w:rPr>
        <w:t xml:space="preserve"> has the meaning set forth in Section 5.2.</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1.17</w:t>
        <w:tab/>
      </w:r>
      <w:r>
        <w:rPr>
          <w:rFonts w:ascii="WP TypographicSymbols" w:hAnsi="WP TypographicSymbols"/>
          <w:u w:val="double"/>
        </w:rPr>
        <w:t></w:t>
      </w:r>
      <w:r>
        <w:rPr>
          <w:u w:val="double"/>
        </w:rPr>
        <w:t>Effective Date</w:t>
      </w:r>
      <w:r>
        <w:rPr>
          <w:rFonts w:ascii="WP TypographicSymbols" w:hAnsi="WP TypographicSymbols"/>
          <w:u w:val="double"/>
        </w:rPr>
        <w:t></w:t>
      </w:r>
      <w:r>
        <w:rPr>
          <w:u w:val="double"/>
        </w:rPr>
        <w:t xml:space="preserve"> has the meaning set forth on the Cover Sheet.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1.18</w:t>
        <w:tab/>
      </w:r>
      <w:r>
        <w:rPr>
          <w:rFonts w:ascii="WP TypographicSymbols" w:hAnsi="WP TypographicSymbols"/>
          <w:u w:val="double"/>
        </w:rPr>
        <w:t></w:t>
      </w:r>
      <w:r>
        <w:rPr>
          <w:u w:val="double"/>
        </w:rPr>
        <w:t>Estimated Duration (FM)</w:t>
      </w:r>
      <w:r>
        <w:rPr>
          <w:rFonts w:ascii="WP TypographicSymbols" w:hAnsi="WP TypographicSymbols"/>
          <w:u w:val="double"/>
        </w:rPr>
        <w:t></w:t>
      </w:r>
      <w:r>
        <w:rPr>
          <w:u w:val="double"/>
        </w:rPr>
        <w:t xml:space="preserve"> has the meaning set forth in Section 3.3.</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1.19</w:t>
        <w:tab/>
      </w:r>
      <w:r>
        <w:rPr>
          <w:rFonts w:ascii="WP TypographicSymbols" w:hAnsi="WP TypographicSymbols"/>
          <w:u w:val="double"/>
        </w:rPr>
        <w:t></w:t>
      </w:r>
      <w:r>
        <w:rPr>
          <w:u w:val="double"/>
        </w:rPr>
        <w:t>Event of Default</w:t>
      </w:r>
      <w:r>
        <w:rPr>
          <w:rFonts w:ascii="WP TypographicSymbols" w:hAnsi="WP TypographicSymbols"/>
          <w:u w:val="double"/>
        </w:rPr>
        <w:t></w:t>
      </w:r>
      <w:r>
        <w:rPr>
          <w:u w:val="double"/>
        </w:rPr>
        <w:t xml:space="preserve"> has the meaning set forth in Section 5.1.</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1.20</w:t>
      </w:r>
      <w:r>
        <w:rPr/>
        <w:tab/>
      </w:r>
      <w:r>
        <w:rPr>
          <w:rFonts w:ascii="WP TypographicSymbols" w:hAnsi="WP TypographicSymbols"/>
        </w:rPr>
        <w:t></w:t>
      </w:r>
      <w:r>
        <w:rPr/>
        <w:t>FERC</w:t>
      </w:r>
      <w:r>
        <w:rPr>
          <w:rFonts w:ascii="WP TypographicSymbols" w:hAnsi="WP TypographicSymbols"/>
        </w:rPr>
        <w:t></w:t>
      </w:r>
      <w:r>
        <w:rPr/>
        <w:t xml:space="preserve"> means the Federal Energy Regulatory Commission or any successor government agency.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rFonts w:ascii="WP TypographicSymbols" w:hAnsi="WP TypographicSymbols"/>
          <w:strike/>
        </w:rPr>
        <w:t></w:t>
      </w:r>
      <w:r>
        <w:rPr>
          <w:strike/>
        </w:rPr>
        <w:t>Guarantee</w:t>
      </w:r>
      <w:r>
        <w:rPr>
          <w:rFonts w:ascii="WP TypographicSymbols" w:hAnsi="WP TypographicSymbols"/>
          <w:strike/>
        </w:rPr>
        <w:t></w:t>
      </w:r>
      <w:r>
        <w:rPr>
          <w:strike/>
        </w:rPr>
        <w:t xml:space="preserve"> shall mean a guarantee issued by a parent company or another entity which benefits from providing such credit support to a Party, in a form satisfactory to the requesting Party, guaranteeing responsibility for all financial obligations associated with this Agreement and/or with respect to a particular Transaction</w:t>
      </w:r>
      <w:r>
        <w:rPr/>
        <w:t xml:space="preserve"> </w:t>
      </w:r>
      <w:r>
        <w:rPr>
          <w:u w:val="double"/>
        </w:rPr>
        <w:t>1.21</w:t>
        <w:tab/>
      </w:r>
      <w:r>
        <w:rPr>
          <w:rFonts w:ascii="WP TypographicSymbols" w:hAnsi="WP TypographicSymbols"/>
          <w:u w:val="double"/>
        </w:rPr>
        <w:t></w:t>
      </w:r>
      <w:r>
        <w:rPr>
          <w:u w:val="double"/>
        </w:rPr>
        <w:t>Force Majeure</w:t>
      </w:r>
      <w:r>
        <w:rPr>
          <w:rFonts w:ascii="WP TypographicSymbols" w:hAnsi="WP TypographicSymbols"/>
          <w:u w:val="double"/>
        </w:rPr>
        <w:t></w:t>
      </w:r>
      <w:r>
        <w:rPr>
          <w:u w:val="double"/>
        </w:rPr>
        <w:t xml:space="preserv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w:t>
      </w:r>
      <w:r>
        <w:rPr>
          <w:rFonts w:ascii="WP TypographicSymbols" w:hAnsi="WP TypographicSymbols"/>
          <w:u w:val="double"/>
        </w:rPr>
        <w:t></w:t>
      </w:r>
      <w:r>
        <w:rPr>
          <w:u w:val="double"/>
        </w:rPr>
        <w:t>Claiming Party</w:t>
      </w:r>
      <w:r>
        <w:rPr>
          <w:rFonts w:ascii="WP TypographicSymbols" w:hAnsi="WP TypographicSymbols"/>
          <w:u w:val="double"/>
        </w:rPr>
        <w:t></w:t>
      </w:r>
      <w:r>
        <w:rPr>
          <w:u w:val="double"/>
        </w:rPr>
        <w:t>),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w:t>
      </w:r>
      <w:r>
        <w:rPr>
          <w:rFonts w:ascii="WP TypographicSymbols" w:hAnsi="WP TypographicSymbols"/>
          <w:u w:val="double"/>
        </w:rPr>
        <w:t></w:t>
      </w:r>
      <w:r>
        <w:rPr>
          <w:u w:val="double"/>
        </w:rPr>
        <w:t>s supply; or (iv) Seller</w:t>
      </w:r>
      <w:r>
        <w:rPr>
          <w:rFonts w:ascii="WP TypographicSymbols" w:hAnsi="WP TypographicSymbols"/>
          <w:u w:val="double"/>
        </w:rPr>
        <w:t></w:t>
      </w:r>
      <w:r>
        <w:rPr>
          <w:u w:val="double"/>
        </w:rPr>
        <w:t xml:space="preserve">s ability to sell the Product at a more advantageous price.    Neither Party may raise a claim of Force Majuere based in whole or in part on interruption by a Transmission Provider unless (i) such Party has contracted for firm transmission with a Transmission Provider for transmission of the Product to be delivered to or received at the Delivery Point and (ii) such interruption is due to </w:t>
      </w:r>
      <w:r>
        <w:rPr>
          <w:rFonts w:ascii="WP TypographicSymbols" w:hAnsi="WP TypographicSymbols"/>
          <w:u w:val="double"/>
        </w:rPr>
        <w:t></w:t>
      </w:r>
      <w:r>
        <w:rPr>
          <w:u w:val="double"/>
        </w:rPr>
        <w:t>force majeure</w:t>
      </w:r>
      <w:r>
        <w:rPr>
          <w:rFonts w:ascii="WP TypographicSymbols" w:hAnsi="WP TypographicSymbols"/>
          <w:u w:val="double"/>
        </w:rPr>
        <w:t></w:t>
      </w:r>
      <w:r>
        <w:rPr>
          <w:u w:val="double"/>
        </w:rPr>
        <w:t xml:space="preserve"> or </w:t>
      </w:r>
      <w:r>
        <w:rPr>
          <w:rFonts w:ascii="WP TypographicSymbols" w:hAnsi="WP TypographicSymbols"/>
          <w:u w:val="double"/>
        </w:rPr>
        <w:t></w:t>
      </w:r>
      <w:r>
        <w:rPr>
          <w:u w:val="double"/>
        </w:rPr>
        <w:t>uncontrollable force</w:t>
      </w:r>
      <w:r>
        <w:rPr>
          <w:rFonts w:ascii="WP TypographicSymbols" w:hAnsi="WP TypographicSymbols"/>
          <w:u w:val="double"/>
        </w:rPr>
        <w:t></w:t>
      </w:r>
      <w:r>
        <w:rPr>
          <w:u w:val="double"/>
        </w:rPr>
        <w:t xml:space="preserve"> or a similar term as defined under the Transmission Provider</w:t>
      </w:r>
      <w:r>
        <w:rPr>
          <w:rFonts w:ascii="WP TypographicSymbols" w:hAnsi="WP TypographicSymbols"/>
          <w:u w:val="double"/>
        </w:rPr>
        <w:t></w:t>
      </w:r>
      <w:r>
        <w:rPr>
          <w:u w:val="double"/>
        </w:rPr>
        <w:t>s tariff</w:t>
      </w:r>
      <w:r>
        <w:rPr/>
        <w:t xml:space="preserve">; provided, however, that </w:t>
      </w:r>
      <w:r>
        <w:rPr>
          <w:strike/>
        </w:rPr>
        <w:t>said guarantor shall either (i) be rated a minimum of BBB or Baa2 by Standard &amp; Poor</w:t>
      </w:r>
      <w:r>
        <w:rPr>
          <w:rFonts w:ascii="WP TypographicSymbols" w:hAnsi="WP TypographicSymbols"/>
          <w:strike/>
        </w:rPr>
        <w:t></w:t>
      </w:r>
      <w:r>
        <w:rPr>
          <w:strike/>
        </w:rPr>
        <w:t>s or Moody</w:t>
      </w:r>
      <w:r>
        <w:rPr>
          <w:rFonts w:ascii="WP TypographicSymbols" w:hAnsi="WP TypographicSymbols"/>
          <w:strike/>
        </w:rPr>
        <w:t></w:t>
      </w:r>
      <w:r>
        <w:rPr>
          <w:strike/>
        </w:rPr>
        <w:t>s, respectively, or (ii) be acceptable to the requesting Party.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t>existence of the foregoing factors shall not be sufficient to demonstrate the existence of a Force Majuere unless other facts and circumstances of such event establish that the Claiming Party</w:t>
      </w:r>
      <w:r>
        <w:rPr>
          <w:rFonts w:ascii="WP TypographicSymbols" w:hAnsi="WP TypographicSymbols"/>
          <w:u w:val="double"/>
        </w:rPr>
        <w:t></w:t>
      </w:r>
      <w:r>
        <w:rPr>
          <w:u w:val="double"/>
        </w:rPr>
        <w:t xml:space="preserve">s performance was prevented thereby.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1.22</w:t>
        <w:tab/>
      </w:r>
      <w:r>
        <w:rPr>
          <w:rFonts w:ascii="WP TypographicSymbols" w:hAnsi="WP TypographicSymbols"/>
          <w:u w:val="double"/>
        </w:rPr>
        <w:t></w:t>
      </w:r>
      <w:r>
        <w:rPr>
          <w:u w:val="double"/>
        </w:rPr>
        <w:t>Gains</w:t>
      </w:r>
      <w:r>
        <w:rPr>
          <w:rFonts w:ascii="WP TypographicSymbols" w:hAnsi="WP TypographicSymbols"/>
          <w:u w:val="double"/>
        </w:rPr>
        <w:t></w:t>
      </w:r>
      <w:r>
        <w:rPr>
          <w:u w:val="double"/>
        </w:rPr>
        <w:t xml:space="preserve"> means, with respect to any Party, an amount equal to the present value of the economic benefit to it, if any (exclusive of Costs), resulting from the termination of its obligations with respect to a Terminated Transaction, determined in a commercially reasonable manner.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1.23</w:t>
        <w:tab/>
      </w:r>
      <w:r>
        <w:rPr>
          <w:rFonts w:ascii="WP TypographicSymbols" w:hAnsi="WP TypographicSymbols"/>
          <w:u w:val="double"/>
        </w:rPr>
        <w:t></w:t>
      </w:r>
      <w:r>
        <w:rPr>
          <w:u w:val="double"/>
        </w:rPr>
        <w:t>Guarantor</w:t>
      </w:r>
      <w:r>
        <w:rPr>
          <w:rFonts w:ascii="WP TypographicSymbols" w:hAnsi="WP TypographicSymbols"/>
          <w:u w:val="double"/>
        </w:rPr>
        <w:t></w:t>
      </w:r>
      <w:r>
        <w:rPr>
          <w:u w:val="double"/>
        </w:rPr>
        <w:t xml:space="preserve"> means, with respect to a Party, the guarantor, if any, specified for such Party on the Cover Sheet.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1.24</w:t>
      </w:r>
      <w:r>
        <w:rPr/>
        <w:tab/>
      </w:r>
      <w:r>
        <w:rPr>
          <w:rFonts w:ascii="WP TypographicSymbols" w:hAnsi="WP TypographicSymbols"/>
        </w:rPr>
        <w:t></w:t>
      </w:r>
      <w:r>
        <w:rPr/>
        <w:t>Interest Rate</w:t>
      </w:r>
      <w:r>
        <w:rPr>
          <w:rFonts w:ascii="WP TypographicSymbols" w:hAnsi="WP TypographicSymbols"/>
        </w:rPr>
        <w:t></w:t>
      </w:r>
      <w:r>
        <w:rPr/>
        <w:t xml:space="preserve"> means, for any date, the lesser of (a) two (2) percent over the per annum rate of interest equal to the prime lending rate as may from time to time be published in </w:t>
      </w:r>
      <w:r>
        <w:rPr>
          <w:i/>
          <w:strike/>
        </w:rPr>
        <w:t>the</w:t>
      </w:r>
      <w:r>
        <w:rPr>
          <w:i/>
        </w:rPr>
        <w:t xml:space="preserve"> </w:t>
      </w:r>
      <w:r>
        <w:rPr>
          <w:i/>
          <w:u w:val="double"/>
        </w:rPr>
        <w:t>The</w:t>
      </w:r>
      <w:r>
        <w:rPr/>
        <w:t xml:space="preserve"> </w:t>
      </w:r>
      <w:r>
        <w:rPr>
          <w:i/>
        </w:rPr>
        <w:t>Wall Street Journal</w:t>
      </w:r>
      <w:r>
        <w:rPr/>
        <w:t xml:space="preserve"> under </w:t>
      </w:r>
      <w:r>
        <w:rPr>
          <w:rFonts w:ascii="WP TypographicSymbols" w:hAnsi="WP TypographicSymbols"/>
        </w:rPr>
        <w:t></w:t>
      </w:r>
      <w:r>
        <w:rPr/>
        <w:t>Money Rates</w:t>
      </w:r>
      <w:r>
        <w:rPr>
          <w:rFonts w:ascii="WP TypographicSymbols" w:hAnsi="WP TypographicSymbols"/>
        </w:rPr>
        <w:t></w:t>
      </w:r>
      <w:r>
        <w:rPr/>
        <w:t xml:space="preserve"> </w:t>
      </w:r>
      <w:r>
        <w:rPr>
          <w:u w:val="double"/>
        </w:rPr>
        <w:t>on such day (or if not published on such day on the most recent preceding day on which published), plus two percent (2%)</w:t>
      </w:r>
      <w:r>
        <w:rPr/>
        <w:t xml:space="preserve"> and (b) the maximum rate permitted by applicable law.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rFonts w:ascii="WP TypographicSymbols" w:hAnsi="WP TypographicSymbols"/>
          <w:strike/>
        </w:rPr>
        <w:t></w:t>
      </w:r>
      <w:r>
        <w:rPr>
          <w:strike/>
        </w:rPr>
        <w:t>Letter</w:t>
      </w:r>
      <w:r>
        <w:rPr/>
        <w:t xml:space="preserve"> </w:t>
      </w:r>
      <w:r>
        <w:rPr>
          <w:u w:val="double"/>
        </w:rPr>
        <w:t>1.25</w:t>
        <w:tab/>
      </w:r>
      <w:r>
        <w:rPr>
          <w:rFonts w:ascii="WP TypographicSymbols" w:hAnsi="WP TypographicSymbols"/>
          <w:u w:val="double"/>
        </w:rPr>
        <w:t></w:t>
      </w:r>
      <w:r>
        <w:rPr>
          <w:u w:val="double"/>
        </w:rPr>
        <w:t>Letter(s)</w:t>
      </w:r>
      <w:r>
        <w:rPr/>
        <w:t xml:space="preserve"> of Credit</w:t>
      </w:r>
      <w:r>
        <w:rPr>
          <w:rFonts w:ascii="WP TypographicSymbols" w:hAnsi="WP TypographicSymbols"/>
        </w:rPr>
        <w:t></w:t>
      </w:r>
      <w:r>
        <w:rPr/>
        <w:t xml:space="preserve"> </w:t>
      </w:r>
      <w:r>
        <w:rPr>
          <w:strike/>
        </w:rPr>
        <w:t>shall mean an</w:t>
      </w:r>
      <w:r>
        <w:rPr/>
        <w:t xml:space="preserve"> </w:t>
      </w:r>
      <w:r>
        <w:rPr>
          <w:u w:val="double"/>
        </w:rPr>
        <w:t>means one or more</w:t>
      </w:r>
      <w:r>
        <w:rPr/>
        <w:t xml:space="preserve"> irrevocable, transferable</w:t>
      </w:r>
      <w:r>
        <w:rPr>
          <w:strike/>
        </w:rPr>
        <w:t>,</w:t>
      </w:r>
      <w:r>
        <w:rPr/>
        <w:t xml:space="preserve"> standby </w:t>
      </w:r>
      <w:r>
        <w:rPr>
          <w:strike/>
        </w:rPr>
        <w:t>letter</w:t>
      </w:r>
      <w:r>
        <w:rPr/>
        <w:t xml:space="preserve"> </w:t>
      </w:r>
      <w:r>
        <w:rPr>
          <w:u w:val="double"/>
        </w:rPr>
        <w:t>letters</w:t>
      </w:r>
      <w:r>
        <w:rPr/>
        <w:t xml:space="preserve"> of credit</w:t>
      </w:r>
      <w:r>
        <w:rPr>
          <w:strike/>
        </w:rPr>
        <w:t>,</w:t>
      </w:r>
      <w:r>
        <w:rPr/>
        <w:t xml:space="preserve"> issued by a U.S. commercial bank </w:t>
      </w:r>
      <w:r>
        <w:rPr>
          <w:u w:val="double"/>
        </w:rPr>
        <w:t>with such bank having a credit rating of at least A</w:t>
        <w:noBreakHyphen/>
        <w:t xml:space="preserve"> from S&amp;P or A3 from Moody</w:t>
      </w:r>
      <w:r>
        <w:rPr>
          <w:rFonts w:ascii="WP TypographicSymbols" w:hAnsi="WP TypographicSymbols"/>
          <w:u w:val="double"/>
        </w:rPr>
        <w:t></w:t>
      </w:r>
      <w:r>
        <w:rPr>
          <w:u w:val="double"/>
        </w:rPr>
        <w:t>s, in a form</w:t>
      </w:r>
      <w:r>
        <w:rPr/>
        <w:t xml:space="preserve"> acceptable to the Party </w:t>
      </w:r>
      <w:r>
        <w:rPr>
          <w:strike/>
        </w:rPr>
        <w:t>that is requesting said letter of credit.</w:t>
      </w:r>
      <w:r>
        <w:rPr/>
        <w:t xml:space="preserve"> </w:t>
      </w:r>
      <w:r>
        <w:rPr>
          <w:u w:val="double"/>
        </w:rPr>
        <w:t>in whose favor the letter of credit is issued.</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rFonts w:ascii="WP TypographicSymbols" w:hAnsi="WP TypographicSymbols"/>
          <w:strike/>
        </w:rPr>
        <w:t></w:t>
      </w:r>
      <w:r>
        <w:rPr>
          <w:strike/>
        </w:rPr>
        <w:t>Price</w:t>
      </w:r>
      <w:r>
        <w:rPr>
          <w:rFonts w:ascii="WP TypographicSymbols" w:hAnsi="WP TypographicSymbols"/>
          <w:strike/>
        </w:rPr>
        <w:t></w:t>
      </w:r>
      <w:r>
        <w:rPr>
          <w:strike/>
        </w:rPr>
        <w:t xml:space="preserve"> means the price to be paid by Buyer to Seller for the purchase of the Product.</w:t>
      </w:r>
      <w:r>
        <w:rPr/>
        <w:t xml:space="preserve"> </w:t>
      </w:r>
      <w:r>
        <w:rPr>
          <w:u w:val="double"/>
        </w:rPr>
        <w:t>1.26</w:t>
        <w:tab/>
      </w:r>
      <w:r>
        <w:rPr>
          <w:rFonts w:ascii="WP TypographicSymbols" w:hAnsi="WP TypographicSymbols"/>
          <w:u w:val="double"/>
        </w:rPr>
        <w:t></w:t>
      </w:r>
      <w:r>
        <w:rPr>
          <w:u w:val="double"/>
        </w:rPr>
        <w:t>Losses</w:t>
      </w:r>
      <w:r>
        <w:rPr>
          <w:rFonts w:ascii="WP TypographicSymbols" w:hAnsi="WP TypographicSymbols"/>
          <w:u w:val="double"/>
        </w:rPr>
        <w:t></w:t>
      </w:r>
      <w:r>
        <w:rPr>
          <w:u w:val="double"/>
        </w:rPr>
        <w:t xml:space="preserve"> means, with respect to any Party, an amount equal to the present value of the economic loss to it, if any (exclusive of Costs),    resulting from the termination of its obligations with respect to a Terminated Transaction, determined in a commercially reasonable manner. 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7920" w:start="9360"/>
        <w:jc w:val="both"/>
        <w:rPr>
          <w:u w:val="double"/>
        </w:rPr>
      </w:pPr>
      <w:r>
        <w:rPr>
          <w:rFonts w:ascii="WP TypographicSymbols" w:hAnsi="WP TypographicSymbols"/>
          <w:strike/>
        </w:rPr>
        <w:t></w:t>
      </w:r>
      <w:r>
        <w:rPr>
          <w:strike/>
        </w:rPr>
        <w:t>Product</w:t>
      </w:r>
      <w:r>
        <w:rPr>
          <w:rFonts w:ascii="WP TypographicSymbols" w:hAnsi="WP TypographicSymbols"/>
          <w:strike/>
        </w:rPr>
        <w:t></w:t>
      </w:r>
      <w:r>
        <w:rPr>
          <w:strike/>
        </w:rPr>
        <w:t xml:space="preserve"> means the product bought and sold pursuant to any Transaction, which may be designated in any Transaction by referring</w:t>
      </w:r>
      <w:r>
        <w:rPr/>
        <w:t xml:space="preserve"> </w:t>
      </w:r>
      <w:r>
        <w:rPr>
          <w:u w:val="double"/>
        </w:rPr>
        <w:t>1.27</w:t>
        <w:tab/>
        <w:t xml:space="preserve">"Master Agreement" has the meaning set forth on the Cover Sheet.    </w:t>
        <w:tab/>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1.28</w:t>
        <w:tab/>
      </w:r>
      <w:r>
        <w:rPr>
          <w:rFonts w:ascii="WP TypographicSymbols" w:hAnsi="WP TypographicSymbols"/>
          <w:u w:val="double"/>
        </w:rPr>
        <w:t></w:t>
      </w:r>
      <w:r>
        <w:rPr>
          <w:u w:val="double"/>
        </w:rPr>
        <w:t>Moody</w:t>
      </w:r>
      <w:r>
        <w:rPr>
          <w:rFonts w:ascii="WP TypographicSymbols" w:hAnsi="WP TypographicSymbols"/>
          <w:u w:val="double"/>
        </w:rPr>
        <w:t></w:t>
      </w:r>
      <w:r>
        <w:rPr>
          <w:u w:val="double"/>
        </w:rPr>
        <w:t>s</w:t>
      </w:r>
      <w:r>
        <w:rPr>
          <w:rFonts w:ascii="WP TypographicSymbols" w:hAnsi="WP TypographicSymbols"/>
          <w:u w:val="double"/>
        </w:rPr>
        <w:t></w:t>
      </w:r>
      <w:r>
        <w:rPr>
          <w:u w:val="double"/>
        </w:rPr>
        <w:t xml:space="preserve"> means Moody</w:t>
      </w:r>
      <w:r>
        <w:rPr>
          <w:rFonts w:ascii="WP TypographicSymbols" w:hAnsi="WP TypographicSymbols"/>
          <w:u w:val="double"/>
        </w:rPr>
        <w:t></w:t>
      </w:r>
      <w:r>
        <w:rPr>
          <w:u w:val="double"/>
        </w:rPr>
        <w:t xml:space="preserve">s Investor Services, Inc. or its successor. 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1.29</w:t>
        <w:tab/>
      </w:r>
      <w:r>
        <w:rPr>
          <w:rFonts w:ascii="WP TypographicSymbols" w:hAnsi="WP TypographicSymbols"/>
          <w:u w:val="double"/>
        </w:rPr>
        <w:t></w:t>
      </w:r>
      <w:r>
        <w:rPr>
          <w:u w:val="double"/>
        </w:rPr>
        <w:t>Non</w:t>
        <w:noBreakHyphen/>
        <w:t>Defaulting Party</w:t>
      </w:r>
      <w:r>
        <w:rPr>
          <w:rFonts w:ascii="WP TypographicSymbols" w:hAnsi="WP TypographicSymbols"/>
          <w:u w:val="double"/>
        </w:rPr>
        <w:t></w:t>
      </w:r>
      <w:r>
        <w:rPr>
          <w:u w:val="double"/>
        </w:rPr>
        <w:t xml:space="preserve"> has the meaning set forth in Section 5.2.</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1.30</w:t>
        <w:tab/>
      </w:r>
      <w:r>
        <w:rPr>
          <w:rFonts w:ascii="WP TypographicSymbols" w:hAnsi="WP TypographicSymbols"/>
          <w:u w:val="double"/>
        </w:rPr>
        <w:t></w:t>
      </w:r>
      <w:r>
        <w:rPr>
          <w:u w:val="double"/>
        </w:rPr>
        <w:t>Option Buyer</w:t>
      </w:r>
      <w:r>
        <w:rPr>
          <w:rFonts w:ascii="WP TypographicSymbols" w:hAnsi="WP TypographicSymbols"/>
          <w:u w:val="double"/>
        </w:rPr>
        <w:t></w:t>
      </w:r>
      <w:r>
        <w:rPr>
          <w:u w:val="double"/>
        </w:rPr>
        <w:t xml:space="preserve"> shall mean the Party specified in a Transaction as the purchaser of an Option.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1.31</w:t>
        <w:tab/>
      </w:r>
      <w:r>
        <w:rPr>
          <w:rFonts w:ascii="WP TypographicSymbols" w:hAnsi="WP TypographicSymbols"/>
          <w:u w:val="double"/>
        </w:rPr>
        <w:t></w:t>
      </w:r>
      <w:r>
        <w:rPr>
          <w:u w:val="double"/>
        </w:rPr>
        <w:t>Option Seller</w:t>
      </w:r>
      <w:r>
        <w:rPr>
          <w:rFonts w:ascii="WP TypographicSymbols" w:hAnsi="WP TypographicSymbols"/>
          <w:u w:val="double"/>
        </w:rPr>
        <w:t></w:t>
      </w:r>
      <w:r>
        <w:rPr>
          <w:u w:val="double"/>
        </w:rPr>
        <w:t xml:space="preserve"> shall mean the Party specified in a Transaction as the seller of an Option.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1.32</w:t>
        <w:tab/>
      </w:r>
      <w:r>
        <w:rPr>
          <w:rFonts w:ascii="WP TypographicSymbols" w:hAnsi="WP TypographicSymbols"/>
          <w:u w:val="double"/>
        </w:rPr>
        <w:t></w:t>
      </w:r>
      <w:r>
        <w:rPr>
          <w:u w:val="double"/>
        </w:rPr>
        <w:t>Party A Exposure Amount</w:t>
      </w:r>
      <w:r>
        <w:rPr>
          <w:rFonts w:ascii="WP TypographicSymbols" w:hAnsi="WP TypographicSymbols"/>
          <w:u w:val="double"/>
        </w:rPr>
        <w:t></w:t>
      </w:r>
      <w:r>
        <w:rPr>
          <w:u w:val="double"/>
        </w:rPr>
        <w:t xml:space="preserve"> shall mean the exposure amount, if any, set forth in the Cover Sheet for Party A.</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1.33</w:t>
        <w:tab/>
      </w:r>
      <w:r>
        <w:rPr>
          <w:rFonts w:ascii="WP TypographicSymbols" w:hAnsi="WP TypographicSymbols"/>
          <w:u w:val="double"/>
        </w:rPr>
        <w:t></w:t>
      </w:r>
      <w:r>
        <w:rPr>
          <w:u w:val="double"/>
        </w:rPr>
        <w:t>Party B Exposure Amount</w:t>
      </w:r>
      <w:r>
        <w:rPr>
          <w:rFonts w:ascii="WP TypographicSymbols" w:hAnsi="WP TypographicSymbols"/>
          <w:u w:val="double"/>
        </w:rPr>
        <w:t></w:t>
      </w:r>
      <w:r>
        <w:rPr>
          <w:u w:val="double"/>
        </w:rPr>
        <w:t xml:space="preserve"> shall mean the exposure amount, if any, set forth in the Cover Sheet for Party B.</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1.34</w:t>
        <w:tab/>
      </w:r>
      <w:r>
        <w:rPr>
          <w:rFonts w:ascii="WP TypographicSymbols" w:hAnsi="WP TypographicSymbols"/>
          <w:u w:val="double"/>
        </w:rPr>
        <w:t></w:t>
      </w:r>
      <w:r>
        <w:rPr>
          <w:u w:val="double"/>
        </w:rPr>
        <w:t>Party A Tariff</w:t>
      </w:r>
      <w:r>
        <w:rPr>
          <w:rFonts w:ascii="WP TypographicSymbols" w:hAnsi="WP TypographicSymbols"/>
          <w:u w:val="double"/>
        </w:rPr>
        <w:t></w:t>
      </w:r>
      <w:r>
        <w:rPr>
          <w:u w:val="double"/>
        </w:rPr>
        <w:t xml:space="preserve"> means the tariff specified in the Cover Sheet for Party A.</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1.35</w:t>
        <w:tab/>
      </w:r>
      <w:r>
        <w:rPr>
          <w:rFonts w:ascii="WP TypographicSymbols" w:hAnsi="WP TypographicSymbols"/>
          <w:u w:val="double"/>
        </w:rPr>
        <w:t></w:t>
      </w:r>
      <w:r>
        <w:rPr>
          <w:u w:val="double"/>
        </w:rPr>
        <w:t>Party B Tariff</w:t>
      </w:r>
      <w:r>
        <w:rPr>
          <w:rFonts w:ascii="WP TypographicSymbols" w:hAnsi="WP TypographicSymbols"/>
          <w:u w:val="double"/>
        </w:rPr>
        <w:t></w:t>
      </w:r>
      <w:r>
        <w:rPr>
          <w:u w:val="double"/>
        </w:rPr>
        <w:t xml:space="preserve"> means the tariff specified in the Cover Sheet for Party B.</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1.36</w:t>
        <w:tab/>
      </w:r>
      <w:r>
        <w:rPr>
          <w:rFonts w:ascii="WP TypographicSymbols" w:hAnsi="WP TypographicSymbols"/>
          <w:u w:val="double"/>
        </w:rPr>
        <w:t></w:t>
      </w:r>
      <w:r>
        <w:rPr>
          <w:u w:val="double"/>
        </w:rPr>
        <w:t>Performance Assurance</w:t>
      </w:r>
      <w:r>
        <w:rPr>
          <w:rFonts w:ascii="WP TypographicSymbols" w:hAnsi="WP TypographicSymbols"/>
          <w:u w:val="double"/>
        </w:rPr>
        <w:t></w:t>
      </w:r>
      <w:r>
        <w:rPr>
          <w:u w:val="double"/>
        </w:rPr>
        <w:t xml:space="preserve"> means collateral in the form of either cash, Letter(s) of Credit,    or other security acceptable to the requesting Party. 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1.37</w:t>
        <w:tab/>
      </w:r>
      <w:r>
        <w:rPr>
          <w:rFonts w:ascii="WP TypographicSymbols" w:hAnsi="WP TypographicSymbols"/>
          <w:u w:val="double"/>
        </w:rPr>
        <w:t></w:t>
      </w:r>
      <w:r>
        <w:rPr>
          <w:u w:val="double"/>
        </w:rPr>
        <w:t>Potential Event of Default</w:t>
      </w:r>
      <w:r>
        <w:rPr>
          <w:rFonts w:ascii="WP TypographicSymbols" w:hAnsi="WP TypographicSymbols"/>
          <w:u w:val="double"/>
        </w:rPr>
        <w:t></w:t>
      </w:r>
      <w:r>
        <w:rPr>
          <w:u w:val="double"/>
        </w:rPr>
        <w:t xml:space="preserve"> means an event which with notice or passage of time or both would constitute an Event Of Default.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1.38</w:t>
        <w:tab/>
      </w:r>
      <w:r>
        <w:rPr>
          <w:rFonts w:ascii="WP TypographicSymbols" w:hAnsi="WP TypographicSymbols"/>
          <w:u w:val="double"/>
        </w:rPr>
        <w:t></w:t>
      </w:r>
      <w:r>
        <w:rPr>
          <w:u w:val="double"/>
        </w:rPr>
        <w:t>Product</w:t>
      </w:r>
      <w:r>
        <w:rPr>
          <w:rFonts w:ascii="WP TypographicSymbols" w:hAnsi="WP TypographicSymbols"/>
          <w:u w:val="double"/>
        </w:rPr>
        <w:t></w:t>
      </w:r>
      <w:r>
        <w:rPr>
          <w:u w:val="double"/>
        </w:rPr>
        <w:t xml:space="preserve"> means electric energy or other product(s) related thereto which are the subject of a Transaction as specified in a Transaction by reference</w:t>
      </w:r>
      <w:r>
        <w:rPr/>
        <w:t xml:space="preserve"> to a Product listed in Schedule P </w:t>
      </w:r>
      <w:r>
        <w:rPr>
          <w:strike/>
        </w:rPr>
        <w:noBreakHyphen/>
        <w:t xml:space="preserve"> Products attached</w:t>
      </w:r>
      <w:r>
        <w:rPr/>
        <w:t xml:space="preserve"> hereto</w:t>
      </w:r>
      <w:r>
        <w:rPr>
          <w:strike/>
        </w:rPr>
        <w:t>,</w:t>
      </w:r>
      <w:r>
        <w:rPr/>
        <w:t xml:space="preserve"> or as </w:t>
      </w:r>
      <w:r>
        <w:rPr>
          <w:strike/>
        </w:rPr>
        <w:t>may be agreed</w:t>
      </w:r>
      <w:r>
        <w:rPr/>
        <w:t xml:space="preserve"> </w:t>
      </w:r>
      <w:r>
        <w:rPr>
          <w:u w:val="double"/>
        </w:rPr>
        <w:t>otherwise specified</w:t>
      </w:r>
      <w:r>
        <w:rPr/>
        <w:t xml:space="preserve"> by the Parties in any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1.39</w:t>
      </w:r>
      <w:r>
        <w:rPr/>
        <w:tab/>
      </w:r>
      <w:r>
        <w:rPr>
          <w:rFonts w:ascii="WP TypographicSymbols" w:hAnsi="WP TypographicSymbols"/>
        </w:rPr>
        <w:t></w:t>
      </w:r>
      <w:r>
        <w:rPr/>
        <w:t>Quantity</w:t>
      </w:r>
      <w:r>
        <w:rPr>
          <w:rFonts w:ascii="WP TypographicSymbols" w:hAnsi="WP TypographicSymbols"/>
        </w:rPr>
        <w:t></w:t>
      </w:r>
      <w:r>
        <w:rPr/>
        <w:t xml:space="preserve"> means that quantity of the Product that Seller agrees to make available or sell and deliver, or cause to be delivered, to Buyer, and that Buyer agrees to purchase and receive, or cause to be received, from Seller pursuant to the terms of a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1.40</w:t>
        <w:tab/>
      </w:r>
      <w:r>
        <w:rPr>
          <w:rFonts w:ascii="WP TypographicSymbols" w:hAnsi="WP TypographicSymbols"/>
          <w:u w:val="double"/>
        </w:rPr>
        <w:t></w:t>
      </w:r>
      <w:r>
        <w:rPr>
          <w:u w:val="double"/>
        </w:rPr>
        <w:t>Recording</w:t>
      </w:r>
      <w:r>
        <w:rPr>
          <w:rFonts w:ascii="WP TypographicSymbols" w:hAnsi="WP TypographicSymbols"/>
          <w:u w:val="double"/>
        </w:rPr>
        <w:t></w:t>
      </w:r>
      <w:r>
        <w:rPr>
          <w:u w:val="double"/>
        </w:rPr>
        <w:t xml:space="preserve"> has the meaning set forth in Section 2.4. 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1.41</w:t>
      </w:r>
      <w:r>
        <w:rPr/>
        <w:tab/>
      </w:r>
      <w:r>
        <w:rPr>
          <w:rFonts w:ascii="WP TypographicSymbols" w:hAnsi="WP TypographicSymbols"/>
        </w:rPr>
        <w:t></w:t>
      </w:r>
      <w:r>
        <w:rPr/>
        <w:t>Replacement Price</w:t>
      </w:r>
      <w:r>
        <w:rPr>
          <w:rFonts w:ascii="WP TypographicSymbols" w:hAnsi="WP TypographicSymbols"/>
        </w:rPr>
        <w:t></w:t>
      </w:r>
      <w:r>
        <w:rPr/>
        <w:t xml:space="preserve"> means the price at which Buyer, acting in a commercially reasonable manner, purchases </w:t>
      </w:r>
      <w:r>
        <w:rPr>
          <w:u w:val="double"/>
        </w:rPr>
        <w:t>a</w:t>
      </w:r>
      <w:r>
        <w:rPr/>
        <w:t xml:space="preserve"> substitute </w:t>
      </w:r>
      <w:r>
        <w:rPr>
          <w:u w:val="double"/>
        </w:rPr>
        <w:t>for any</w:t>
      </w:r>
      <w:r>
        <w:rPr/>
        <w:t xml:space="preserve"> Product not delivered by Seller (plus </w:t>
      </w:r>
      <w:r>
        <w:rPr>
          <w:strike/>
        </w:rPr>
        <w:t xml:space="preserve">or minus any increase or decrease in </w:t>
      </w:r>
      <w:r>
        <w:rPr>
          <w:u w:val="double"/>
        </w:rPr>
        <w:t>amounts reasonably incurred by Buyer in purchasing such substitute Product including additional</w:t>
      </w:r>
      <w:r>
        <w:rPr/>
        <w:t xml:space="preserve"> transmission charges</w:t>
      </w:r>
      <w:r>
        <w:rPr>
          <w:u w:val="double"/>
        </w:rPr>
        <w:t>, if any,</w:t>
      </w:r>
      <w:r>
        <w:rPr/>
        <w:t xml:space="preserve"> incurred by Buyer to the Delivery Point) or, </w:t>
      </w:r>
      <w:r>
        <w:rPr>
          <w:strike/>
        </w:rPr>
        <w:t>absent such a purchase</w:t>
      </w:r>
      <w:r>
        <w:rPr/>
        <w:t xml:space="preserve"> </w:t>
      </w:r>
      <w:r>
        <w:rPr>
          <w:u w:val="double"/>
        </w:rPr>
        <w:t>at Buyer</w:t>
      </w:r>
      <w:r>
        <w:rPr>
          <w:rFonts w:ascii="WP TypographicSymbols" w:hAnsi="WP TypographicSymbols"/>
          <w:u w:val="double"/>
        </w:rPr>
        <w:t></w:t>
      </w:r>
      <w:r>
        <w:rPr>
          <w:u w:val="double"/>
        </w:rPr>
        <w:t>s option</w:t>
      </w:r>
      <w:r>
        <w:rPr/>
        <w:t xml:space="preserve">, the market price for such </w:t>
      </w:r>
      <w:r>
        <w:rPr>
          <w:strike/>
        </w:rPr>
        <w:t>Quantity</w:t>
      </w:r>
      <w:r>
        <w:rPr/>
        <w:t xml:space="preserve"> </w:t>
      </w:r>
      <w:r>
        <w:rPr>
          <w:u w:val="double"/>
        </w:rPr>
        <w:t>Product not</w:t>
      </w:r>
      <w:r>
        <w:rPr/>
        <w:t xml:space="preserve"> delivered </w:t>
      </w:r>
      <w:r>
        <w:rPr>
          <w:strike/>
        </w:rPr>
        <w:t>to</w:t>
      </w:r>
      <w:r>
        <w:rPr/>
        <w:t xml:space="preserve"> </w:t>
      </w:r>
      <w:r>
        <w:rPr>
          <w:u w:val="double"/>
        </w:rPr>
        <w:t>at</w:t>
      </w:r>
      <w:r>
        <w:rPr/>
        <w:t xml:space="preserve"> the Delivery Point as determined by Buyer in a commercially reasonable manner</w:t>
      </w:r>
      <w:r>
        <w:rPr>
          <w:u w:val="double"/>
        </w:rPr>
        <w:t>; provided however, in no event shall such price include any penalties, ratcheted demand or similar charges. For the purposes of this definition, Buyer shall be considered to have purchased substitute Product to the extent Buyer shall have entered into one or more arrangements in a commercially reasonable manner whereby Buyer repurchases, its obligation to sell and deliver the Product at the Delivery Point.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1.42</w:t>
        <w:tab/>
      </w:r>
      <w:r>
        <w:rPr>
          <w:rFonts w:ascii="WP TypographicSymbols" w:hAnsi="WP TypographicSymbols"/>
          <w:u w:val="double"/>
        </w:rPr>
        <w:t></w:t>
      </w:r>
      <w:r>
        <w:rPr>
          <w:u w:val="double"/>
        </w:rPr>
        <w:t>Rounding Amount</w:t>
      </w:r>
      <w:r>
        <w:rPr>
          <w:rFonts w:ascii="WP TypographicSymbols" w:hAnsi="WP TypographicSymbols"/>
          <w:u w:val="double"/>
        </w:rPr>
        <w:t></w:t>
      </w:r>
      <w:r>
        <w:rPr>
          <w:u w:val="double"/>
        </w:rPr>
        <w:t xml:space="preserve"> means the amount set forth in the Cover Sheet.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1.43</w:t>
        <w:tab/>
      </w:r>
      <w:r>
        <w:rPr>
          <w:rFonts w:ascii="WP TypographicSymbols" w:hAnsi="WP TypographicSymbols"/>
          <w:u w:val="double"/>
        </w:rPr>
        <w:t></w:t>
      </w:r>
      <w:r>
        <w:rPr>
          <w:u w:val="double"/>
        </w:rPr>
        <w:t>S&amp;P</w:t>
      </w:r>
      <w:r>
        <w:rPr>
          <w:rFonts w:ascii="WP TypographicSymbols" w:hAnsi="WP TypographicSymbols"/>
          <w:u w:val="double"/>
        </w:rPr>
        <w:t></w:t>
      </w:r>
      <w:r>
        <w:rPr>
          <w:u w:val="double"/>
        </w:rPr>
        <w:t xml:space="preserve"> means the Standard &amp; Poor</w:t>
      </w:r>
      <w:r>
        <w:rPr>
          <w:rFonts w:ascii="WP TypographicSymbols" w:hAnsi="WP TypographicSymbols"/>
          <w:u w:val="double"/>
        </w:rPr>
        <w:t></w:t>
      </w:r>
      <w:r>
        <w:rPr>
          <w:u w:val="double"/>
        </w:rPr>
        <w:t>s Rating Group (a division of McGraw</w:t>
        <w:noBreakHyphen/>
        <w:t xml:space="preserve">Hill, Inc.) or its successor. 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u w:val="double"/>
        </w:rPr>
        <w:t>1.44</w:t>
      </w:r>
      <w:r>
        <w:rPr>
          <w:strik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rFonts w:ascii="WP TypographicSymbols" w:hAnsi="WP TypographicSymbols"/>
        </w:rPr>
        <w:t></w:t>
      </w:r>
      <w:r>
        <w:rPr/>
        <w:t>Sales Price</w:t>
      </w:r>
      <w:r>
        <w:rPr>
          <w:rFonts w:ascii="WP TypographicSymbols" w:hAnsi="WP TypographicSymbols"/>
        </w:rPr>
        <w:t></w:t>
      </w:r>
      <w:r>
        <w:rPr/>
        <w:t xml:space="preserve"> means the price at which Seller, acting in a commercially reasonable manner, resells </w:t>
      </w:r>
      <w:r>
        <w:rPr>
          <w:strike/>
        </w:rPr>
        <w:t>the Product not accepted by Buyer (including</w:t>
      </w:r>
      <w:r>
        <w:rPr/>
        <w:t xml:space="preserve"> </w:t>
      </w:r>
      <w:r>
        <w:rPr>
          <w:u w:val="double"/>
        </w:rPr>
        <w:t>any Product not received by Buyer (excluding costs reasonably incurred by Seller in reselling such Product, and excluding</w:t>
      </w:r>
      <w:r>
        <w:rPr/>
        <w:t xml:space="preserve"> additional transmission charges, if any, incurred by Seller in delivering such Product to the third party purchasers) or</w:t>
      </w:r>
      <w:r>
        <w:rPr>
          <w:strike/>
        </w:rPr>
        <w:t>, absent such a resale</w:t>
      </w:r>
      <w:r>
        <w:rPr/>
        <w:t xml:space="preserve"> </w:t>
      </w:r>
      <w:r>
        <w:rPr>
          <w:u w:val="double"/>
        </w:rPr>
        <w:t>at Seller</w:t>
      </w:r>
      <w:r>
        <w:rPr>
          <w:rFonts w:ascii="WP TypographicSymbols" w:hAnsi="WP TypographicSymbols"/>
          <w:u w:val="double"/>
        </w:rPr>
        <w:t></w:t>
      </w:r>
      <w:r>
        <w:rPr>
          <w:u w:val="double"/>
        </w:rPr>
        <w:t>s option</w:t>
      </w:r>
      <w:r>
        <w:rPr/>
        <w:t xml:space="preserve">, the market price for such </w:t>
      </w:r>
      <w:r>
        <w:rPr>
          <w:strike/>
        </w:rPr>
        <w:t>Quantity delivered to</w:t>
      </w:r>
      <w:r>
        <w:rPr/>
        <w:t xml:space="preserve"> </w:t>
      </w:r>
      <w:r>
        <w:rPr>
          <w:u w:val="double"/>
        </w:rPr>
        <w:t>Product not received at</w:t>
      </w:r>
      <w:r>
        <w:rPr/>
        <w:t xml:space="preserve"> the Delivery Point as determined by Seller in a commercially reasonable manner</w:t>
      </w:r>
      <w:r>
        <w:rPr>
          <w:u w:val="double"/>
        </w:rPr>
        <w:t>; provided however, in no event shall such price include any penalties, ratcheted demand or similar charges, nor shall a Party be required to utilize or change its utilization of its owned or controlled assets, including contractual assets, or market positions to minimize the other Party</w:t>
      </w:r>
      <w:r>
        <w:rPr>
          <w:rFonts w:ascii="WP TypographicSymbols" w:hAnsi="WP TypographicSymbols"/>
          <w:u w:val="double"/>
        </w:rPr>
        <w:t></w:t>
      </w:r>
      <w:r>
        <w:rPr>
          <w:u w:val="double"/>
        </w:rPr>
        <w:t>s liability for damages.    For purposes of this definition, Seller shall be considered to have resold such Product to the extent Seller shall have entered into one or more arrangements in a commercially reasonable manner whereby Seller repurchases its obligation to purchase and receive the Product at the Delivery Point.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u w:val="double"/>
        </w:rPr>
        <w:t>1.45</w:t>
      </w:r>
      <w:r>
        <w:rPr>
          <w:strik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rFonts w:ascii="WP TypographicSymbols" w:hAnsi="WP TypographicSymbols"/>
        </w:rPr>
        <w:t></w:t>
      </w:r>
      <w:r>
        <w:rPr/>
        <w:t>Schedule</w:t>
      </w:r>
      <w:r>
        <w:rPr>
          <w:rFonts w:ascii="WP TypographicSymbols" w:hAnsi="WP TypographicSymbols"/>
        </w:rPr>
        <w:t></w:t>
      </w:r>
      <w:r>
        <w:rPr/>
        <w:t xml:space="preserve"> or </w:t>
      </w:r>
      <w:r>
        <w:rPr>
          <w:rFonts w:ascii="WP TypographicSymbols" w:hAnsi="WP TypographicSymbols"/>
        </w:rPr>
        <w:t></w:t>
      </w:r>
      <w:r>
        <w:rPr/>
        <w:t>Scheduling</w:t>
      </w:r>
      <w:r>
        <w:rPr>
          <w:rFonts w:ascii="WP TypographicSymbols" w:hAnsi="WP TypographicSymbols"/>
        </w:rPr>
        <w:t></w:t>
      </w:r>
      <w:r>
        <w:rPr/>
        <w:t xml:space="preserve"> means the </w:t>
      </w:r>
      <w:r>
        <w:rPr>
          <w:strike/>
        </w:rPr>
        <w:t>acts</w:t>
      </w:r>
      <w:r>
        <w:rPr/>
        <w:t xml:space="preserve"> </w:t>
      </w:r>
      <w:r>
        <w:rPr>
          <w:u w:val="double"/>
        </w:rPr>
        <w:t>actions</w:t>
      </w:r>
      <w:r>
        <w:rPr/>
        <w:t xml:space="preserve"> of Seller, Buyer and/or their designated representatives, including each Party</w:t>
      </w:r>
      <w:r>
        <w:rPr>
          <w:rFonts w:ascii="WP TypographicSymbols" w:hAnsi="WP TypographicSymbols"/>
        </w:rPr>
        <w:t></w:t>
      </w:r>
      <w:r>
        <w:rPr/>
        <w:t xml:space="preserve">s Transmission Providers, if applicable, of notifying, requesting and confirming to each other the quantity and type of Product to be delivered on any given day or days during the </w:t>
      </w:r>
      <w:r>
        <w:rPr>
          <w:strike/>
        </w:rPr>
        <w:t>Period of</w:t>
      </w:r>
      <w:r>
        <w:rPr/>
        <w:t xml:space="preserve"> Delivery </w:t>
      </w:r>
      <w:r>
        <w:rPr>
          <w:u w:val="double"/>
        </w:rPr>
        <w:t>Period</w:t>
      </w:r>
      <w:r>
        <w:rPr/>
        <w:t xml:space="preserve"> at a specified Delivery Point.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1.46</w:t>
      </w:r>
      <w:r>
        <w:rPr/>
        <w:tab/>
      </w:r>
      <w:r>
        <w:rPr>
          <w:rFonts w:ascii="WP TypographicSymbols" w:hAnsi="WP TypographicSymbols"/>
        </w:rPr>
        <w:t></w:t>
      </w:r>
      <w:r>
        <w:rPr/>
        <w:t>Seller</w:t>
      </w:r>
      <w:r>
        <w:rPr>
          <w:rFonts w:ascii="WP TypographicSymbols" w:hAnsi="WP TypographicSymbols"/>
        </w:rPr>
        <w:t></w:t>
      </w:r>
      <w:r>
        <w:rPr/>
        <w:t xml:space="preserve"> means the Party to a Transaction that is obligated to sell and deliver, or cause to be delivered, the Product.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u w:val="double"/>
        </w:rPr>
        <w:t>1.47</w:t>
      </w:r>
      <w:r>
        <w:rPr/>
        <w:tab/>
      </w:r>
      <w:r>
        <w:rPr>
          <w:rFonts w:ascii="WP TypographicSymbols" w:hAnsi="WP TypographicSymbols"/>
        </w:rPr>
        <w:t></w:t>
      </w:r>
      <w:r>
        <w:rPr/>
        <w:t>Settlement Amount</w:t>
      </w:r>
      <w:r>
        <w:rPr>
          <w:rFonts w:ascii="WP TypographicSymbols" w:hAnsi="WP TypographicSymbols"/>
        </w:rPr>
        <w:t></w:t>
      </w:r>
      <w:r>
        <w:rPr/>
        <w:t xml:space="preserve"> shall mean, with respect to a Transaction and the Non</w:t>
        <w:noBreakHyphen/>
        <w:t xml:space="preserve">Defaulting Party, the </w:t>
      </w:r>
      <w:r>
        <w:rPr>
          <w:strike/>
        </w:rPr>
        <w:t>losses and costs (or gains)</w:t>
      </w:r>
      <w:r>
        <w:rPr/>
        <w:t xml:space="preserve"> </w:t>
      </w:r>
      <w:r>
        <w:rPr>
          <w:u w:val="double"/>
        </w:rPr>
        <w:t>Loss or Gain, and Costs</w:t>
      </w:r>
      <w:r>
        <w:rPr/>
        <w:t>, expressed in U.S. Dollars, which such party incurs as a result of the liquidation</w:t>
      </w:r>
      <w:r>
        <w:rPr>
          <w:strike/>
        </w:rPr>
        <w:t>, including, but not limited to, losses and costs (or gains) based upon the then current replacement value of such Transaction together with, at the Non</w:t>
        <w:noBreakHyphen/>
        <w:t>Defaulting Party's option, but without duplication, [all brokerage fees, commissions and other similar transaction costs and expenses reasonably incurred by such Party either in terminating any arrangement pursuant to which it has hedged its obligations or entering into new arrangements which replace a terminated Transaction]; reasonable attorneys</w:t>
      </w:r>
      <w:r>
        <w:rPr>
          <w:rFonts w:ascii="WP TypographicSymbols" w:hAnsi="WP TypographicSymbols"/>
          <w:strike/>
        </w:rPr>
        <w:t></w:t>
      </w:r>
      <w:r>
        <w:rPr>
          <w:strike/>
        </w:rPr>
        <w:t xml:space="preserve"> fees, if any, incurred in connection with enforcing its rights under this Agreement; and all losses and costs which such party incurs [to modify its use of owned or controlled generation assets as a result of the termination of such Transaction]. In calculating a Settlement Amount, the Non</w:t>
        <w:noBreakHyphen/>
        <w:t>Defaulting Party shall discount to present value (in a commercially reasonable manner based on the Interest Rate for the applicable period) any amount which would otherwise have been due at a date later than the Early Termination Date and shall add interest at the Interest Rate to any amount due prior to the Early Termination Date.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t xml:space="preserve"> </w:t>
      </w:r>
      <w:r>
        <w:rPr>
          <w:u w:val="double"/>
        </w:rPr>
        <w:t>of a Terminated Transaction pursuant to Section 5.2.</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1.48</w:t>
        <w:tab/>
      </w:r>
      <w:r>
        <w:rPr>
          <w:rFonts w:ascii="WP TypographicSymbols" w:hAnsi="WP TypographicSymbols"/>
          <w:u w:val="double"/>
        </w:rPr>
        <w:t></w:t>
      </w:r>
      <w:r>
        <w:rPr>
          <w:u w:val="double"/>
        </w:rPr>
        <w:t>Terminated Transaction</w:t>
      </w:r>
      <w:r>
        <w:rPr>
          <w:rFonts w:ascii="WP TypographicSymbols" w:hAnsi="WP TypographicSymbols"/>
          <w:u w:val="double"/>
        </w:rPr>
        <w:t></w:t>
      </w:r>
      <w:r>
        <w:rPr>
          <w:u w:val="double"/>
        </w:rPr>
        <w:t xml:space="preserve"> has the meaning set forth in Section 5.2.</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1.49</w:t>
        <w:tab/>
      </w:r>
      <w:r>
        <w:rPr>
          <w:rFonts w:ascii="WP TypographicSymbols" w:hAnsi="WP TypographicSymbols"/>
          <w:u w:val="double"/>
        </w:rPr>
        <w:t></w:t>
      </w:r>
      <w:r>
        <w:rPr>
          <w:u w:val="double"/>
        </w:rPr>
        <w:t>Termination Payment</w:t>
      </w:r>
      <w:r>
        <w:rPr>
          <w:rFonts w:ascii="WP TypographicSymbols" w:hAnsi="WP TypographicSymbols"/>
          <w:u w:val="double"/>
        </w:rPr>
        <w:t></w:t>
      </w:r>
      <w:r>
        <w:rPr>
          <w:u w:val="double"/>
        </w:rPr>
        <w:t xml:space="preserve"> has the meaning set forth in Section 5.3.</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1.50</w:t>
        <w:tab/>
      </w:r>
      <w:r>
        <w:rPr>
          <w:rFonts w:ascii="WP TypographicSymbols" w:hAnsi="WP TypographicSymbols"/>
          <w:u w:val="double"/>
        </w:rPr>
        <w:t></w:t>
      </w:r>
      <w:r>
        <w:rPr>
          <w:u w:val="double"/>
        </w:rPr>
        <w:t>Transaction</w:t>
      </w:r>
      <w:r>
        <w:rPr>
          <w:rFonts w:ascii="WP TypographicSymbols" w:hAnsi="WP TypographicSymbols"/>
          <w:u w:val="double"/>
        </w:rPr>
        <w:t></w:t>
      </w:r>
      <w:r>
        <w:rPr>
          <w:u w:val="double"/>
        </w:rPr>
        <w:t xml:space="preserve"> means a particular transaction agreed to by the Parties relating to the sale and purchase of    Product pursuant to this Master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b/>
          <w:u w:val="single"/>
        </w:rPr>
      </w:pPr>
      <w:r>
        <w:rPr>
          <w:u w:val="double"/>
        </w:rPr>
        <w:t>1.51</w:t>
      </w:r>
      <w:r>
        <w:rPr/>
        <w:tab/>
      </w:r>
      <w:r>
        <w:rPr>
          <w:rFonts w:ascii="WP TypographicSymbols" w:hAnsi="WP TypographicSymbols"/>
        </w:rPr>
        <w:t></w:t>
      </w:r>
      <w:r>
        <w:rPr/>
        <w:t>Transmission Provider</w:t>
      </w:r>
      <w:r>
        <w:rPr>
          <w:rFonts w:ascii="WP TypographicSymbols" w:hAnsi="WP TypographicSymbols"/>
        </w:rPr>
        <w:t></w:t>
      </w:r>
      <w:r>
        <w:rPr/>
        <w:t xml:space="preserve"> means </w:t>
      </w:r>
      <w:r>
        <w:rPr>
          <w:u w:val="double"/>
        </w:rPr>
        <w:t>any</w:t>
      </w:r>
      <w:r>
        <w:rPr/>
        <w:t xml:space="preserve"> entity or entities transmitting or transporting the Product on behalf of Seller or Buyer to or from the Delivery Point in a particular Transaction.</w:t>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b/>
        </w:rPr>
      </w:pPr>
      <w:r>
        <w:rPr>
          <w:b/>
        </w:rPr>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rPr>
      </w:pPr>
      <w:r>
        <w:rPr>
          <w:b/>
          <w:u w:val="single"/>
        </w:rPr>
        <w:t>ARTICLE TWO</w:t>
      </w:r>
      <w:r>
        <w:rPr>
          <w:b/>
        </w:rPr>
        <w:t>:</w:t>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sz w:val="22"/>
          <w:u w:val="single"/>
        </w:rPr>
      </w:pPr>
      <w:r>
        <w:rPr>
          <w:b/>
          <w:sz w:val="22"/>
        </w:rPr>
        <w:t>TRANSACTION TERMS AND CONDITIONS</w:t>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keepLines/>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2.1</w:t>
        <w:tab/>
      </w:r>
      <w:r>
        <w:rPr>
          <w:u w:val="single"/>
        </w:rPr>
        <w:t>Transactions</w:t>
      </w:r>
      <w:r>
        <w:rPr/>
        <w:t xml:space="preserve">.    A Transaction shall be entered </w:t>
      </w:r>
      <w:r>
        <w:rPr>
          <w:u w:val="double"/>
        </w:rPr>
        <w:t>into</w:t>
      </w:r>
      <w:r>
        <w:rPr/>
        <w:t xml:space="preserve"> upon agreement of the Parties orally or, if expressly required by either Party with respect to a particular Transaction, in writing, including an electronic means of communication.    Each Party agrees not to contest, or assert any defense to, the validity or enforceability of </w:t>
      </w:r>
      <w:r>
        <w:rPr>
          <w:strike/>
        </w:rPr>
        <w:t>an oral</w:t>
      </w:r>
      <w:r>
        <w:rPr/>
        <w:t xml:space="preserve"> </w:t>
      </w:r>
      <w:r>
        <w:rPr>
          <w:u w:val="double"/>
        </w:rPr>
        <w:t>any</w:t>
      </w:r>
      <w:r>
        <w:rPr/>
        <w:t xml:space="preserve"> Transaction entered into in accordance with this Master Agreement </w:t>
      </w:r>
      <w:r>
        <w:rPr>
          <w:strike/>
        </w:rPr>
        <w:t>under laws relating to (i) whether certain</w:t>
      </w:r>
      <w:r>
        <w:rPr>
          <w:u w:val="double"/>
        </w:rPr>
        <w:t>(i) based on any law requiring</w:t>
      </w:r>
      <w:r>
        <w:rPr/>
        <w:t xml:space="preserve"> agreements are to be in writing or signed by the </w:t>
      </w:r>
      <w:r>
        <w:rPr>
          <w:strike/>
        </w:rPr>
        <w:t xml:space="preserve">Party to be thereby bound, or (ii) its authority or the </w:t>
      </w:r>
      <w:r>
        <w:rPr>
          <w:u w:val="double"/>
        </w:rPr>
        <w:t>parties, or (ii) based on any lack of authority of the Party or any lack of</w:t>
      </w:r>
      <w:r>
        <w:rPr/>
        <w:t xml:space="preserve"> authority of any employee of the Party to enter into a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2.2</w:t>
        <w:tab/>
      </w:r>
      <w:r>
        <w:rPr>
          <w:u w:val="single"/>
        </w:rPr>
        <w:t>Governing Terms</w:t>
      </w:r>
      <w:r>
        <w:rPr/>
        <w:t xml:space="preserve">.    Unless otherwise specifically agreed, each Transaction between the Parties shall be governed by this Master Agreement.    This Master Agreement (including all exhibits </w:t>
      </w:r>
      <w:r>
        <w:rPr>
          <w:strike/>
        </w:rPr>
        <w:t>and schedules)</w:t>
      </w:r>
      <w:r>
        <w:rPr>
          <w:u w:val="double"/>
        </w:rPr>
        <w:t>, schedules and any written supplements hereto), the Party A Tariff, if any, and the Party B Tariff, if any, any collateral, credit support or margin agreement or similar arrangement between the Parties</w:t>
      </w:r>
      <w:r>
        <w:rPr/>
        <w:t xml:space="preserve"> and all Transactions shall form a single integrated agreement between the Parties</w:t>
      </w:r>
      <w:r>
        <w:rPr>
          <w:strike/>
        </w:rPr>
        <w:t xml:space="preserve">(hereinafter referred to as the </w:t>
      </w:r>
      <w:r>
        <w:rPr>
          <w:rFonts w:ascii="WP TypographicSymbols" w:hAnsi="WP TypographicSymbols"/>
          <w:strike/>
        </w:rPr>
        <w:t></w:t>
      </w:r>
      <w:r>
        <w:rPr>
          <w:strike/>
        </w:rPr>
        <w:t>Agreement</w:t>
      </w:r>
      <w:r>
        <w:rPr>
          <w:rFonts w:ascii="WP TypographicSymbols" w:hAnsi="WP TypographicSymbols"/>
          <w:strike/>
        </w:rPr>
        <w:t></w:t>
      </w:r>
      <w:r>
        <w:rPr>
          <w:strike/>
        </w:rPr>
        <w:t>)</w:t>
      </w:r>
      <w:r>
        <w:rPr/>
        <w:t xml:space="preserve">.    Any inconsistency between any terms of this </w:t>
      </w:r>
      <w:r>
        <w:rPr>
          <w:u w:val="double"/>
        </w:rPr>
        <w:t>Master</w:t>
      </w:r>
      <w:r>
        <w:rPr/>
        <w:t xml:space="preserve"> Agreement and any terms of any Transaction shall be resolved in favor of the terms of such Transaction. 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2.3</w:t>
        <w:tab/>
      </w:r>
      <w:r>
        <w:rPr>
          <w:u w:val="single"/>
        </w:rPr>
        <w:t>Confirmation</w:t>
      </w:r>
      <w:r>
        <w:rPr/>
        <w:t xml:space="preserve">.    Seller may confirm a Transaction by forwarding to Buyer by facsimile within three (3) Business Days </w:t>
      </w:r>
      <w:r>
        <w:rPr>
          <w:u w:val="double"/>
        </w:rPr>
        <w:t>after the date the Transaction is entered into</w:t>
      </w:r>
      <w:r>
        <w:rPr/>
        <w:t xml:space="preserve"> a confirmation (</w:t>
      </w:r>
      <w:r>
        <w:rPr>
          <w:rFonts w:ascii="WP TypographicSymbols" w:hAnsi="WP TypographicSymbols"/>
        </w:rPr>
        <w:t></w:t>
      </w:r>
      <w:r>
        <w:rPr/>
        <w:t>Confirmation</w:t>
      </w:r>
      <w:r>
        <w:rPr>
          <w:rFonts w:ascii="WP TypographicSymbols" w:hAnsi="WP TypographicSymbols"/>
        </w:rPr>
        <w:t></w:t>
      </w:r>
      <w:r>
        <w:rPr/>
        <w:t>) substantially in the form of Exhibit A</w:t>
      </w:r>
      <w:r>
        <w:rPr>
          <w:strike/>
        </w:rPr>
        <w:t>, which shall be executed by Buyer and returned to Seller within two (2) Business Days of Buyer's receipt of it</w:t>
      </w:r>
      <w:r>
        <w:rPr/>
        <w:t xml:space="preserve">. 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w:t>
      </w:r>
      <w:r>
        <w:rPr>
          <w:strike/>
        </w:rPr>
        <w:t>of</w:t>
      </w:r>
      <w:r>
        <w:rPr/>
        <w:t xml:space="preserve"> </w:t>
      </w:r>
      <w:r>
        <w:rPr>
          <w:u w:val="double"/>
        </w:rPr>
        <w:t>after</w:t>
      </w:r>
      <w:r>
        <w:rPr/>
        <w:t xml:space="preserve"> the </w:t>
      </w:r>
      <w:r>
        <w:rPr>
          <w:u w:val="double"/>
        </w:rPr>
        <w:t>date the</w:t>
      </w:r>
      <w:r>
        <w:rPr/>
        <w:t xml:space="preserve"> Transaction </w:t>
      </w:r>
      <w:r>
        <w:rPr>
          <w:u w:val="double"/>
        </w:rPr>
        <w:t>is entered into</w:t>
      </w:r>
      <w:r>
        <w:rPr/>
        <w:t xml:space="preserve">, a Confirmation </w:t>
      </w:r>
      <w:r>
        <w:rPr>
          <w:strike/>
        </w:rPr>
        <w:t>forwarded by Buyer,</w:t>
      </w:r>
      <w:r>
        <w:rPr/>
        <w:t xml:space="preserve"> substantially in the form of Exhibit A, </w:t>
      </w:r>
      <w:r>
        <w:rPr>
          <w:strike/>
        </w:rPr>
        <w:t>shall be executed by Seller and returned to Buyer within two (2) Business Days of Seller's receipt of it, but not more than five (5) Business Days after the Transaction</w:t>
      </w:r>
      <w:r>
        <w:rPr/>
        <w:t xml:space="preserve"> </w:t>
      </w:r>
      <w:r>
        <w:rPr>
          <w:u w:val="double"/>
        </w:rPr>
        <w:t>may be forwarded by Buyer to Seller</w:t>
      </w:r>
      <w:r>
        <w:rPr/>
        <w:t>.    If Seller objects to any term(s) of such Confirmation, Seller shall notify Buyer of such objections within two (2) Business Days of Seller's receipt thereof, failing which Seller shall be deemed to have accepted the terms as sent.</w:t>
      </w:r>
      <w:r>
        <w:rPr>
          <w:u w:val="double"/>
        </w:rPr>
        <w:t>    If Seller and Buyer each send a Confirmation and neither Party objects to the other Party</w:t>
      </w:r>
      <w:r>
        <w:rPr>
          <w:rFonts w:ascii="WP TypographicSymbols" w:hAnsi="WP TypographicSymbols"/>
          <w:u w:val="double"/>
        </w:rPr>
        <w:t></w:t>
      </w:r>
      <w:r>
        <w:rPr>
          <w:u w:val="double"/>
        </w:rPr>
        <w:t>s Confirmation within two (2) Business Days of receipt, Seller</w:t>
      </w:r>
      <w:r>
        <w:rPr>
          <w:rFonts w:ascii="WP TypographicSymbols" w:hAnsi="WP TypographicSymbols"/>
          <w:u w:val="double"/>
        </w:rPr>
        <w:t></w:t>
      </w:r>
      <w:r>
        <w:rPr>
          <w:u w:val="double"/>
        </w:rPr>
        <w:t>s Confirmation shall be deemed to be accepted and shall be the controlling Confirmation, unless (i) Seller</w:t>
      </w:r>
      <w:r>
        <w:rPr>
          <w:rFonts w:ascii="WP TypographicSymbols" w:hAnsi="WP TypographicSymbols"/>
          <w:u w:val="double"/>
        </w:rPr>
        <w:t></w:t>
      </w:r>
      <w:r>
        <w:rPr>
          <w:u w:val="double"/>
        </w:rPr>
        <w:t>s Confirmation was sent more than three (3) Business Days after the Transaction was entered into and (ii) Buyer</w:t>
      </w:r>
      <w:r>
        <w:rPr>
          <w:rFonts w:ascii="WP TypographicSymbols" w:hAnsi="WP TypographicSymbols"/>
          <w:u w:val="double"/>
        </w:rPr>
        <w:t></w:t>
      </w:r>
      <w:r>
        <w:rPr>
          <w:u w:val="double"/>
        </w:rPr>
        <w:t>s Confirmation was sent prior to Seller</w:t>
      </w:r>
      <w:r>
        <w:rPr>
          <w:rFonts w:ascii="WP TypographicSymbols" w:hAnsi="WP TypographicSymbols"/>
          <w:u w:val="double"/>
        </w:rPr>
        <w:t></w:t>
      </w:r>
      <w:r>
        <w:rPr>
          <w:u w:val="double"/>
        </w:rPr>
        <w:t>s Confirmation, in which case Buyer</w:t>
      </w:r>
      <w:r>
        <w:rPr>
          <w:rFonts w:ascii="WP TypographicSymbols" w:hAnsi="WP TypographicSymbols"/>
          <w:u w:val="double"/>
        </w:rPr>
        <w:t></w:t>
      </w:r>
      <w:r>
        <w:rPr>
          <w:u w:val="double"/>
        </w:rPr>
        <w:t>s Confirmation shall be deemed to be accepted and shall be the controlling Confirmation.</w:t>
      </w:r>
      <w:r>
        <w:rPr/>
        <w:t xml:space="preserve">    Failure by either Party to send or either Party to return an executed Confirmation or any objection by either Party shall not invalidate any Transaction agreed by the Parties. </w:t>
      </w:r>
      <w:r>
        <w:rPr>
          <w:strike/>
        </w:rPr>
        <w:t>If Seller and Buyer each send a Confirmation and neither Party objects to the other Party</w:t>
      </w:r>
      <w:r>
        <w:rPr>
          <w:rFonts w:ascii="WP TypographicSymbols" w:hAnsi="WP TypographicSymbols"/>
          <w:strike/>
        </w:rPr>
        <w:t></w:t>
      </w:r>
      <w:r>
        <w:rPr>
          <w:strike/>
        </w:rPr>
        <w:t>s Confirmation within two (2) Business Days of receipt, Seller</w:t>
      </w:r>
      <w:r>
        <w:rPr>
          <w:rFonts w:ascii="WP TypographicSymbols" w:hAnsi="WP TypographicSymbols"/>
          <w:strike/>
        </w:rPr>
        <w:t></w:t>
      </w:r>
      <w:r>
        <w:rPr>
          <w:strike/>
        </w:rPr>
        <w:t>s Confirmation shall be deemed to be accepted and shall be the controlling Confirmation, unless (i) Seller</w:t>
      </w:r>
      <w:r>
        <w:rPr>
          <w:rFonts w:ascii="WP TypographicSymbols" w:hAnsi="WP TypographicSymbols"/>
          <w:strike/>
        </w:rPr>
        <w:t></w:t>
      </w:r>
      <w:r>
        <w:rPr>
          <w:strike/>
        </w:rPr>
        <w:t>s Confirmation was sent more than three (3) Business Days after the Transaction was agreed and (ii) Buyer</w:t>
      </w:r>
      <w:r>
        <w:rPr>
          <w:rFonts w:ascii="WP TypographicSymbols" w:hAnsi="WP TypographicSymbols"/>
          <w:strike/>
        </w:rPr>
        <w:t></w:t>
      </w:r>
      <w:r>
        <w:rPr>
          <w:strike/>
        </w:rPr>
        <w:t>s Confirmation was sent prior to Seller</w:t>
      </w:r>
      <w:r>
        <w:rPr>
          <w:rFonts w:ascii="WP TypographicSymbols" w:hAnsi="WP TypographicSymbols"/>
          <w:strike/>
        </w:rPr>
        <w:t></w:t>
      </w:r>
      <w:r>
        <w:rPr>
          <w:strike/>
        </w:rPr>
        <w:t>s Confirmation, in which case Buyer</w:t>
      </w:r>
      <w:r>
        <w:rPr>
          <w:rFonts w:ascii="WP TypographicSymbols" w:hAnsi="WP TypographicSymbols"/>
          <w:strike/>
        </w:rPr>
        <w:t></w:t>
      </w:r>
      <w:r>
        <w:rPr>
          <w:strike/>
        </w:rPr>
        <w:t>s Confirmation shall be deemed to be accepted and shall be the controlling Confirmation.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2.4</w:t>
        <w:tab/>
      </w:r>
      <w:r>
        <w:rPr>
          <w:u w:val="single"/>
        </w:rPr>
        <w:t>Recording</w:t>
      </w:r>
      <w:r>
        <w:rPr/>
        <w:t xml:space="preserve">.    Each Party acknowledges and agrees that either Party may create </w:t>
      </w:r>
      <w:r>
        <w:rPr>
          <w:u w:val="double"/>
        </w:rPr>
        <w:t>a</w:t>
      </w:r>
      <w:r>
        <w:rPr/>
        <w:t xml:space="preserve"> tape or electronic recording (</w:t>
      </w:r>
      <w:r>
        <w:rPr>
          <w:rFonts w:ascii="WP TypographicSymbols" w:hAnsi="WP TypographicSymbols"/>
        </w:rPr>
        <w:t></w:t>
      </w:r>
      <w:r>
        <w:rPr/>
        <w:t>Recording</w:t>
      </w:r>
      <w:r>
        <w:rPr>
          <w:rFonts w:ascii="WP TypographicSymbols" w:hAnsi="WP TypographicSymbols"/>
        </w:rPr>
        <w:t></w:t>
      </w:r>
      <w:r>
        <w:rPr/>
        <w:t xml:space="preserve">) of conversations between the Parties to this </w:t>
      </w:r>
      <w:r>
        <w:rPr>
          <w:u w:val="double"/>
        </w:rPr>
        <w:t>Master</w:t>
      </w:r>
      <w:r>
        <w:rPr/>
        <w:t xml:space="preserve">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w:t>
      </w:r>
      <w:r>
        <w:rPr>
          <w:rFonts w:ascii="WP TypographicSymbols" w:hAnsi="WP TypographicSymbols"/>
        </w:rPr>
        <w:t></w:t>
      </w:r>
      <w:r>
        <w:rPr/>
        <w:t xml:space="preserve">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w:t>
      </w:r>
      <w:r>
        <w:rPr>
          <w:u w:val="double"/>
        </w:rPr>
        <w:t>Master</w:t>
      </w:r>
      <w:r>
        <w:rPr/>
        <w:t xml:space="preserve"> Agreement.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rPr>
      </w:pPr>
      <w:r>
        <w:rPr>
          <w:b/>
        </w:rPr>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rPr>
      </w:pPr>
      <w:r>
        <w:rPr>
          <w:b/>
          <w:u w:val="single"/>
        </w:rPr>
        <w:t>ARTICLE THREE</w:t>
      </w:r>
      <w:r>
        <w:rPr>
          <w:b/>
        </w:rPr>
        <w:t>:</w:t>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b/>
        </w:rPr>
        <w:t>OBLIGATIONS AND DELIVERIES</w:t>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r>
    </w:p>
    <w:p>
      <w:pPr>
        <w:pStyle w:val="Normal"/>
        <w:keepLines/>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3.1</w:t>
        <w:tab/>
      </w:r>
      <w:r>
        <w:rPr>
          <w:u w:val="single"/>
        </w:rPr>
        <w:t>Seller's and Buyer's Obligations</w:t>
      </w:r>
      <w:r>
        <w:rPr/>
        <w:t xml:space="preserve">.    With respect to each Transaction, Seller shall sell and deliver, or cause to be delivered, and Buyer shall purchase and receive, or cause to be received, at the Delivery Point the Quantity of the Product, and Buyer shall pay Seller the </w:t>
      </w:r>
      <w:r>
        <w:rPr>
          <w:strike/>
        </w:rPr>
        <w:t>Price. The Parties</w:t>
      </w:r>
      <w:r>
        <w:rPr>
          <w:rFonts w:ascii="WP TypographicSymbols" w:hAnsi="WP TypographicSymbols"/>
          <w:strike/>
        </w:rPr>
        <w:t></w:t>
      </w:r>
      <w:r>
        <w:rPr>
          <w:strike/>
        </w:rPr>
        <w:t xml:space="preserve"> obligations to perform are subject to Article Five</w:t>
      </w:r>
      <w:r>
        <w:rPr/>
        <w:t xml:space="preserve"> </w:t>
      </w:r>
      <w:r>
        <w:rPr>
          <w:u w:val="double"/>
        </w:rPr>
        <w:t>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w:t>
      </w:r>
      <w:r>
        <w:rPr/>
        <w:t xml:space="preserv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t>3.2</w:t>
        <w:tab/>
      </w:r>
      <w:r>
        <w:rPr>
          <w:u w:val="single"/>
        </w:rPr>
        <w:t>Transmission and Scheduling</w:t>
      </w:r>
      <w:r>
        <w:rPr/>
        <w:t xml:space="preserve">.    Seller shall arrange and be responsible for transmission service to the Delivery Point and shall Schedule or arrange for Scheduling services with its Transmission Providers </w:t>
      </w:r>
      <w:r>
        <w:rPr>
          <w:strike/>
        </w:rPr>
        <w:t xml:space="preserve">to deliver the Quantity of </w:t>
      </w:r>
      <w:r>
        <w:rPr>
          <w:u w:val="double"/>
        </w:rPr>
        <w:t>, as specified by the Parties in the Transaction, or in the absence thereof,    in accordance with the practice of the Transmission Providers, to deliver</w:t>
      </w:r>
      <w:r>
        <w:rPr/>
        <w:t xml:space="preserve"> the Product to the Delivery Point.    Buyer shall arrange and be responsible for transmission service at and from the Delivery Point and shall Schedule or arrange for Scheduling services with its Transmission Providers to receive the </w:t>
      </w:r>
      <w:r>
        <w:rPr>
          <w:strike/>
        </w:rPr>
        <w:t>Quantity of the</w:t>
      </w:r>
      <w:r>
        <w:rPr/>
        <w:t xml:space="preserve"> Product at the Delivery Point.    Each Party shall designate authorized representatives to effect the Scheduling of the delivery of the </w:t>
      </w:r>
      <w:r>
        <w:rPr>
          <w:strike/>
        </w:rPr>
        <w:t xml:space="preserve">Quantity of the Product. </w:t>
      </w:r>
      <w:r>
        <w:rPr>
          <w:u w:val="double"/>
        </w:rPr>
        <w:t xml:space="preserve">Product. 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3.3</w:t>
        <w:tab/>
        <w:t xml:space="preserve">Force Majeure.    To the extent either Party is prevented by Force Majeure from carrying out, in whole or part, its obligations under any Transaction and such Party (the </w:t>
      </w:r>
      <w:r>
        <w:rPr>
          <w:rFonts w:ascii="WP TypographicSymbols" w:hAnsi="WP TypographicSymbols"/>
          <w:u w:val="double"/>
        </w:rPr>
        <w:t></w:t>
      </w:r>
      <w:r>
        <w:rPr>
          <w:u w:val="double"/>
        </w:rPr>
        <w:t>Claiming Party</w:t>
      </w:r>
      <w:r>
        <w:rPr>
          <w:rFonts w:ascii="WP TypographicSymbols" w:hAnsi="WP TypographicSymbols"/>
          <w:u w:val="double"/>
        </w:rPr>
        <w:t></w:t>
      </w:r>
      <w:r>
        <w:rPr>
          <w:u w:val="double"/>
        </w:rPr>
        <w:t>) gives notice and details of the Force Majeure to the other Party as soon as practicable, then, unless the terms of the Product specify otherwise, the Claiming Party shall be excused from the performance of its obligations (other than the obligation to make payments then due or becoming due with respect to performance prior to the Force Majeure).    The Claiming Party shall remedy the Force Majeure with all reasonable dispatch. [If requested by the non</w:t>
        <w:noBreakHyphen/>
        <w:t>claiming Party, the Claiming Party shall provide the non</w:t>
        <w:noBreakHyphen/>
        <w:t>claiming Party notice of the Claiming Party</w:t>
      </w:r>
      <w:r>
        <w:rPr>
          <w:rFonts w:ascii="WP TypographicSymbols" w:hAnsi="WP TypographicSymbols"/>
          <w:u w:val="double"/>
        </w:rPr>
        <w:t></w:t>
      </w:r>
      <w:r>
        <w:rPr>
          <w:u w:val="double"/>
        </w:rPr>
        <w:t>s best estimate of the duration of the Force Majeure (</w:t>
      </w:r>
      <w:r>
        <w:rPr>
          <w:rFonts w:ascii="WP TypographicSymbols" w:hAnsi="WP TypographicSymbols"/>
          <w:u w:val="double"/>
        </w:rPr>
        <w:t></w:t>
      </w:r>
      <w:r>
        <w:rPr>
          <w:u w:val="double"/>
        </w:rPr>
        <w:t>Estimated Duration (FM)</w:t>
      </w:r>
      <w:r>
        <w:rPr>
          <w:rFonts w:ascii="WP TypographicSymbols" w:hAnsi="WP TypographicSymbols"/>
          <w:u w:val="double"/>
        </w:rPr>
        <w:t></w:t>
      </w:r>
      <w:r>
        <w:rPr>
          <w:u w:val="double"/>
        </w:rPr>
        <w:t>).    During the Estimated Duration (FM), the non</w:t>
        <w:noBreakHyphen/>
        <w:t>claiming Party shall not be required to perform or resume performance of its obligations to the Claiming Party corresponding to the obligations of the Claiming Party excused by Force Majeure.    Notwithstanding the foregoing, as soon as the Claiming Party shall be able, in whole or in part, to resume performance, the Claiming Party shall notify the non</w:t>
        <w:noBreakHyphen/>
        <w:t>claiming Party who shall have the option to require the Claiming Party to resume all or part of its obligations under the Transaction prior to the expiration of the Estimated Duration (FM).    The Parties shall resume performance of their obligations under the Transaction upon the expiration of the Estimated Duration (FM) except to the extent the Claiming Party shall continue to be prevented from performing by such Force Majeure.    To the extent the Claiming Party continues to be prevented by such Force Majeure from performing its obligations beyond the Estimated Duration (FM), then the non</w:t>
        <w:noBreakHyphen/>
        <w:t xml:space="preserve">claiming Party may take any action it deems commercially reasonable under the circumstances.] 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u w:val="single"/>
        </w:rPr>
      </w:pPr>
      <w:r>
        <w:rPr>
          <w:b/>
          <w:u w:val="single"/>
        </w:rPr>
        <w:t>ARTICLE FOUR:</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b/>
        </w:rPr>
        <w:t>REMEDIES FOR FAILURE TO DELIVER/RECEIVE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4.1</w:t>
        <w:tab/>
      </w:r>
      <w:r>
        <w:rPr>
          <w:u w:val="single"/>
        </w:rPr>
        <w:t>Seller Failure</w:t>
      </w:r>
      <w:r>
        <w:rPr/>
        <w:t xml:space="preserve">.    If Seller fails to </w:t>
      </w:r>
      <w:r>
        <w:rPr>
          <w:u w:val="double"/>
        </w:rPr>
        <w:t>schedule and/or</w:t>
      </w:r>
      <w:r>
        <w:rPr/>
        <w:t xml:space="preserve"> deliver all or part of the Product pursuant to a Transaction, and such failure is not excused </w:t>
      </w:r>
      <w:r>
        <w:rPr>
          <w:u w:val="double"/>
        </w:rPr>
        <w:t>by Force Majeure or otherwise</w:t>
      </w:r>
      <w:r>
        <w:rPr/>
        <w:t xml:space="preserve"> under the terms of the Product or by Buyer</w:t>
      </w:r>
      <w:r>
        <w:rPr>
          <w:rFonts w:ascii="WP TypographicSymbols" w:hAnsi="WP TypographicSymbols"/>
        </w:rPr>
        <w:t></w:t>
      </w:r>
      <w:r>
        <w:rPr/>
        <w:t xml:space="preserve">s failure to perform, then Seller shall pay Buyer, on the date payment would otherwise be due in respect of the month in which the failure occurred or, if </w:t>
      </w:r>
      <w:r>
        <w:rPr>
          <w:strike/>
        </w:rPr>
        <w:t>demanded by Buyer [and when costs determined under this Section exceed $_______]</w:t>
      </w:r>
      <w:r>
        <w:rPr/>
        <w:t xml:space="preserve"> </w:t>
      </w:r>
      <w:r>
        <w:rPr>
          <w:rFonts w:ascii="WP TypographicSymbols" w:hAnsi="WP TypographicSymbols"/>
          <w:u w:val="double"/>
        </w:rPr>
        <w:t></w:t>
      </w:r>
      <w:r>
        <w:rPr>
          <w:u w:val="double"/>
        </w:rPr>
        <w:t>Accelerated Payment of Damages</w:t>
      </w:r>
      <w:r>
        <w:rPr>
          <w:rFonts w:ascii="WP TypographicSymbols" w:hAnsi="WP TypographicSymbols"/>
          <w:u w:val="double"/>
        </w:rPr>
        <w:t></w:t>
      </w:r>
      <w:r>
        <w:rPr>
          <w:u w:val="double"/>
        </w:rPr>
        <w:t xml:space="preserve"> is specified on the Cover Sheet</w:t>
      </w:r>
      <w:r>
        <w:rPr/>
        <w:t>, within five (5) Business Days of invoice receipt, an amount for such deficiency equal to the positive difference, if any, obtained by subtracting the Contract Price from the Replacement Price.</w:t>
      </w:r>
      <w:r>
        <w:rPr>
          <w:u w:val="double"/>
        </w:rPr>
        <w:t>    The invoice for such amount shall include a written statement explaining in reasonable detail the calculation of such amount.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4.2</w:t>
        <w:tab/>
      </w:r>
      <w:r>
        <w:rPr>
          <w:u w:val="single"/>
        </w:rPr>
        <w:t>Buyer Failure</w:t>
      </w:r>
      <w:r>
        <w:rPr/>
        <w:t xml:space="preserve">.    If Buyer fails to </w:t>
      </w:r>
      <w:r>
        <w:rPr>
          <w:u w:val="double"/>
        </w:rPr>
        <w:t>schedule and/or</w:t>
      </w:r>
      <w:r>
        <w:rPr/>
        <w:t xml:space="preserve"> receive all or part of the Product pursuant to a Transaction and such failure is not excused </w:t>
      </w:r>
      <w:r>
        <w:rPr>
          <w:u w:val="double"/>
        </w:rPr>
        <w:t>by Force Majeure or</w:t>
      </w:r>
      <w:r>
        <w:rPr/>
        <w:t xml:space="preserve"> under the terms of the Product or by Seller</w:t>
      </w:r>
      <w:r>
        <w:rPr>
          <w:rFonts w:ascii="WP TypographicSymbols" w:hAnsi="WP TypographicSymbols"/>
        </w:rPr>
        <w:t></w:t>
      </w:r>
      <w:r>
        <w:rPr/>
        <w:t xml:space="preserve">s failure to perform, then Buyer shall pay Seller, on the date payment would otherwise be due in respect of the month in which the failure occurred or, if </w:t>
      </w:r>
      <w:r>
        <w:rPr>
          <w:strike/>
        </w:rPr>
        <w:t>demanded by Sellers [and when costs determined under this Section exceed $_____]</w:t>
      </w:r>
      <w:r>
        <w:rPr/>
        <w:t xml:space="preserve"> </w:t>
      </w:r>
      <w:r>
        <w:rPr>
          <w:rFonts w:ascii="WP TypographicSymbols" w:hAnsi="WP TypographicSymbols"/>
          <w:u w:val="double"/>
        </w:rPr>
        <w:t></w:t>
      </w:r>
      <w:r>
        <w:rPr>
          <w:u w:val="double"/>
        </w:rPr>
        <w:t>Accelerated Payment of Damages</w:t>
      </w:r>
      <w:r>
        <w:rPr>
          <w:rFonts w:ascii="WP TypographicSymbols" w:hAnsi="WP TypographicSymbols"/>
          <w:u w:val="double"/>
        </w:rPr>
        <w:t></w:t>
      </w:r>
      <w:r>
        <w:rPr>
          <w:u w:val="double"/>
        </w:rPr>
        <w:t xml:space="preserve"> is specified on the Cover Sheet</w:t>
      </w:r>
      <w:r>
        <w:rPr/>
        <w:t xml:space="preserve">, within five (5) Business Days of invoice receipt, an amount for </w:t>
      </w:r>
      <w:r>
        <w:rPr>
          <w:strike/>
        </w:rPr>
        <w:t>each Quantity unit of such Product of</w:t>
      </w:r>
      <w:r>
        <w:rPr/>
        <w:t xml:space="preserve"> such deficiency equal to the positive difference, if any, obtained by subtracting the Sales Price from the Contract Price.</w:t>
      </w:r>
      <w:r>
        <w:rPr>
          <w:u w:val="double"/>
        </w:rPr>
        <w:t>    The invoice for such amount shall include a written statement explaining in reasonable detail the calculation of such amount.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u w:val="single"/>
        </w:rPr>
      </w:pPr>
      <w:r>
        <w:rPr>
          <w:b/>
          <w:u w:val="single"/>
        </w:rPr>
        <w:t>ARTICLE FIVE</w:t>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b/>
        </w:rPr>
        <w:t>EVENTS OF DEFAULT; REMEDIES</w:t>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5.1</w:t>
        <w:tab/>
      </w:r>
      <w:r>
        <w:rPr>
          <w:u w:val="single"/>
        </w:rPr>
        <w:t>Events of Default</w:t>
      </w:r>
      <w:r>
        <w:rPr/>
        <w:t xml:space="preserve">.    An </w:t>
      </w:r>
      <w:r>
        <w:rPr>
          <w:rFonts w:ascii="WP TypographicSymbols" w:hAnsi="WP TypographicSymbols"/>
        </w:rPr>
        <w:t></w:t>
      </w:r>
      <w:r>
        <w:rPr/>
        <w:t>Event of Default</w:t>
      </w:r>
      <w:r>
        <w:rPr>
          <w:rFonts w:ascii="WP TypographicSymbols" w:hAnsi="WP TypographicSymbols"/>
        </w:rPr>
        <w:t></w:t>
      </w:r>
      <w:r>
        <w:rPr/>
        <w:t xml:space="preserve"> shall mean, with respect to a Party </w:t>
      </w:r>
      <w:r>
        <w:rPr>
          <w:strike/>
        </w:rPr>
        <w:t>(</w:t>
      </w:r>
      <w:r>
        <w:rPr>
          <w:u w:val="double"/>
        </w:rPr>
        <w:t>(a</w:t>
      </w:r>
      <w:r>
        <w:rPr/>
        <w:t xml:space="preserve"> </w:t>
      </w:r>
      <w:r>
        <w:rPr>
          <w:rFonts w:ascii="WP TypographicSymbols" w:hAnsi="WP TypographicSymbols"/>
        </w:rPr>
        <w:t></w:t>
      </w:r>
      <w:r>
        <w:rPr/>
        <w:t>Defaulting Party</w:t>
      </w:r>
      <w:r>
        <w:rPr>
          <w:rFonts w:ascii="WP TypographicSymbols" w:hAnsi="WP TypographicSymbols"/>
        </w:rPr>
        <w:t></w:t>
      </w:r>
      <w:r>
        <w:rPr/>
        <w:t>), the occurrence of any of the following:</w:t>
      </w:r>
    </w:p>
    <w:p>
      <w:pPr>
        <w:pStyle w:val="Normal"/>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(a)</w:t>
        <w:tab/>
        <w:t xml:space="preserve">the failure to make, when due, any payment required pursuant to this Agreement if such failure is not remedied within three (3) Business Days after written notice </w:t>
      </w:r>
      <w:r>
        <w:rPr>
          <w:strike/>
        </w:rPr>
        <w:t>of such failure is given by the other Party and provided the payment is not the subject of a good faith dispute</w:t>
      </w:r>
      <w:r>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(b)</w:t>
        <w:tab/>
        <w:t xml:space="preserve">any representation or warranty made by </w:t>
      </w:r>
      <w:r>
        <w:rPr>
          <w:strike/>
        </w:rPr>
        <w:t>the Defaulting</w:t>
      </w:r>
      <w:r>
        <w:rPr/>
        <w:t xml:space="preserve"> </w:t>
      </w:r>
      <w:r>
        <w:rPr>
          <w:u w:val="double"/>
        </w:rPr>
        <w:t>a</w:t>
      </w:r>
      <w:r>
        <w:rPr/>
        <w:t xml:space="preserve"> Party herein shall be false or misleading in any material respect when made or when deemed to be repeated;</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(c)</w:t>
        <w:tab/>
        <w:t xml:space="preserve">the failure to perform any </w:t>
      </w:r>
      <w:r>
        <w:rPr>
          <w:u w:val="double"/>
        </w:rPr>
        <w:t>material</w:t>
      </w:r>
      <w:r>
        <w:rPr/>
        <w:t xml:space="preserve"> covenant </w:t>
      </w:r>
      <w:r>
        <w:rPr>
          <w:u w:val="double"/>
        </w:rPr>
        <w:t>or obligation</w:t>
      </w:r>
      <w:r>
        <w:rPr/>
        <w:t xml:space="preserve"> set forth in this Agreement </w:t>
      </w:r>
      <w:r>
        <w:rPr>
          <w:strike/>
        </w:rPr>
        <w:t>(other than the events that are otherwise specifically covered as</w:t>
      </w:r>
      <w:r>
        <w:rPr>
          <w:u w:val="double"/>
        </w:rPr>
        <w:t>(except to the extent constituting</w:t>
      </w:r>
      <w:r>
        <w:rPr/>
        <w:t xml:space="preserve"> a separate Event of Default, </w:t>
      </w:r>
      <w:r>
        <w:rPr>
          <w:strike/>
        </w:rPr>
        <w:t>or</w:t>
      </w:r>
      <w:r>
        <w:rPr/>
        <w:t xml:space="preserve"> </w:t>
      </w:r>
      <w:r>
        <w:rPr>
          <w:u w:val="double"/>
        </w:rPr>
        <w:t>and except for</w:t>
      </w:r>
      <w:r>
        <w:rPr/>
        <w:t xml:space="preserve"> a Party</w:t>
      </w:r>
      <w:r>
        <w:rPr>
          <w:rFonts w:ascii="WP TypographicSymbols" w:hAnsi="WP TypographicSymbols"/>
        </w:rPr>
        <w:t></w:t>
      </w:r>
      <w:r>
        <w:rPr/>
        <w:t xml:space="preserve">s obligations to deliver or receive the Product, the </w:t>
      </w:r>
      <w:r>
        <w:rPr>
          <w:u w:val="double"/>
        </w:rPr>
        <w:t>exclusive</w:t>
      </w:r>
      <w:r>
        <w:rPr/>
        <w:t xml:space="preserve"> remedy for which is provided in Article Four </w:t>
      </w:r>
      <w:r>
        <w:rPr>
          <w:strike/>
        </w:rPr>
        <w:t xml:space="preserve">in which event timely payment of damages set forth in Article Four constitutes performance) and such failure is not </w:t>
      </w:r>
      <w:r>
        <w:rPr>
          <w:u w:val="double"/>
        </w:rPr>
        <w:t>) if such failure shall not be</w:t>
      </w:r>
      <w:r>
        <w:rPr/>
        <w:t xml:space="preserve"> cured within three (3) Business Days after written notice </w:t>
      </w:r>
      <w:r>
        <w:rPr>
          <w:strike/>
        </w:rPr>
        <w:t>of such failure is given by the other Party;</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strike/>
        </w:rPr>
        <w:t>(d) the Defaulting</w:t>
      </w:r>
      <w:r>
        <w:rPr>
          <w:u w:val="double"/>
        </w:rPr>
        <w:t>(d)</w:t>
        <w:tab/>
        <w:t>a</w:t>
      </w:r>
      <w:r>
        <w:rPr/>
        <w:t xml:space="preserve"> Party shall be Bankrupt;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(e)</w:t>
        <w:tab/>
        <w:t xml:space="preserve">the failure of a Party to </w:t>
      </w:r>
      <w:r>
        <w:rPr>
          <w:strike/>
        </w:rPr>
        <w:t>meet</w:t>
      </w:r>
      <w:r>
        <w:rPr/>
        <w:t xml:space="preserve"> </w:t>
      </w:r>
      <w:r>
        <w:rPr>
          <w:u w:val="double"/>
        </w:rPr>
        <w:t>satisfy</w:t>
      </w:r>
      <w:r>
        <w:rPr/>
        <w:t xml:space="preserve"> the creditworthiness/collateral requirements </w:t>
      </w:r>
      <w:r>
        <w:rPr>
          <w:strike/>
        </w:rPr>
        <w:t>as set forth in</w:t>
      </w:r>
      <w:r>
        <w:rPr/>
        <w:t xml:space="preserve"> </w:t>
      </w:r>
      <w:r>
        <w:rPr>
          <w:u w:val="double"/>
        </w:rPr>
        <w:t>agreed to pursuant to</w:t>
      </w:r>
      <w:r>
        <w:rPr/>
        <w:t xml:space="preserve"> Article Eight hereof;</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strike/>
        </w:rPr>
      </w:pPr>
      <w:r>
        <w:rPr>
          <w:strike/>
        </w:rPr>
        <w:t>[(f) a Party or any guarantor of such Party consolidates or amalgamates with, or merges with or into, or transfers</w:t>
      </w:r>
      <w:r>
        <w:rPr>
          <w:u w:val="double"/>
        </w:rPr>
        <w:t>(f)</w:t>
        <w:tab/>
        <w:t>a Party shall consolidate or amalgamate with, or merge    with or into, or transfer</w:t>
      </w:r>
      <w:r>
        <w:rPr/>
        <w:t xml:space="preserve"> all or substantially all of its assets to, another entity and, at the time of such consolidation, amalgamation, merger or transfer</w:t>
      </w:r>
      <w:r>
        <w:rPr>
          <w:u w:val="double"/>
        </w:rPr>
        <w:t>,</w:t>
      </w:r>
      <w:r>
        <w:rPr/>
        <w:t xml:space="preserve"> </w:t>
      </w:r>
      <w:r>
        <w:rPr>
          <w:rFonts w:ascii="WP TypographicSymbols" w:hAnsi="WP TypographicSymbols"/>
          <w:strike/>
        </w:rPr>
        <w:t></w:t>
      </w:r>
      <w:r>
        <w:rPr>
          <w:strike/>
        </w:rPr>
        <w:t xml:space="preserv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strike/>
        </w:rPr>
        <w:t>(i)</w:t>
      </w:r>
      <w:r>
        <w:rPr/>
        <w:t xml:space="preserve"> the resulting, surviving or transferee entity </w:t>
      </w:r>
      <w:r>
        <w:rPr>
          <w:strike/>
        </w:rPr>
        <w:t>fails</w:t>
      </w:r>
      <w:r>
        <w:rPr/>
        <w:t xml:space="preserve"> </w:t>
      </w:r>
      <w:r>
        <w:rPr>
          <w:u w:val="double"/>
        </w:rPr>
        <w:t>shall fail</w:t>
      </w:r>
      <w:r>
        <w:rPr/>
        <w:t xml:space="preserve"> to assume all the obligations of such Party </w:t>
      </w:r>
      <w:r>
        <w:rPr>
          <w:strike/>
        </w:rPr>
        <w:t>or such guarantor</w:t>
      </w:r>
      <w:r>
        <w:rPr/>
        <w:t xml:space="preserve"> </w:t>
      </w:r>
      <w:r>
        <w:rPr>
          <w:u w:val="double"/>
        </w:rPr>
        <w:t>under this Master Agreement</w:t>
      </w:r>
      <w:r>
        <w:rPr/>
        <w:t xml:space="preserve"> to which it or its predecessor was a party by operation of law </w:t>
      </w:r>
      <w:r>
        <w:rPr>
          <w:strike/>
        </w:rPr>
        <w:t>and</w:t>
      </w:r>
      <w:r>
        <w:rPr/>
        <w:t xml:space="preserve"> </w:t>
      </w:r>
      <w:r>
        <w:rPr>
          <w:u w:val="double"/>
        </w:rPr>
        <w:t>or</w:t>
      </w:r>
      <w:r>
        <w:rPr/>
        <w:t xml:space="preserve"> pursuant to an agreement reasonably satisfactory to the other Party;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strike/>
        </w:rPr>
        <w:t xml:space="preserve">or </w:t>
      </w:r>
      <w:r>
        <w:rPr>
          <w:u w:val="double"/>
        </w:rPr>
        <w:t>(g)</w:t>
        <w:tab/>
        <w:t>if Cross Default is specified in the Cover Sheet as applying to a Party, the occurrence and continuation of (i) a default, event of default or other similar condition or event in respect to such Party or any other party specified in the Cover Sheet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in making on the due date therefor one or more payments, individually or collectively, in an aggregate amount of not less than the applicable Cross Default Amount (as specified in the Cover Sheet);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720" w:start="2160"/>
        <w:jc w:val="both"/>
        <w:rPr>
          <w:u w:val="double"/>
        </w:rPr>
      </w:pPr>
      <w:r>
        <w:rPr>
          <w:strike/>
        </w:rPr>
        <w:t>(ii) the benefits of the guarantor of a Party fail to extend (without the</w:t>
      </w:r>
      <w:r>
        <w:rPr>
          <w:u w:val="double"/>
        </w:rPr>
        <w:t>(h)</w:t>
        <w:tab/>
        <w:t>with respect to a Party's Guarantor, if any: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1440"/>
        <w:jc w:val="both"/>
        <w:rPr>
          <w:u w:val="double"/>
        </w:rPr>
      </w:pPr>
      <w:r>
        <w:rPr>
          <w:u w:val="double"/>
        </w:rPr>
        <w:t>(i)</w:t>
        <w:tab/>
        <w:t>if any representation or warranty made by a Guarantor shall be false or misleading in any material respect when made or when deemed to be repeated in any guaranty made in connection with this Master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1440"/>
        <w:jc w:val="both"/>
        <w:rPr>
          <w:u w:val="double"/>
        </w:rPr>
      </w:pPr>
      <w:r>
        <w:rPr>
          <w:u w:val="double"/>
        </w:rPr>
        <w:t>(ii)</w:t>
        <w:tab/>
        <w:t>the failure of a Guarantor to make any payment required or to perform any other material covenant or obligation in any guaranty made in connection with this Master Agreement and such failure shall not be cured within three (3) Business Days after written notice;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1440"/>
        <w:jc w:val="both"/>
        <w:rPr>
          <w:u w:val="double"/>
        </w:rPr>
      </w:pPr>
      <w:r>
        <w:rPr>
          <w:u w:val="double"/>
        </w:rPr>
        <w:t>(iii)</w:t>
        <w:tab/>
        <w:t xml:space="preserve">a Guarantor shall be Bankrupt;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1440"/>
        <w:jc w:val="both"/>
        <w:rPr>
          <w:u w:val="double"/>
        </w:rPr>
      </w:pPr>
      <w:r>
        <w:rPr>
          <w:u w:val="double"/>
        </w:rPr>
        <w:t>(iv)</w:t>
        <w:tab/>
        <w:t>the failure of a Guarantor to meet the creditworthiness/collateral requirements as set forth in Article Eight hereof;</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144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1440"/>
        <w:jc w:val="both"/>
        <w:rPr/>
      </w:pPr>
      <w:r>
        <w:rPr>
          <w:u w:val="double"/>
        </w:rPr>
        <w:t>(v)</w:t>
        <w:tab/>
        <w:t>the failure of a Guarntor</w:t>
      </w:r>
      <w:r>
        <w:rPr>
          <w:rFonts w:ascii="WP TypographicSymbols" w:hAnsi="WP TypographicSymbols"/>
          <w:u w:val="double"/>
        </w:rPr>
        <w:t></w:t>
      </w:r>
      <w:r>
        <w:rPr>
          <w:u w:val="double"/>
        </w:rPr>
        <w:t>s guaranty to be in full force and effect for purposes of this Master Agreement (other than in accordance with its terms) prior to the satisfaction of all obligations of such Party under each Transaction to which such guaranty shall relate without the written</w:t>
      </w:r>
      <w:r>
        <w:rPr/>
        <w:t xml:space="preserve"> consent of the other Party</w:t>
      </w:r>
      <w:r>
        <w:rPr>
          <w:strike/>
        </w:rPr>
        <w:t>) to the performance by such resulting, surviving or transferee entity of its obligations under this Agreement];</w:t>
      </w:r>
      <w:r>
        <w:rPr>
          <w:u w:val="double"/>
        </w:rPr>
        <w:t>; or</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1440"/>
        <w:jc w:val="both"/>
        <w:rPr/>
      </w:pPr>
      <w:r>
        <w:rPr>
          <w:strike/>
        </w:rPr>
        <w:t>(g) Cross</w:t>
        <w:noBreakHyphen/>
        <w:t>Default (Language to be provided) or</w:t>
      </w:r>
      <w:r>
        <w:rPr>
          <w:u w:val="double"/>
        </w:rPr>
        <w:t>(vi)</w:t>
        <w:tab/>
        <w:t xml:space="preserve">a Guarantor shall repudiate, disaffirm, disclaim, or reject, in whole or in part, or challenge the validity of any guaranty.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strike/>
        </w:rPr>
        <w:t>(h) Guarantor Cross</w:t>
        <w:noBreakHyphen/>
        <w:t>Default (Language to be provided).]</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strike/>
        </w:rPr>
        <w:t>5.2 Identification</w:t>
      </w:r>
      <w:r>
        <w:rPr/>
        <w:t xml:space="preserve"> </w:t>
      </w:r>
      <w:r>
        <w:rPr>
          <w:u w:val="double"/>
        </w:rPr>
        <w:t>5.2</w:t>
        <w:tab/>
        <w:t>Declaration</w:t>
      </w:r>
      <w:r>
        <w:rPr>
          <w:u w:val="single"/>
        </w:rPr>
        <w:t xml:space="preserve"> of an Early Termination Date and Calculation of Settlement Amounts</w:t>
      </w:r>
      <w:r>
        <w:rPr/>
        <w:t xml:space="preserve">.    </w:t>
      </w:r>
      <w:r>
        <w:rPr>
          <w:strike/>
        </w:rPr>
        <w:t>After the occurrence of</w:t>
      </w:r>
      <w:r>
        <w:rPr/>
        <w:t xml:space="preserve"> </w:t>
      </w:r>
      <w:r>
        <w:rPr>
          <w:u w:val="double"/>
        </w:rPr>
        <w:t>If</w:t>
      </w:r>
      <w:r>
        <w:rPr/>
        <w:t xml:space="preserve"> an Event of Default with respect to a Defaulting Party </w:t>
      </w:r>
      <w:r>
        <w:rPr>
          <w:u w:val="double"/>
        </w:rPr>
        <w:t>shall have occurred and be continuing</w:t>
      </w:r>
      <w:r>
        <w:rPr/>
        <w:t xml:space="preserve">, the other Party (the </w:t>
      </w:r>
      <w:r>
        <w:rPr>
          <w:rFonts w:ascii="WP TypographicSymbols" w:hAnsi="WP TypographicSymbols"/>
        </w:rPr>
        <w:t></w:t>
      </w:r>
      <w:r>
        <w:rPr/>
        <w:t>Non</w:t>
        <w:noBreakHyphen/>
        <w:t>Defaulting Party</w:t>
      </w:r>
      <w:r>
        <w:rPr>
          <w:rFonts w:ascii="WP TypographicSymbols" w:hAnsi="WP TypographicSymbols"/>
        </w:rPr>
        <w:t></w:t>
      </w:r>
      <w:r>
        <w:rPr/>
        <w:t>) shall have the right</w:t>
      </w:r>
      <w:r>
        <w:rPr>
          <w:u w:val="double"/>
        </w:rPr>
        <w:t>, (i)</w:t>
      </w:r>
      <w:r>
        <w:rPr/>
        <w:t xml:space="preserve"> to designate a day, no earlier than the day such notice is effective and no </w:t>
      </w:r>
      <w:r>
        <w:rPr>
          <w:strike/>
        </w:rPr>
        <w:t>more</w:t>
      </w:r>
      <w:r>
        <w:rPr/>
        <w:t xml:space="preserve"> </w:t>
      </w:r>
      <w:r>
        <w:rPr>
          <w:u w:val="double"/>
        </w:rPr>
        <w:t>later</w:t>
      </w:r>
      <w:r>
        <w:rPr/>
        <w:t xml:space="preserve"> than 20 days after </w:t>
      </w:r>
      <w:r>
        <w:rPr>
          <w:strike/>
        </w:rPr>
        <w:t>an Event of Default occurs,</w:t>
      </w:r>
      <w:r>
        <w:rPr/>
        <w:t xml:space="preserve"> </w:t>
      </w:r>
      <w:r>
        <w:rPr>
          <w:u w:val="double"/>
        </w:rPr>
        <w:t>such notice is effective</w:t>
      </w:r>
      <w:r>
        <w:rPr/>
        <w:t xml:space="preserve"> as an early termination date (</w:t>
      </w:r>
      <w:r>
        <w:rPr>
          <w:rFonts w:ascii="WP TypographicSymbols" w:hAnsi="WP TypographicSymbols"/>
        </w:rPr>
        <w:t></w:t>
      </w:r>
      <w:r>
        <w:rPr/>
        <w:t>Early Termination Date</w:t>
      </w:r>
      <w:r>
        <w:rPr>
          <w:rFonts w:ascii="WP TypographicSymbols" w:hAnsi="WP TypographicSymbols"/>
        </w:rPr>
        <w:t></w:t>
      </w:r>
      <w:r>
        <w:rPr/>
        <w:t xml:space="preserve">) to liquidate and terminate all, but not less than all, </w:t>
      </w:r>
      <w:r>
        <w:rPr>
          <w:strike/>
        </w:rPr>
        <w:t>of the Transactions then outstanding between the Parties</w:t>
      </w:r>
      <w:r>
        <w:rPr/>
        <w:t xml:space="preserve"> </w:t>
      </w:r>
      <w:r>
        <w:rPr>
          <w:u w:val="double"/>
        </w:rPr>
        <w:t xml:space="preserve">Transactions (each referred to as a </w:t>
      </w:r>
      <w:r>
        <w:rPr>
          <w:rFonts w:ascii="WP TypographicSymbols" w:hAnsi="WP TypographicSymbols"/>
          <w:u w:val="double"/>
        </w:rPr>
        <w:t></w:t>
      </w:r>
      <w:r>
        <w:rPr>
          <w:u w:val="double"/>
        </w:rPr>
        <w:t>Terminated Transaction</w:t>
      </w:r>
      <w:r>
        <w:rPr>
          <w:rFonts w:ascii="WP TypographicSymbols" w:hAnsi="WP TypographicSymbols"/>
          <w:u w:val="double"/>
        </w:rPr>
        <w:t></w:t>
      </w:r>
      <w:r>
        <w:rPr>
          <w:u w:val="double"/>
        </w:rPr>
        <w:t>) between the Parties, and (ii) withhold any payments due to the Defaulting Party under this Agreement</w:t>
      </w:r>
      <w:r>
        <w:rPr/>
        <w:t>.    The Non</w:t>
        <w:noBreakHyphen/>
        <w:t xml:space="preserve">Defaulting Party shall calculate, in a commercially reasonable manner, a Settlement Amount for each such </w:t>
      </w:r>
      <w:r>
        <w:rPr>
          <w:u w:val="double"/>
        </w:rPr>
        <w:t>Terminated</w:t>
      </w:r>
      <w:r>
        <w:rPr/>
        <w:t xml:space="preserve"> Transaction as of the Early Termination Date (or, to the extent that in the </w:t>
      </w:r>
      <w:r>
        <w:rPr>
          <w:strike/>
        </w:rPr>
        <w:t>good faith</w:t>
      </w:r>
      <w:r>
        <w:rPr/>
        <w:t xml:space="preserve"> </w:t>
      </w:r>
      <w:r>
        <w:rPr>
          <w:u w:val="double"/>
        </w:rPr>
        <w:t>reasonable</w:t>
      </w:r>
      <w:r>
        <w:rPr/>
        <w:t xml:space="preserve"> opinion of the Non</w:t>
        <w:noBreakHyphen/>
        <w:t xml:space="preserve">Defaulting Party certain of such </w:t>
      </w:r>
      <w:r>
        <w:rPr>
          <w:u w:val="double"/>
        </w:rPr>
        <w:t>Terminated</w:t>
      </w:r>
      <w:r>
        <w:rPr/>
        <w:t xml:space="preserve"> Transactions are commercially impracticable to </w:t>
      </w:r>
      <w:r>
        <w:rPr>
          <w:strike/>
        </w:rPr>
        <w:t>close out and</w:t>
      </w:r>
      <w:r>
        <w:rPr/>
        <w:t xml:space="preserve"> liquidate </w:t>
      </w:r>
      <w:r>
        <w:rPr>
          <w:u w:val="double"/>
        </w:rPr>
        <w:t>and terminate</w:t>
      </w:r>
      <w:r>
        <w:rPr/>
        <w:t xml:space="preserve"> or may not be </w:t>
      </w:r>
      <w:r>
        <w:rPr>
          <w:strike/>
        </w:rPr>
        <w:t>closed out and</w:t>
      </w:r>
      <w:r>
        <w:rPr/>
        <w:t xml:space="preserve"> liquidated </w:t>
      </w:r>
      <w:r>
        <w:rPr>
          <w:u w:val="double"/>
        </w:rPr>
        <w:t>and terminated</w:t>
      </w:r>
      <w:r>
        <w:rPr/>
        <w:t xml:space="preserve"> under applicable law on the Early Termination Date, as soon thereafter as is reasonably practicable).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5.3</w:t>
        <w:tab/>
      </w:r>
      <w:r>
        <w:rPr>
          <w:strike/>
          <w:u w:val="single"/>
        </w:rPr>
        <w:t>[Set Off/Net</w:t>
      </w:r>
      <w:r>
        <w:rPr>
          <w:u w:val="single"/>
        </w:rPr>
        <w:t xml:space="preserve"> </w:t>
      </w:r>
      <w:r>
        <w:rPr>
          <w:u w:val="double"/>
        </w:rPr>
        <w:t>Net</w:t>
      </w:r>
      <w:r>
        <w:rPr>
          <w:u w:val="single"/>
        </w:rPr>
        <w:t xml:space="preserve"> Out </w:t>
      </w:r>
      <w:r>
        <w:rPr>
          <w:strike/>
          <w:u w:val="single"/>
        </w:rPr>
        <w:t>]</w:t>
      </w:r>
      <w:r>
        <w:rPr>
          <w:u w:val="single"/>
        </w:rPr>
        <w:t xml:space="preserve"> of Settlement Amounts</w:t>
      </w:r>
      <w:r>
        <w:rPr/>
        <w:t>.    The Non</w:t>
        <w:noBreakHyphen/>
        <w:t xml:space="preserve">Defaulting Party shall </w:t>
      </w:r>
      <w:r>
        <w:rPr>
          <w:strike/>
        </w:rPr>
        <w:t>[set off/net out] (a) all such</w:t>
      </w:r>
      <w:r>
        <w:rPr/>
        <w:t xml:space="preserve"> </w:t>
      </w:r>
      <w:r>
        <w:rPr>
          <w:u w:val="double"/>
        </w:rPr>
        <w:t>aggregate all Settlement Amounts into a single amount by:    netting out (a) all</w:t>
      </w:r>
      <w:r>
        <w:rPr/>
        <w:t xml:space="preserve"> Settlement Amounts that are due to the Defaulting Party, plus </w:t>
      </w:r>
      <w:r>
        <w:rPr>
          <w:strike/>
        </w:rPr>
        <w:t>any cash or other form of security then available to</w:t>
      </w:r>
      <w:r>
        <w:rPr>
          <w:u w:val="double"/>
        </w:rPr>
        <w:t xml:space="preserve">, at the option of </w:t>
      </w:r>
      <w:r>
        <w:rPr/>
        <w:t>the Non</w:t>
        <w:noBreakHyphen/>
        <w:t>Defaulting Party</w:t>
      </w:r>
      <w:r>
        <w:rPr>
          <w:u w:val="double"/>
        </w:rPr>
        <w:t>, any cash or other form of security then available to the Non</w:t>
        <w:noBreakHyphen/>
        <w:t>Defaulting Party</w:t>
      </w:r>
      <w:r>
        <w:rPr/>
        <w:t xml:space="preserve"> pursuant to Article Eight, plus </w:t>
      </w:r>
      <w:r>
        <w:rPr>
          <w:strike/>
        </w:rPr>
        <w:t>(at the Non</w:t>
        <w:noBreakHyphen/>
        <w:t>Defaulting Party's election)</w:t>
      </w:r>
      <w:r>
        <w:rPr/>
        <w:t xml:space="preserve"> any or all other amounts due </w:t>
      </w:r>
      <w:r>
        <w:rPr>
          <w:strike/>
        </w:rPr>
        <w:t>(whether</w:t>
      </w:r>
      <w:r>
        <w:rPr/>
        <w:t xml:space="preserve"> </w:t>
      </w:r>
      <w:r>
        <w:rPr>
          <w:u w:val="double"/>
        </w:rPr>
        <w:t>to the Defaulting Party</w:t>
      </w:r>
      <w:r>
        <w:rPr/>
        <w:t xml:space="preserve"> under </w:t>
      </w:r>
      <w:r>
        <w:rPr>
          <w:strike/>
        </w:rPr>
        <w:t>the</w:t>
      </w:r>
      <w:r>
        <w:rPr/>
        <w:t xml:space="preserve"> </w:t>
      </w:r>
      <w:r>
        <w:rPr>
          <w:u w:val="double"/>
        </w:rPr>
        <w:t>this</w:t>
      </w:r>
      <w:r>
        <w:rPr/>
        <w:t xml:space="preserve"> Agreement </w:t>
      </w:r>
      <w:r>
        <w:rPr>
          <w:strike/>
        </w:rPr>
        <w:t>or otherwise and whether or not due)</w:t>
      </w:r>
      <w:r>
        <w:rPr/>
        <w:t xml:space="preserve"> against (b) all </w:t>
      </w:r>
      <w:r>
        <w:rPr>
          <w:strike/>
        </w:rPr>
        <w:t>such</w:t>
      </w:r>
      <w:r>
        <w:rPr/>
        <w:t xml:space="preserve"> Settlement Amounts that are due to the Non</w:t>
        <w:noBreakHyphen/>
        <w:t xml:space="preserve">Defaulting Party, plus any </w:t>
      </w:r>
      <w:r>
        <w:rPr>
          <w:strike/>
        </w:rPr>
        <w:t>cash or other form of security then available to the Defaulting Party pursuant to Article Eight, plus (at the Non</w:t>
        <w:noBreakHyphen/>
        <w:t>Defaulting Party's election) any</w:t>
      </w:r>
      <w:r>
        <w:rPr/>
        <w:t xml:space="preserve"> or all other amounts due </w:t>
      </w:r>
      <w:r>
        <w:rPr>
          <w:strike/>
        </w:rPr>
        <w:t>(whether</w:t>
      </w:r>
      <w:r>
        <w:rPr/>
        <w:t xml:space="preserve"> </w:t>
      </w:r>
      <w:r>
        <w:rPr>
          <w:u w:val="double"/>
        </w:rPr>
        <w:t>to the Non</w:t>
        <w:noBreakHyphen/>
        <w:t>Defaulting Party</w:t>
      </w:r>
      <w:r>
        <w:rPr/>
        <w:t xml:space="preserve"> under </w:t>
      </w:r>
      <w:r>
        <w:rPr>
          <w:strike/>
        </w:rPr>
        <w:t>the</w:t>
      </w:r>
      <w:r>
        <w:rPr/>
        <w:t xml:space="preserve"> </w:t>
      </w:r>
      <w:r>
        <w:rPr>
          <w:u w:val="double"/>
        </w:rPr>
        <w:t>this</w:t>
      </w:r>
      <w:r>
        <w:rPr/>
        <w:t xml:space="preserve"> Agreement </w:t>
      </w:r>
      <w:r>
        <w:rPr>
          <w:strike/>
        </w:rPr>
        <w:t>or otherwise and whether or not due)</w:t>
      </w:r>
      <w:r>
        <w:rPr/>
        <w:t xml:space="preserve">, so that all such amounts shall be netted </w:t>
      </w:r>
      <w:r>
        <w:rPr>
          <w:u w:val="double"/>
        </w:rPr>
        <w:t>out</w:t>
      </w:r>
      <w:r>
        <w:rPr/>
        <w:t xml:space="preserve"> to a single liquidated amount (the </w:t>
      </w:r>
      <w:r>
        <w:rPr>
          <w:rFonts w:ascii="WP TypographicSymbols" w:hAnsi="WP TypographicSymbols"/>
        </w:rPr>
        <w:t></w:t>
      </w:r>
      <w:r>
        <w:rPr/>
        <w:t>Termination Payment</w:t>
      </w:r>
      <w:r>
        <w:rPr>
          <w:rFonts w:ascii="WP TypographicSymbols" w:hAnsi="WP TypographicSymbols"/>
        </w:rPr>
        <w:t></w:t>
      </w:r>
      <w:r>
        <w:rPr/>
        <w:t xml:space="preserve">) payable by one </w:t>
      </w:r>
      <w:r>
        <w:rPr>
          <w:strike/>
        </w:rPr>
        <w:t>party</w:t>
      </w:r>
      <w:r>
        <w:rPr/>
        <w:t xml:space="preserve"> </w:t>
      </w:r>
      <w:r>
        <w:rPr>
          <w:u w:val="double"/>
        </w:rPr>
        <w:t>Party</w:t>
      </w:r>
      <w:r>
        <w:rPr/>
        <w:t xml:space="preserve"> to the other.    The </w:t>
      </w:r>
      <w:r>
        <w:rPr>
          <w:strike/>
        </w:rPr>
        <w:t>Settlement Amount</w:t>
      </w:r>
      <w:r>
        <w:rPr/>
        <w:t xml:space="preserve"> </w:t>
      </w:r>
      <w:r>
        <w:rPr>
          <w:u w:val="double"/>
        </w:rPr>
        <w:t>Termination Payment</w:t>
      </w:r>
      <w:r>
        <w:rPr/>
        <w:t xml:space="preserve"> shall be due to or </w:t>
      </w:r>
      <w:r>
        <w:rPr>
          <w:u w:val="double"/>
        </w:rPr>
        <w:t>due</w:t>
      </w:r>
      <w:r>
        <w:rPr/>
        <w:t xml:space="preserve"> from the Non</w:t>
        <w:noBreakHyphen/>
        <w:t>Defaulting Party as appropriate.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5.4</w:t>
        <w:tab/>
      </w:r>
      <w:r>
        <w:rPr>
          <w:u w:val="single"/>
        </w:rPr>
        <w:t xml:space="preserve">Notice of </w:t>
      </w:r>
      <w:r>
        <w:rPr>
          <w:u w:val="double"/>
        </w:rPr>
        <w:t>Payment of</w:t>
      </w:r>
      <w:r>
        <w:rPr>
          <w:u w:val="single"/>
        </w:rPr>
        <w:t xml:space="preserve"> Termination Payment</w:t>
      </w:r>
      <w:r>
        <w:rPr/>
        <w:t xml:space="preserve">.    </w:t>
      </w:r>
      <w:r>
        <w:rPr>
          <w:strike/>
        </w:rPr>
        <w:t>Notice that a liquidation and [set off/net out] have occurred pursuant to this Article Five</w:t>
      </w:r>
      <w:r>
        <w:rPr/>
        <w:t xml:space="preserve"> </w:t>
      </w:r>
      <w:r>
        <w:rPr>
          <w:u w:val="double"/>
        </w:rPr>
        <w:t>As soon as practicable after a liquidation, notice</w:t>
      </w:r>
      <w:r>
        <w:rPr/>
        <w:t xml:space="preserve"> shall be given by the Non</w:t>
        <w:noBreakHyphen/>
        <w:t xml:space="preserve">Defaulting Party to the Defaulting Party </w:t>
      </w:r>
      <w:r>
        <w:rPr>
          <w:strike/>
        </w:rPr>
        <w:t>before the close of business on the Business Day following such liquidation and [set off/net out], provided that failure to give such notice shall not affect the validity or enforceability of the liquidation and [set off/net out] or give rise to any claim by the Defaulting Party against</w:t>
      </w:r>
      <w:r>
        <w:rPr/>
        <w:t xml:space="preserve"> </w:t>
      </w:r>
      <w:r>
        <w:rPr>
          <w:u w:val="double"/>
        </w:rPr>
        <w:t>of the amount of the Termination Payment and whether the Termination Payment is due to or due from</w:t>
      </w:r>
      <w:r>
        <w:rPr/>
        <w:t xml:space="preserve"> the Non</w:t>
        <w:noBreakHyphen/>
        <w:t xml:space="preserve">Defaulting Party.    The notice shall </w:t>
      </w:r>
      <w:r>
        <w:rPr>
          <w:strike/>
        </w:rPr>
        <w:t>specify the amount of the Termination Payment and whether it is owed by or to the Defaulting Party</w:t>
      </w:r>
      <w:r>
        <w:rPr/>
        <w:t xml:space="preserve"> </w:t>
      </w:r>
      <w:r>
        <w:rPr>
          <w:u w:val="double"/>
        </w:rPr>
        <w:t>include a written statement explaining in reasonable detail the calculation of such amount</w:t>
      </w:r>
      <w:r>
        <w:rPr/>
        <w:t>.    The Termination Payment shall be made by the Party that owes it within two (2) Business Days after such notice is given.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5.5</w:t>
        <w:tab/>
      </w:r>
      <w:r>
        <w:rPr>
          <w:u w:val="single"/>
        </w:rPr>
        <w:t>Disputes With Respect to Termination Payment</w:t>
      </w:r>
      <w:r>
        <w:rPr/>
        <w:t>.    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 xml:space="preserve">Defaulting Party a detailed written explanation of the basis for such dispute; provided, however, that if the Termination Payment is due from the Defaulting Party, the Defaulting Party shall first transfer </w:t>
      </w:r>
      <w:r>
        <w:rPr>
          <w:strike/>
        </w:rPr>
        <w:t>collateral (of a type and in a form acceptable</w:t>
      </w:r>
      <w:r>
        <w:rPr/>
        <w:t xml:space="preserve"> </w:t>
      </w:r>
      <w:r>
        <w:rPr>
          <w:u w:val="double"/>
        </w:rPr>
        <w:t>Performance Assurance</w:t>
      </w:r>
      <w:r>
        <w:rPr/>
        <w:t xml:space="preserve"> to the Non</w:t>
        <w:noBreakHyphen/>
        <w:t xml:space="preserve">Defaulting </w:t>
      </w:r>
      <w:r>
        <w:rPr>
          <w:strike/>
        </w:rPr>
        <w:t>Party) to the Non</w:t>
        <w:noBreakHyphen/>
        <w:t>Defaulting</w:t>
      </w:r>
      <w:r>
        <w:rPr/>
        <w:t xml:space="preserve"> Party in an amount equal to the Termination Payment.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If the Parties cannot resolve such dispute within three (3) Business Days of the Non</w:t>
        <w:noBreakHyphen/>
        <w:t xml:space="preserve">Defaulting Party's receipt of the Defaulting Party's written explanation, then either Party may submit such dispute to arbitration in accordance with the arbitration procedures set forth in Article Nine hereof. Any payment that is due as a result of the arbitrator's award shall be paid in full, along with interest accrued at the Interest Rate from the Early Termination Date until the date paid, by the Party that owes it within two (2) Business Days after the award is rendered. </w:t>
      </w:r>
      <w:r>
        <w:rPr>
          <w:u w:val="double"/>
        </w:rPr>
        <w:t>5.6</w:t>
        <w:tab/>
        <w:t xml:space="preserve">Setoffs. 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b/>
          <w:strike/>
        </w:rPr>
        <w:t>5.6 Setoffs. Without limiting its rights under this Article Five or otherwise, after an Event of Default</w:t>
      </w:r>
      <w:r>
        <w:rPr>
          <w:b/>
        </w:rPr>
        <w:t xml:space="preserve"> </w:t>
      </w:r>
      <w:r>
        <w:rPr>
          <w:b/>
          <w:u w:val="double"/>
        </w:rPr>
        <w:t xml:space="preserve">Option A: </w:t>
      </w:r>
      <w:r>
        <w:rPr>
          <w:u w:val="double"/>
        </w:rPr>
        <w:t>After calculation of a liquidation amount in accordance with Section 5.3,    if the Defaulting Party would be owed the Termination Payment</w:t>
      </w:r>
      <w:r>
        <w:rPr/>
        <w:t>, the Non</w:t>
        <w:noBreakHyphen/>
        <w:t xml:space="preserve">Defaulting Party </w:t>
      </w:r>
      <w:r>
        <w:rPr>
          <w:strike/>
        </w:rPr>
        <w:t>may from time to time [set off/net out] any or all amounts which</w:t>
      </w:r>
      <w:r>
        <w:rPr/>
        <w:t xml:space="preserve"> </w:t>
      </w:r>
      <w:r>
        <w:rPr>
          <w:u w:val="double"/>
        </w:rPr>
        <w:t>shall be entitled, at its option and in its discretion, to (i) set off against such amount any amounts payable by</w:t>
      </w:r>
      <w:r>
        <w:rPr/>
        <w:t xml:space="preserve"> the Defaulting Party </w:t>
      </w:r>
      <w:r>
        <w:rPr>
          <w:strike/>
        </w:rPr>
        <w:t>owes to it (whether under the Agreement or otherwise and whether or not then due) against any or all amounts which it owes to</w:t>
      </w:r>
      <w:r>
        <w:rPr/>
        <w:t xml:space="preserve"> </w:t>
      </w:r>
      <w:r>
        <w:rPr>
          <w:u w:val="double"/>
        </w:rPr>
        <w:t>to the Non</w:t>
        <w:noBreakHyphen/>
        <w:t>Defaulting Party under this Agreement or under any other agreements, instruments or undertakings between</w:t>
      </w:r>
      <w:r>
        <w:rPr/>
        <w:t xml:space="preserve"> the Defaulting Party </w:t>
      </w:r>
      <w:r>
        <w:rPr>
          <w:strike/>
        </w:rPr>
        <w:t>(whether under the Agreement or otherwise and whether or not then due), provided that any amount not then due which is included in such [set off/net out] shall be discounted to present value (in the manner specified in Article 5.2) as at the time of [set off/net out] (to take account of the period between the date of [set off/net out] and the date on which such amount would have otherwise been due).</w:t>
      </w:r>
      <w:r>
        <w:rPr/>
        <w:t xml:space="preserve"> </w:t>
      </w:r>
      <w:r>
        <w:rPr>
          <w:u w:val="double"/>
        </w:rPr>
        <w:t>and the Non</w:t>
        <w:noBreakHyphen/>
        <w:t xml:space="preserve">Defaulting Party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b/>
          <w:u w:val="double"/>
        </w:rPr>
        <w:t>Option B:</w:t>
      </w:r>
      <w:r>
        <w:rPr>
          <w:u w:val="double"/>
        </w:rPr>
        <w:t xml:space="preserve"> After calculation of a liquidation amount in accordance with Section 5.3,    if the Defaulting Party would be owed the Termination Payment, the Non</w:t>
        <w:noBreakHyphen/>
        <w:t>Defaulting Party shall be entitled, at its option and in its discretion, to (i) set off against such amount any amounts payable by the Defaulting Party to the Non</w:t>
        <w:noBreakHyphen/>
        <w:t>Defaulting Party    or any of its Affiliates under this Agreement or under any other agreements, instruments or undertakings between the Defaulting Party and the Non</w:t>
        <w:noBreakHyphen/>
        <w:t xml:space="preserve">Defaulting Party or any of its Affiliates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b/>
          <w:u w:val="double"/>
        </w:rPr>
        <w:t>Option C:</w:t>
      </w:r>
      <w:r>
        <w:rPr>
          <w:u w:val="double"/>
        </w:rPr>
        <w:t xml:space="preserve"> No Setoffs.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5.7</w:t>
        <w:tab/>
      </w:r>
      <w:r>
        <w:rPr>
          <w:u w:val="single"/>
        </w:rPr>
        <w:t>Suspension of Performance</w:t>
      </w:r>
      <w:r>
        <w:rPr/>
        <w:t xml:space="preserve">.    Notwithstanding any other provision of this </w:t>
      </w:r>
      <w:r>
        <w:rPr>
          <w:u w:val="double"/>
        </w:rPr>
        <w:t>Master</w:t>
      </w:r>
      <w:r>
        <w:rPr/>
        <w:t xml:space="preserve"> Agreement, after the occurrence of </w:t>
      </w:r>
      <w:r>
        <w:rPr>
          <w:u w:val="double"/>
        </w:rPr>
        <w:t>(a)</w:t>
      </w:r>
      <w:r>
        <w:rPr/>
        <w:t xml:space="preserve"> an Event of Default</w:t>
      </w:r>
      <w:r>
        <w:rPr>
          <w:strike/>
        </w:rPr>
        <w:t xml:space="preserve">, or an event which, with the giving of notice or the passage of time or both, would constitute an Event of Default, with respect to a Party, the other Party </w:t>
      </w:r>
      <w:r>
        <w:rPr/>
        <w:t xml:space="preserve"> </w:t>
      </w:r>
      <w:r>
        <w:rPr>
          <w:u w:val="double"/>
        </w:rPr>
        <w:t>so long as the Event of Default is continuing and has not been cured or (b) a Potential Event of Default, the Non</w:t>
        <w:noBreakHyphen/>
        <w:t>Defaulting Party, upon written notice to the Defaulting Party,</w:t>
      </w:r>
      <w:r>
        <w:rPr/>
        <w:t xml:space="preserve"> shall have the right </w:t>
      </w:r>
      <w:r>
        <w:rPr>
          <w:u w:val="double"/>
        </w:rPr>
        <w:t>(1)</w:t>
      </w:r>
      <w:r>
        <w:rPr/>
        <w:t xml:space="preserve"> to suspend performance under any or all Transactions</w:t>
      </w:r>
      <w:r>
        <w:rPr>
          <w:u w:val="double"/>
        </w:rPr>
        <w:t>; provided, however, in no event shall any such suspension continue for longer than ten (10) Business Days with respect to any single Transaction unless notice pursuant to Section 5.2 has been given, and (2) to exercise any remedy available at law or in equity</w:t>
      </w:r>
      <w:r>
        <w:rPr/>
        <w:t xml:space="preserv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rPr>
      </w:pPr>
      <w:r>
        <w:rPr>
          <w:b/>
          <w:u w:val="single"/>
        </w:rPr>
        <w:t>ARTICLE SIX</w:t>
      </w:r>
      <w:r>
        <w:rPr>
          <w:b/>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u w:val="single"/>
        </w:rPr>
      </w:pPr>
      <w:r>
        <w:rPr>
          <w:b/>
        </w:rPr>
        <w:t>PAYMENT AND NETTING</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6.1</w:t>
        <w:tab/>
      </w:r>
      <w:r>
        <w:rPr>
          <w:u w:val="single"/>
        </w:rPr>
        <w:t>Billing Period</w:t>
      </w:r>
      <w:r>
        <w:rPr/>
        <w:t xml:space="preserve">.    Unless otherwise specifically agreed upon by the Parties in a Transaction, the calendar month shall be the standard period for all payments (other than Termination Payments </w:t>
      </w:r>
      <w:r>
        <w:rPr>
          <w:strike/>
        </w:rPr>
        <w:t>)</w:t>
      </w:r>
      <w:r>
        <w:rPr/>
        <w:t xml:space="preserve"> </w:t>
      </w:r>
      <w:r>
        <w:rPr>
          <w:u w:val="double"/>
        </w:rPr>
        <w:t xml:space="preserve">and, if </w:t>
      </w:r>
      <w:r>
        <w:rPr>
          <w:rFonts w:ascii="WP TypographicSymbols" w:hAnsi="WP TypographicSymbols"/>
          <w:u w:val="double"/>
        </w:rPr>
        <w:t></w:t>
      </w:r>
      <w:r>
        <w:rPr>
          <w:u w:val="double"/>
        </w:rPr>
        <w:t>Accelerated Payment of Damages</w:t>
      </w:r>
      <w:r>
        <w:rPr>
          <w:rFonts w:ascii="WP TypographicSymbols" w:hAnsi="WP TypographicSymbols"/>
          <w:u w:val="double"/>
        </w:rPr>
        <w:t></w:t>
      </w:r>
      <w:r>
        <w:rPr>
          <w:u w:val="double"/>
        </w:rPr>
        <w:t xml:space="preserve"> is specified by the Parties in the Cover Sheet, payments pursuant to Section 4.1 or 4.2)</w:t>
      </w:r>
      <w:r>
        <w:rPr/>
        <w:t xml:space="preserve"> under this Agreement.    As soon as practicable after the end of each month, each Party will render to the other Party an invoice for the payment obligations, if any, incurred hereunder during the preceding month.</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6.2</w:t>
        <w:tab/>
      </w:r>
      <w:r>
        <w:rPr>
          <w:u w:val="single"/>
        </w:rPr>
        <w:t>Timeliness of Payment</w:t>
      </w:r>
      <w:r>
        <w:rPr/>
        <w:t xml:space="preserve">.    Unless otherwise </w:t>
      </w:r>
      <w:r>
        <w:rPr>
          <w:strike/>
        </w:rPr>
        <w:t>specifically</w:t>
      </w:r>
      <w:r>
        <w:rPr/>
        <w:t xml:space="preserve"> agreed </w:t>
      </w:r>
      <w:r>
        <w:rPr>
          <w:strike/>
        </w:rPr>
        <w:t>upon</w:t>
      </w:r>
      <w:r>
        <w:rPr/>
        <w:t xml:space="preserve"> by the Parties in a Transaction, all invoices </w:t>
      </w:r>
      <w:r>
        <w:rPr>
          <w:strike/>
        </w:rPr>
        <w:t>for service under this Agreement shall be rendered as soon as practicable after the end of each month and</w:t>
      </w:r>
      <w:r>
        <w:rPr/>
        <w:t xml:space="preserve"> </w:t>
      </w:r>
      <w:r>
        <w:rPr>
          <w:u w:val="double"/>
        </w:rPr>
        <w:t xml:space="preserve">under this Master Agreement </w:t>
      </w:r>
      <w:r>
        <w:rPr/>
        <w:t>shall be due and payable</w:t>
      </w:r>
      <w:r>
        <w:rPr>
          <w:strike/>
        </w:rPr>
        <w:t>, unless otherwise agreed upon,</w:t>
      </w:r>
      <w:r>
        <w:rPr/>
        <w:t xml:space="preserve"> in accordance with each Party</w:t>
      </w:r>
      <w:r>
        <w:rPr>
          <w:rFonts w:ascii="WP TypographicSymbols" w:hAnsi="WP TypographicSymbols"/>
        </w:rPr>
        <w:t></w:t>
      </w:r>
      <w:r>
        <w:rPr/>
        <w:t xml:space="preserve">s invoice instructions on or before the later of the twentieth (20th) day of each month, or </w:t>
      </w:r>
      <w:r>
        <w:rPr>
          <w:strike/>
        </w:rPr>
        <w:t>ten (10) days</w:t>
      </w:r>
      <w:r>
        <w:rPr/>
        <w:t xml:space="preserve"> </w:t>
      </w:r>
      <w:r>
        <w:rPr>
          <w:u w:val="double"/>
        </w:rPr>
        <w:t>tenth (10th) day</w:t>
      </w:r>
      <w:r>
        <w:rPr/>
        <w:t xml:space="preserve"> after receipt of the invoice </w:t>
      </w:r>
      <w:r>
        <w:rPr>
          <w:u w:val="double"/>
        </w:rPr>
        <w:t>or, if such day is not a Business Day, then on the next Business Day</w:t>
      </w:r>
      <w:r>
        <w:rPr/>
        <w:t>.    Each Party will make payments by wire transfer, or by other mutually agreeable method(s), to the account designated by the other Party.    Any amounts, both principal and interest, not paid by the due date will be deemed delinquent and will accrue interest at the Interest Rate, such interest to be calculated from the due date to the date the unpaid amount is paid in full.</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6.3</w:t>
        <w:tab/>
      </w:r>
      <w:r>
        <w:rPr>
          <w:u w:val="single"/>
        </w:rPr>
        <w:t>Disputes and Adjustments of Invoices</w:t>
      </w:r>
      <w:r>
        <w:rPr/>
        <w:t xml:space="preserve">.    A Party may, in good faith, </w:t>
      </w:r>
      <w:r>
        <w:rPr>
          <w:strike/>
        </w:rPr>
        <w:t>challenge</w:t>
      </w:r>
      <w:r>
        <w:rPr/>
        <w:t xml:space="preserve"> </w:t>
      </w:r>
      <w:r>
        <w:rPr>
          <w:u w:val="double"/>
        </w:rPr>
        <w:t>dispute</w:t>
      </w:r>
      <w:r>
        <w:rPr/>
        <w:t xml:space="preserve"> the correctness of any invoice </w:t>
      </w:r>
      <w:r>
        <w:rPr>
          <w:u w:val="double"/>
        </w:rPr>
        <w:t>or adjustment to an invoice</w:t>
      </w:r>
      <w:r>
        <w:rPr/>
        <w:t xml:space="preserve"> rendered under </w:t>
      </w:r>
      <w:r>
        <w:rPr>
          <w:strike/>
        </w:rPr>
        <w:t>the</w:t>
      </w:r>
      <w:r>
        <w:rPr/>
        <w:t xml:space="preserve"> </w:t>
      </w:r>
      <w:r>
        <w:rPr>
          <w:u w:val="double"/>
        </w:rPr>
        <w:t>this</w:t>
      </w:r>
      <w:r>
        <w:rPr/>
        <w:t xml:space="preserve"> Agreement or adjust any invoice for any arithmetic or computational error within twelve (12) months of the date the invoice </w:t>
      </w:r>
      <w:r>
        <w:rPr>
          <w:u w:val="double"/>
        </w:rPr>
        <w:t>or adjustment to an invoice</w:t>
      </w:r>
      <w:r>
        <w:rPr/>
        <w:t xml:space="preserve"> was rendered.    In the event an invoice or portion thereof, or any other claim or adjustment arising hereunder, is </w:t>
      </w:r>
      <w:r>
        <w:rPr>
          <w:strike/>
        </w:rPr>
        <w:t>challenged</w:t>
      </w:r>
      <w:r>
        <w:rPr/>
        <w:t xml:space="preserve"> </w:t>
      </w:r>
      <w:r>
        <w:rPr>
          <w:u w:val="double"/>
        </w:rPr>
        <w:t>disputed</w:t>
      </w:r>
      <w:r>
        <w:rPr/>
        <w:t xml:space="preserve">, payment of the undisputed portion of the invoice shall be </w:t>
      </w:r>
      <w:r>
        <w:rPr>
          <w:u w:val="double"/>
        </w:rPr>
        <w:t>required to be</w:t>
      </w:r>
      <w:r>
        <w:rPr/>
        <w:t xml:space="preserve"> made when due, with notice of the objection given to the other Party </w:t>
      </w:r>
      <w:r>
        <w:rPr>
          <w:strike/>
        </w:rPr>
        <w:t>at the time</w:t>
      </w:r>
      <w:r>
        <w:rPr/>
        <w:t xml:space="preserve">.    Any billing </w:t>
      </w:r>
      <w:r>
        <w:rPr>
          <w:strike/>
        </w:rPr>
        <w:t>challenge</w:t>
      </w:r>
      <w:r>
        <w:rPr/>
        <w:t xml:space="preserve"> </w:t>
      </w:r>
      <w:r>
        <w:rPr>
          <w:u w:val="double"/>
        </w:rPr>
        <w:t>dispute</w:t>
      </w:r>
      <w:r>
        <w:rPr/>
        <w:t xml:space="preserve"> or billing adjustment shall be in writing and shall state the </w:t>
      </w:r>
      <w:r>
        <w:rPr>
          <w:strike/>
        </w:rPr>
        <w:t xml:space="preserve">specific basis for the challenge or adjustment. </w:t>
      </w:r>
      <w:r>
        <w:rPr>
          <w:u w:val="double"/>
        </w:rPr>
        <w:t>basis for the dispute or adjustment.    Payment of the disputed amount shall not be required until the dispute is resolved.</w:t>
      </w:r>
      <w:r>
        <w:rPr/>
        <w:t xml:space="preserve">    If it is determined that an adjustment to the invoice is appropriate, then such payment shall be </w:t>
      </w:r>
      <w:r>
        <w:rPr>
          <w:u w:val="double"/>
        </w:rPr>
        <w:t>required to be</w:t>
      </w:r>
      <w:r>
        <w:rPr/>
        <w:t xml:space="preserve"> made within two (2) Business Days of such determination along with interest accrued at the Interest Rate from the due date until the date paid.    Inadvertent overpayments shall be returned </w:t>
      </w:r>
      <w:r>
        <w:rPr>
          <w:strike/>
        </w:rPr>
        <w:t>by Seller</w:t>
      </w:r>
      <w:r>
        <w:rPr/>
        <w:t xml:space="preserve"> upon request or deducted by </w:t>
      </w:r>
      <w:r>
        <w:rPr>
          <w:strike/>
        </w:rPr>
        <w:t>Seller</w:t>
      </w:r>
      <w:r>
        <w:rPr/>
        <w:t xml:space="preserve"> </w:t>
      </w:r>
      <w:r>
        <w:rPr>
          <w:u w:val="double"/>
        </w:rPr>
        <w:t>the Party receiving such overpayment</w:t>
      </w:r>
      <w:r>
        <w:rPr/>
        <w:t xml:space="preserve"> from subsequent payments, with interest accrued at the Interest Rate from the date of such overpayment until the date repaid or deducted by </w:t>
      </w:r>
      <w:r>
        <w:rPr>
          <w:strike/>
        </w:rPr>
        <w:t>Seller. An invoice rendered under the Agreement shall be binding unless challenged</w:t>
      </w:r>
      <w:r>
        <w:rPr/>
        <w:t xml:space="preserve"> </w:t>
      </w:r>
      <w:r>
        <w:rPr>
          <w:u w:val="double"/>
        </w:rPr>
        <w:t>the Party receiving such overpayment.    Any dispute with respect to an invoice is waived unless the other Party is notified</w:t>
      </w:r>
      <w:r>
        <w:rPr/>
        <w:t xml:space="preserve"> in accordance with this Section 6.3 within    twelve (12) months after the invoice is rendered or any specific adjustment to the invoice </w:t>
      </w:r>
      <w:r>
        <w:rPr>
          <w:strike/>
        </w:rPr>
        <w:t>made by such Party prior to such time.</w:t>
      </w:r>
      <w:r>
        <w:rPr/>
        <w:t xml:space="preserve"> </w:t>
      </w:r>
      <w:r>
        <w:rPr>
          <w:u w:val="double"/>
        </w:rPr>
        <w:t>is made.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6.4 o Check, if applicable.</w:t>
      </w:r>
      <w:r>
        <w:rPr/>
        <w:t xml:space="preserve"> </w:t>
      </w:r>
      <w:r>
        <w:rPr>
          <w:u w:val="double"/>
        </w:rPr>
        <w:t>6.4</w:t>
        <w:tab/>
      </w:r>
      <w:r>
        <w:rPr>
          <w:u w:val="single"/>
        </w:rPr>
        <w:t>Netting of Payments</w:t>
      </w:r>
      <w:r>
        <w:rPr/>
        <w:t xml:space="preserve">.    The Parties hereby agree that they shall discharge mutual debts and payment obligations due and owing to each other on the same date pursuant to </w:t>
      </w:r>
      <w:r>
        <w:rPr>
          <w:strike/>
        </w:rPr>
        <w:t>the</w:t>
      </w:r>
      <w:r>
        <w:rPr/>
        <w:t xml:space="preserve"> </w:t>
      </w:r>
      <w:r>
        <w:rPr>
          <w:u w:val="double"/>
        </w:rPr>
        <w:t>all</w:t>
      </w:r>
      <w:r>
        <w:rPr/>
        <w:t xml:space="preserve"> Transactions through netting, in which case all amounts owed by each Party to the other Party for the purchase </w:t>
      </w:r>
      <w:r>
        <w:rPr>
          <w:strike/>
        </w:rPr>
        <w:t>of the Product</w:t>
      </w:r>
      <w:r>
        <w:rPr/>
        <w:t xml:space="preserve"> </w:t>
      </w:r>
      <w:r>
        <w:rPr>
          <w:u w:val="double"/>
        </w:rPr>
        <w:t>and sale of Products</w:t>
      </w:r>
      <w:r>
        <w:rPr/>
        <w:t xml:space="preserve"> during the monthly billing period under this </w:t>
      </w:r>
      <w:r>
        <w:rPr>
          <w:u w:val="double"/>
        </w:rPr>
        <w:t>Master</w:t>
      </w:r>
      <w:r>
        <w:rPr/>
        <w:t xml:space="preserve"> Agreement, including any related damages calculated pursuant to Article </w:t>
      </w:r>
      <w:r>
        <w:rPr>
          <w:strike/>
        </w:rPr>
        <w:t>Three</w:t>
      </w:r>
      <w:r>
        <w:rPr/>
        <w:t xml:space="preserve"> </w:t>
      </w:r>
      <w:r>
        <w:rPr>
          <w:u w:val="double"/>
        </w:rPr>
        <w:t>Four</w:t>
      </w:r>
      <w:r>
        <w:rPr/>
        <w:t xml:space="preserve"> (unless one of the Parties elects to accelerate payment of such amounts as permitted by Article </w:t>
      </w:r>
      <w:r>
        <w:rPr>
          <w:strike/>
        </w:rPr>
        <w:t>Three)</w:t>
      </w:r>
      <w:r>
        <w:rPr/>
        <w:t xml:space="preserve"> </w:t>
      </w:r>
      <w:r>
        <w:rPr>
          <w:u w:val="double"/>
        </w:rPr>
        <w:t>Four)</w:t>
      </w:r>
      <w:r>
        <w:rPr/>
        <w:t xml:space="preserve"> interest, and payments or credits, shall be netted so that only the excess amount remaining due shall be paid by the Party who owes it. 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6.5</w:t>
        <w:tab/>
      </w:r>
      <w:r>
        <w:rPr>
          <w:u w:val="single"/>
        </w:rPr>
        <w:t>Payment Obligation Absent Netting</w:t>
      </w:r>
      <w:r>
        <w:rPr/>
        <w:t xml:space="preserve">.    If </w:t>
      </w:r>
      <w:r>
        <w:rPr>
          <w:strike/>
        </w:rPr>
        <w:t>the Parties do not check Section 5.4 as applicable, or if</w:t>
      </w:r>
      <w:r>
        <w:rPr/>
        <w:t xml:space="preserve"> no mutual debts or payment obligations exist and only one Party owes a debt or obligation to the other during the monthly billing period, including, but not limited to</w:t>
      </w:r>
      <w:r>
        <w:rPr>
          <w:u w:val="double"/>
        </w:rPr>
        <w:t>,</w:t>
      </w:r>
      <w:r>
        <w:rPr/>
        <w:t xml:space="preserve"> any related damages amounts calculated pursuant to Article </w:t>
      </w:r>
      <w:r>
        <w:rPr>
          <w:strike/>
        </w:rPr>
        <w:t>Three</w:t>
      </w:r>
      <w:r>
        <w:rPr/>
        <w:t xml:space="preserve"> </w:t>
      </w:r>
      <w:r>
        <w:rPr>
          <w:u w:val="double"/>
        </w:rPr>
        <w:t>Four</w:t>
      </w:r>
      <w:r>
        <w:rPr/>
        <w:t xml:space="preserve">, interest, and payments or credits, that Party shall pay such sum in full when due.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6.6</w:t>
        <w:tab/>
      </w:r>
      <w:r>
        <w:rPr>
          <w:u w:val="single"/>
        </w:rPr>
        <w:t>Security</w:t>
      </w:r>
      <w:r>
        <w:rPr/>
        <w:t xml:space="preserve">.    Unless the Party </w:t>
      </w:r>
      <w:r>
        <w:rPr>
          <w:strike/>
        </w:rPr>
        <w:t>benefiting from a security arrangement</w:t>
      </w:r>
      <w:r>
        <w:rPr/>
        <w:t xml:space="preserve"> </w:t>
      </w:r>
      <w:r>
        <w:rPr>
          <w:u w:val="double"/>
        </w:rPr>
        <w:t>benefitting from Performance Assurance or a guaranty</w:t>
      </w:r>
      <w:r>
        <w:rPr/>
        <w:t xml:space="preserve"> notifies the other Party in writing </w:t>
      </w:r>
      <w:r>
        <w:rPr>
          <w:strike/>
        </w:rPr>
        <w:t>or</w:t>
      </w:r>
      <w:r>
        <w:rPr>
          <w:u w:val="double"/>
        </w:rPr>
        <w:t>, and except</w:t>
      </w:r>
      <w:r>
        <w:rPr/>
        <w:t xml:space="preserve"> in connection with </w:t>
      </w:r>
      <w:r>
        <w:rPr>
          <w:u w:val="double"/>
        </w:rPr>
        <w:t>a liquidation and</w:t>
      </w:r>
      <w:r>
        <w:rPr/>
        <w:t xml:space="preserve"> termination </w:t>
      </w:r>
      <w:r>
        <w:rPr>
          <w:strike/>
        </w:rPr>
        <w:t>netting</w:t>
      </w:r>
      <w:r>
        <w:rPr/>
        <w:t xml:space="preserve"> in accordance with Article </w:t>
      </w:r>
      <w:r>
        <w:rPr>
          <w:strike/>
        </w:rPr>
        <w:t>Four</w:t>
      </w:r>
      <w:r>
        <w:rPr/>
        <w:t xml:space="preserve"> </w:t>
      </w:r>
      <w:r>
        <w:rPr>
          <w:u w:val="double"/>
        </w:rPr>
        <w:t>Five</w:t>
      </w:r>
      <w:r>
        <w:rPr/>
        <w:t xml:space="preserve">, all amounts netted pursuant to this Article </w:t>
      </w:r>
      <w:r>
        <w:rPr>
          <w:strike/>
        </w:rPr>
        <w:t>Five</w:t>
      </w:r>
      <w:r>
        <w:rPr/>
        <w:t xml:space="preserve"> </w:t>
      </w:r>
      <w:r>
        <w:rPr>
          <w:u w:val="double"/>
        </w:rPr>
        <w:t>Six</w:t>
      </w:r>
      <w:r>
        <w:rPr/>
        <w:t xml:space="preserve"> shall not take into account or include any </w:t>
      </w:r>
      <w:r>
        <w:rPr>
          <w:strike/>
        </w:rPr>
        <w:t>security arrangements, including, but not limited to, Guarantees, Letters of Credit, and escrow or margin accounts,</w:t>
      </w:r>
      <w:r>
        <w:rPr/>
        <w:t xml:space="preserve"> </w:t>
      </w:r>
      <w:r>
        <w:rPr>
          <w:u w:val="double"/>
        </w:rPr>
        <w:t>Performance Assurance or guaranty</w:t>
      </w:r>
      <w:r>
        <w:rPr/>
        <w:t xml:space="preserve"> which may be in effect to secure a Party</w:t>
      </w:r>
      <w:r>
        <w:rPr>
          <w:rFonts w:ascii="WP TypographicSymbols" w:hAnsi="WP TypographicSymbols"/>
        </w:rPr>
        <w:t></w:t>
      </w:r>
      <w:r>
        <w:rPr/>
        <w:t xml:space="preserve">s performance under </w:t>
      </w:r>
      <w:r>
        <w:rPr>
          <w:strike/>
        </w:rPr>
        <w:t>the</w:t>
      </w:r>
      <w:r>
        <w:rPr/>
        <w:t xml:space="preserve"> </w:t>
      </w:r>
      <w:r>
        <w:rPr>
          <w:u w:val="double"/>
        </w:rPr>
        <w:t>this Master</w:t>
      </w:r>
      <w:r>
        <w:rPr/>
        <w:t xml:space="preserve">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u w:val="single"/>
        </w:rPr>
      </w:pPr>
      <w:r>
        <w:rPr>
          <w:b/>
          <w:u w:val="single"/>
        </w:rPr>
        <w:t>ARTICLE SEVEN: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b/>
        </w:rPr>
        <w:t>LIMITATIONS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7.1</w:t>
        <w:tab/>
      </w:r>
      <w:r>
        <w:rPr>
          <w:u w:val="single"/>
        </w:rPr>
        <w:t>Limitation of Remedies, Liability and Damages</w:t>
      </w:r>
      <w:r>
        <w:rPr/>
        <w:t xml:space="preserve">.    </w:t>
      </w:r>
      <w:r>
        <w:rPr>
          <w:strike/>
        </w:rPr>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r>
        <w:rPr/>
        <w:t xml:space="preserve"> </w:t>
      </w:r>
      <w:r>
        <w:rPr>
          <w:u w:val="double"/>
        </w:rPr>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u w:val="single"/>
        </w:rPr>
      </w:pPr>
      <w:r>
        <w:rPr>
          <w:b/>
          <w:strike/>
          <w:u w:val="single"/>
        </w:rPr>
        <w:t>ARTICLE EIGHT:</w:t>
      </w:r>
      <w:r>
        <w:rPr>
          <w:b/>
          <w:u w:val="single"/>
        </w:rPr>
        <w:t xml:space="preserve"> </w:t>
      </w:r>
      <w:r>
        <w:rPr>
          <w:b/>
          <w:u w:val="double"/>
        </w:rPr>
        <w:t>ARTICLE EIGHT: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b/>
          <w:strike/>
        </w:rPr>
        <w:t>CREDITWORTHINESS</w:t>
      </w:r>
      <w:r>
        <w:rPr>
          <w:b/>
        </w:rPr>
        <w:t xml:space="preserve"> </w:t>
      </w:r>
      <w:r>
        <w:rPr>
          <w:b/>
          <w:u w:val="double"/>
        </w:rPr>
        <w:t>CREDIT</w:t>
      </w:r>
      <w:r>
        <w:rPr>
          <w:b/>
        </w:rPr>
        <w:t xml:space="preserve"> AND COLLATERAL REQUIREMENTS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Check the applicable creditworthiness/collateral requirement. Only one option should be checked</w:t>
      </w:r>
      <w:r>
        <w:rPr/>
        <w:t xml:space="preserve"> </w:t>
      </w:r>
      <w:r>
        <w:rPr>
          <w:u w:val="double"/>
        </w:rPr>
        <w:t>The applicable credit information requirement shall be as specified on the Cover Sheet</w:t>
      </w:r>
      <w:r>
        <w:rPr/>
        <w:t xml:space="preserve">.    If no option is checked, Option </w:t>
      </w:r>
      <w:r>
        <w:rPr>
          <w:strike/>
        </w:rPr>
        <w:t>A shall apply.</w:t>
      </w:r>
      <w:r>
        <w:rPr/>
        <w:t xml:space="preserve"> </w:t>
      </w:r>
      <w:r>
        <w:rPr>
          <w:u w:val="double"/>
        </w:rPr>
        <w:t>C shall apply exclusively.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 xml:space="preserve">Option A: o Applicable </w:t>
      </w:r>
      <w:r>
        <w:rPr>
          <w:u w:val="double"/>
        </w:rPr>
        <w:t>8.1</w:t>
        <w:tab/>
        <w:t>Option A:    Financial Information.    If requested by a Party, the other Party shall deliver (i) within 120 days following the end of each fiscal year, a copy of such Party</w:t>
      </w:r>
      <w:r>
        <w:rPr>
          <w:rFonts w:ascii="WP TypographicSymbols" w:hAnsi="WP TypographicSymbols"/>
          <w:u w:val="double"/>
        </w:rPr>
        <w:t></w:t>
      </w:r>
      <w:r>
        <w:rPr>
          <w:u w:val="double"/>
        </w:rPr>
        <w:t>s annual report containing audited consolidated financial statements for such fiscal year and (ii) within 60 days after the end of each of its first three fiscal quarters of each fiscal year, a copy of such Party</w:t>
      </w:r>
      <w:r>
        <w:rPr>
          <w:rFonts w:ascii="WP TypographicSymbols" w:hAnsi="WP TypographicSymbols"/>
          <w:u w:val="double"/>
        </w:rPr>
        <w:t></w:t>
      </w:r>
      <w:r>
        <w:rPr>
          <w:u w:val="double"/>
        </w:rPr>
        <w:t>s quarterly report containing unaudited consolidated financial statements for such fiscal quarter.    In all cases the statements shall be for the most recent accounting period and prepared in accordance with generally accepted accounting principles or such other principles then in effect; provided, however, that should any such statements not be available timely due to a delay in preparation or certification, such delay shall not be an Event of Default so long as such Party diligently pursues the preparation, certification and delivery of the statements.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strike/>
        </w:rPr>
        <w:t>8.1 Credit Review. For the purpose of determining the financial ability of the other Party to meet its obligations hereunder, a Party may require reasonable credit review procedures which may include, but not be limited to, verification that the other Party is not operating under any state or federal bankruptcy laws, is not subject to the uncertainty of pending liquidation or regulatory proceedings in state or federal courts, and that no significant lawsuits or judgments are outstanding which would seriously affect such other Party's ability to remain solvent.</w:t>
      </w:r>
      <w:r>
        <w:rPr/>
        <w:t xml:space="preserve"> </w:t>
      </w:r>
      <w:r>
        <w:rPr>
          <w:u w:val="double"/>
        </w:rPr>
        <w:t>Option B:    Financial Information.    If requested by a Party, the other Party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prepared in accordance with generally accepted accounting principles or such other principles then in effect; provided, however, that    should any such statements not be available timely due to a delay in preparation or certification, such delay shall not be an Event of Default so long as the relevant entity diligently pursues the preparation, certification and delivery of the statements.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 xml:space="preserve">Option C:    Financial Information.    A Party may request from the other Party the information specified in the Cover Sheet.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The applicable creditworthiness/collateral requirements shall be specified in the Cover Sheet.    If no option is checked, Section 8.2 shall apply exclusively.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8.2</w:t>
        <w:tab/>
      </w:r>
      <w:r>
        <w:rPr>
          <w:u w:val="single"/>
        </w:rPr>
        <w:t>Credit Assurances</w:t>
      </w:r>
      <w:r>
        <w:rPr/>
        <w:t xml:space="preserve">. </w:t>
      </w:r>
      <w:r>
        <w:rPr>
          <w:strike/>
        </w:rPr>
        <w:t>The Parties may establish credit limits each for the other based on such measures and calculating the Parties</w:t>
      </w:r>
      <w:r>
        <w:rPr>
          <w:rFonts w:ascii="WP TypographicSymbols" w:hAnsi="WP TypographicSymbols"/>
          <w:strike/>
        </w:rPr>
        <w:t></w:t>
      </w:r>
      <w:r>
        <w:rPr>
          <w:strike/>
        </w:rPr>
        <w:t xml:space="preserve"> relative exposures under this Agreement as the Parties deem appropriate. If during the term of this Agreement a Party has exceeded its credit limit as established by the Parties, or if</w:t>
      </w:r>
      <w:r>
        <w:rPr/>
        <w:t xml:space="preserve"> </w:t>
      </w:r>
      <w:r>
        <w:rPr>
          <w:u w:val="double"/>
        </w:rPr>
        <w:t xml:space="preserve">If </w:t>
      </w:r>
      <w:r>
        <w:rPr/>
        <w:t>a Party (</w:t>
      </w:r>
      <w:r>
        <w:rPr>
          <w:rFonts w:ascii="WP TypographicSymbols" w:hAnsi="WP TypographicSymbols"/>
        </w:rPr>
        <w:t></w:t>
      </w:r>
      <w:r>
        <w:rPr/>
        <w:t>Requesting Party</w:t>
      </w:r>
      <w:r>
        <w:rPr>
          <w:rFonts w:ascii="WP TypographicSymbols" w:hAnsi="WP TypographicSymbols"/>
        </w:rPr>
        <w:t></w:t>
      </w:r>
      <w:r>
        <w:rPr/>
        <w:t>) has commercially reasonable grounds to believe, in its sole discretion, that the other Party's creditworthiness</w:t>
      </w:r>
      <w:r>
        <w:rPr>
          <w:strike/>
        </w:rPr>
        <w:t>, financial responsibility</w:t>
      </w:r>
      <w:r>
        <w:rPr/>
        <w:t xml:space="preserve"> or performance </w:t>
      </w:r>
      <w:r>
        <w:rPr>
          <w:strike/>
        </w:rPr>
        <w:t xml:space="preserve">has </w:t>
      </w:r>
      <w:r>
        <w:rPr>
          <w:u w:val="double"/>
        </w:rPr>
        <w:t>under this Agreement has or may</w:t>
      </w:r>
      <w:r>
        <w:rPr/>
        <w:t xml:space="preserve"> become unsatisfactory, the Requesting Party will provide the other Party with written notice </w:t>
      </w:r>
      <w:r>
        <w:rPr>
          <w:strike/>
        </w:rPr>
        <w:t>of the problem</w:t>
      </w:r>
      <w:r>
        <w:rPr/>
        <w:t xml:space="preserve"> </w:t>
      </w:r>
      <w:r>
        <w:rPr>
          <w:u w:val="double"/>
        </w:rPr>
        <w:t>requesting Performance Assurance in an amount reasonably determined by the Requesting Party</w:t>
      </w:r>
      <w:r>
        <w:rPr/>
        <w:t xml:space="preserve">.    Upon receipt of such notice the other Party shall have three (3) Business Days to remedy the situation by </w:t>
      </w:r>
      <w:r>
        <w:rPr>
          <w:strike/>
        </w:rPr>
        <w:t>either (a) posting a letter of credit, (b) providing a cash prepayment, or (c) providing other acceptable form of security</w:t>
      </w:r>
      <w:r>
        <w:rPr/>
        <w:t xml:space="preserve"> </w:t>
      </w:r>
      <w:r>
        <w:rPr>
          <w:u w:val="double"/>
        </w:rPr>
        <w:t>providing Performance Assurance</w:t>
      </w:r>
      <w:r>
        <w:rPr/>
        <w:t xml:space="preserve"> to the Requesting Party </w:t>
      </w:r>
      <w:r>
        <w:rPr>
          <w:strike/>
        </w:rPr>
        <w:t>(</w:t>
      </w:r>
      <w:r>
        <w:rPr>
          <w:rFonts w:ascii="WP TypographicSymbols" w:hAnsi="WP TypographicSymbols"/>
          <w:strike/>
        </w:rPr>
        <w:t></w:t>
      </w:r>
      <w:r>
        <w:rPr>
          <w:strike/>
        </w:rPr>
        <w:t>Credit Assurances</w:t>
      </w:r>
      <w:r>
        <w:rPr>
          <w:rFonts w:ascii="WP TypographicSymbols" w:hAnsi="WP TypographicSymbols"/>
          <w:strike/>
        </w:rPr>
        <w:t></w:t>
      </w:r>
      <w:r>
        <w:rPr>
          <w:strike/>
        </w:rPr>
        <w:t>)</w:t>
      </w:r>
      <w:r>
        <w:rPr/>
        <w:t xml:space="preserve"> </w:t>
      </w:r>
      <w:r>
        <w:rPr>
          <w:u w:val="double"/>
        </w:rPr>
        <w:t>in an amount reasonably determined by the Requesting Party</w:t>
      </w:r>
      <w:r>
        <w:rPr/>
        <w:t xml:space="preserve">.    In the event that the other Party fails to provide such </w:t>
      </w:r>
      <w:r>
        <w:rPr>
          <w:strike/>
        </w:rPr>
        <w:t>Credit Assurances</w:t>
      </w:r>
      <w:r>
        <w:rPr/>
        <w:t xml:space="preserve"> </w:t>
      </w:r>
      <w:r>
        <w:rPr>
          <w:u w:val="double"/>
        </w:rPr>
        <w:t>Performance Assurance, or a guaranty or other credit assurance acceptable to the Requesting Party</w:t>
      </w:r>
      <w:r>
        <w:rPr/>
        <w:t xml:space="preserve"> within three (3) Business Days of receipt of notice, then an Event of Default under Article </w:t>
      </w:r>
      <w:r>
        <w:rPr>
          <w:strike/>
        </w:rPr>
        <w:t>Four</w:t>
      </w:r>
      <w:r>
        <w:rPr/>
        <w:t xml:space="preserve"> </w:t>
      </w:r>
      <w:r>
        <w:rPr>
          <w:u w:val="double"/>
        </w:rPr>
        <w:t>Five</w:t>
      </w:r>
      <w:r>
        <w:rPr/>
        <w:t xml:space="preserve"> will be deemed to have occurred </w:t>
      </w:r>
      <w:r>
        <w:rPr>
          <w:strike/>
        </w:rPr>
        <w:t>and the Requesting Party will be entitled to the remedies set forth in Article Four of this Agreement.</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strike/>
        </w:rPr>
        <w:t xml:space="preserve">Option B: o Applicable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8.1 Creditworthiness. It shall be an Event of Default if a Party fails to, or can no longer, demonstrate its creditworthiness to the other Party. A Party will be considered creditworthy if (a) a Party</w:t>
      </w:r>
      <w:r>
        <w:rPr>
          <w:rFonts w:ascii="WP TypographicSymbols" w:hAnsi="WP TypographicSymbols"/>
          <w:strike/>
        </w:rPr>
        <w:t></w:t>
      </w:r>
      <w:r>
        <w:rPr>
          <w:strike/>
        </w:rPr>
        <w:t>s long</w:t>
        <w:noBreakHyphen/>
        <w:t>term unsecured debt securities are, and remain, rated a minimum of BBB or Baa2 by Standard &amp; Poor</w:t>
      </w:r>
      <w:r>
        <w:rPr>
          <w:rFonts w:ascii="WP TypographicSymbols" w:hAnsi="WP TypographicSymbols"/>
          <w:strike/>
        </w:rPr>
        <w:t></w:t>
      </w:r>
      <w:r>
        <w:rPr>
          <w:strike/>
        </w:rPr>
        <w:t>s or Moodys, respectively, (b) a Party either prepays for service or provides an irrevocable standby Letter of Credit in full amount of its payment obligation, (c) a Party has, as determined by the other Party in its sole discretion, a qualified long</w:t>
        <w:noBreakHyphen/>
        <w:t>term payment history with the other Party, (d) a Party arranges for the issuance of a Guarantee in an amount satisfactory to the other Party, or (e) a Party otherwise demonstrates, to the other Party</w:t>
      </w:r>
      <w:r>
        <w:rPr>
          <w:rFonts w:ascii="WP TypographicSymbols" w:hAnsi="WP TypographicSymbols"/>
          <w:strike/>
        </w:rPr>
        <w:t></w:t>
      </w:r>
      <w:r>
        <w:rPr>
          <w:strike/>
        </w:rPr>
        <w:t>s satisfaction, that it is creditworthy. Unless otherwise mutually agreed, each Party shall be responsible for providing the information specified in this Article Seven on or before the Effective Date.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strike/>
        </w:rPr>
        <w:t>8.2 Credit Assurances. If during the term of this Agreement a Party has exceeded its credit limit as established by the Parties, or if a Party (</w:t>
      </w:r>
      <w:r>
        <w:rPr>
          <w:rFonts w:ascii="WP TypographicSymbols" w:hAnsi="WP TypographicSymbols"/>
          <w:strike/>
        </w:rPr>
        <w:t></w:t>
      </w:r>
      <w:r>
        <w:rPr>
          <w:strike/>
        </w:rPr>
        <w:t>Requesting Party</w:t>
      </w:r>
      <w:r>
        <w:rPr>
          <w:rFonts w:ascii="WP TypographicSymbols" w:hAnsi="WP TypographicSymbols"/>
          <w:strike/>
        </w:rPr>
        <w:t></w:t>
      </w:r>
      <w:r>
        <w:rPr>
          <w:strike/>
        </w:rPr>
        <w:t>) has commercially reasonable grounds to believe, in its sole discretion, that the other Party's creditworthiness, financial responsibility or performance has become unsatisfactory, the Requesting Party will provide the other Party with written notice of the problem. Upon receipt of such notice the other Party shall have three (3) Business Days to remedy the situation by either (a) posting a letter of credit, (b) providing a cash prepayment, or (c) providing other acceptable form of security to the Requesting Party (</w:t>
      </w:r>
      <w:r>
        <w:rPr>
          <w:rFonts w:ascii="WP TypographicSymbols" w:hAnsi="WP TypographicSymbols"/>
          <w:strike/>
        </w:rPr>
        <w:t></w:t>
      </w:r>
      <w:r>
        <w:rPr>
          <w:strike/>
        </w:rPr>
        <w:t>Credit Assurances</w:t>
      </w:r>
      <w:r>
        <w:rPr>
          <w:rFonts w:ascii="WP TypographicSymbols" w:hAnsi="WP TypographicSymbols"/>
          <w:strike/>
        </w:rPr>
        <w:t></w:t>
      </w:r>
      <w:r>
        <w:rPr>
          <w:strike/>
        </w:rPr>
        <w:t>). In the event that the other Party fails to provide such Credit Assurances within three (3) Business Days of receipt of notice, then</w:t>
      </w:r>
      <w:r>
        <w:rPr/>
        <w:t xml:space="preserve"> </w:t>
      </w:r>
      <w:r>
        <w:rPr>
          <w:u w:val="double"/>
        </w:rPr>
        <w:t xml:space="preserve">8.3 </w:t>
        <w:tab/>
        <w:t>Grant of Security Interest/Remedies. 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w:t>
      </w:r>
      <w:r>
        <w:rPr>
          <w:rFonts w:ascii="WP TypographicSymbols" w:hAnsi="WP TypographicSymbols"/>
          <w:u w:val="double"/>
        </w:rPr>
        <w:t></w:t>
      </w:r>
      <w:r>
        <w:rPr>
          <w:u w:val="double"/>
        </w:rPr>
        <w:t>s first</w:t>
        <w:noBreakHyphen/>
        <w:t>priority security interest in, and lien on (and right of setoff against), such collateral and any and all proceeds resulting therefrom or from the liquidation thereof.    Upon or any time after the occurrence or deemed occurrence and during the continuation of</w:t>
      </w:r>
      <w:r>
        <w:rPr/>
        <w:t xml:space="preserve"> an Event of Default </w:t>
      </w:r>
      <w:r>
        <w:rPr>
          <w:strike/>
        </w:rPr>
        <w:t>under Article Four will be deemed to have occurred and the Requesting Party will be entitled to the remedies set forth in Article Four of this Agreement.</w:t>
      </w:r>
      <w:r>
        <w:rPr/>
        <w:t xml:space="preserve"> </w:t>
      </w:r>
      <w:r>
        <w:rPr>
          <w:u w:val="double"/>
        </w:rPr>
        <w:t>or an Early Termination Date, the Non</w:t>
        <w:noBreakHyphen/>
        <w:t>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w:t>
        <w:noBreakHyphen/>
        <w:t>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strike/>
        </w:rPr>
        <w:t>Option C: o Applicable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strike/>
        </w:rPr>
        <w:t>8.1 _________</w:t>
      </w:r>
      <w:r>
        <w:rPr>
          <w:u w:val="double"/>
        </w:rPr>
        <w:t>8.4</w:t>
        <w:tab/>
        <w:t>Option A:    (a) Party B</w:t>
      </w:r>
      <w:r>
        <w:rPr>
          <w:u w:val="single"/>
        </w:rPr>
        <w:t xml:space="preserve"> Performance Assurance</w:t>
      </w:r>
      <w:r>
        <w:rPr/>
        <w:t xml:space="preserve">.    If at any time </w:t>
      </w:r>
      <w:r>
        <w:rPr>
          <w:u w:val="double"/>
        </w:rPr>
        <w:t>and from time to time</w:t>
      </w:r>
      <w:r>
        <w:rPr/>
        <w:t xml:space="preserve"> during the term of this Agreement </w:t>
      </w:r>
      <w:r>
        <w:rPr>
          <w:u w:val="double"/>
        </w:rPr>
        <w:t>(and notwithstanding whether an Event of Default has occurred)</w:t>
      </w:r>
      <w:r>
        <w:rPr/>
        <w:t xml:space="preserve">, the Termination Payment </w:t>
      </w:r>
      <w:r>
        <w:rPr>
          <w:strike/>
        </w:rPr>
        <w:t>(as calculated pursuant to Article Four of this Agreement)</w:t>
      </w:r>
      <w:r>
        <w:rPr/>
        <w:t xml:space="preserve"> that would be owed to </w:t>
      </w:r>
      <w:r>
        <w:rPr>
          <w:strike/>
        </w:rPr>
        <w:t>_________ (</w:t>
      </w:r>
      <w:r>
        <w:rPr>
          <w:rFonts w:ascii="WP TypographicSymbols" w:hAnsi="WP TypographicSymbols"/>
          <w:strike/>
        </w:rPr>
        <w:t></w:t>
      </w:r>
      <w:r>
        <w:rPr/>
        <w:t xml:space="preserve"> Party A </w:t>
      </w:r>
      <w:r>
        <w:rPr>
          <w:rFonts w:ascii="WP TypographicSymbols" w:hAnsi="WP TypographicSymbols"/>
          <w:strike/>
        </w:rPr>
        <w:t></w:t>
      </w:r>
      <w:r>
        <w:rPr>
          <w:strike/>
        </w:rPr>
        <w:t>)</w:t>
      </w:r>
      <w:r>
        <w:rPr/>
        <w:t xml:space="preserve"> exceeds </w:t>
      </w:r>
      <w:r>
        <w:rPr>
          <w:strike/>
        </w:rPr>
        <w:t>$______________________,</w:t>
      </w:r>
      <w:r>
        <w:rPr/>
        <w:t xml:space="preserve"> </w:t>
      </w:r>
      <w:r>
        <w:rPr>
          <w:u w:val="double"/>
        </w:rPr>
        <w:t>the Party B Exposure Amount</w:t>
      </w:r>
      <w:r>
        <w:rPr/>
        <w:t xml:space="preserve"> then Party A, on any Business Day, may request that </w:t>
      </w:r>
      <w:r>
        <w:rPr>
          <w:strike/>
        </w:rPr>
        <w:t>______________ (</w:t>
      </w:r>
      <w:r>
        <w:rPr>
          <w:rFonts w:ascii="WP TypographicSymbols" w:hAnsi="WP TypographicSymbols"/>
          <w:strike/>
        </w:rPr>
        <w:t></w:t>
      </w:r>
      <w:r>
        <w:rPr>
          <w:strike/>
        </w:rPr>
        <w:t>Party B</w:t>
      </w:r>
      <w:r>
        <w:rPr>
          <w:rFonts w:ascii="WP TypographicSymbols" w:hAnsi="WP TypographicSymbols"/>
          <w:strike/>
        </w:rPr>
        <w:t></w:t>
      </w:r>
      <w:r>
        <w:rPr>
          <w:strike/>
        </w:rPr>
        <w:t>) provide either (i) cash, (ii) a Letter of Credit, (iii) a Guarantee or (iv) other security in a form acceptable to Party A,</w:t>
      </w:r>
      <w:r>
        <w:rPr/>
        <w:t xml:space="preserve"> </w:t>
      </w:r>
      <w:r>
        <w:rPr>
          <w:u w:val="double"/>
        </w:rPr>
        <w:t>Party B provide Performance Assurance</w:t>
      </w:r>
      <w:r>
        <w:rPr/>
        <w:t xml:space="preserve"> in an amount equal to the amount by which the Termination Payment exceeds </w:t>
      </w:r>
      <w:r>
        <w:rPr>
          <w:strike/>
        </w:rPr>
        <w:t>$__________________</w:t>
      </w:r>
      <w:r>
        <w:rPr>
          <w:u w:val="double"/>
        </w:rPr>
        <w:t>the Party B Exposure Amount</w:t>
      </w:r>
      <w:r>
        <w:rPr/>
        <w:t xml:space="preserve"> (rounding upwards for any fractional amount to the next </w:t>
      </w:r>
      <w:r>
        <w:rPr>
          <w:strike/>
        </w:rPr>
        <w:t>$250,000.00)</w:t>
      </w:r>
      <w:r>
        <w:rPr/>
        <w:t xml:space="preserve"> </w:t>
      </w:r>
      <w:r>
        <w:rPr>
          <w:u w:val="double"/>
        </w:rPr>
        <w:t>Party B Rounding Amount)</w:t>
      </w:r>
      <w:r>
        <w:rPr/>
        <w:t xml:space="preserve"> (</w:t>
      </w:r>
      <w:r>
        <w:rPr>
          <w:rFonts w:ascii="WP TypographicSymbols" w:hAnsi="WP TypographicSymbols"/>
        </w:rPr>
        <w:t></w:t>
      </w:r>
      <w:r>
        <w:rPr/>
        <w:t>Party B Performance Assurance</w:t>
      </w:r>
      <w:r>
        <w:rPr>
          <w:rFonts w:ascii="WP TypographicSymbols" w:hAnsi="WP TypographicSymbols"/>
        </w:rPr>
        <w:t></w:t>
      </w:r>
      <w:r>
        <w:rPr/>
        <w:t xml:space="preserve">). 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(rounding upwards for any fractional amount to the next </w:t>
      </w:r>
      <w:r>
        <w:rPr>
          <w:strike/>
        </w:rPr>
        <w:t>$250,000.00)</w:t>
      </w:r>
      <w:r>
        <w:rPr/>
        <w:t xml:space="preserve"> </w:t>
      </w:r>
      <w:r>
        <w:rPr>
          <w:u w:val="double"/>
        </w:rPr>
        <w:t>Party B Rounding Amount)</w:t>
      </w:r>
      <w:r>
        <w:rPr/>
        <w:t xml:space="preserve">. In the event that Party B fails to provide Party B Performance Assurance pursuant to the terms of this Article </w:t>
      </w:r>
      <w:r>
        <w:rPr>
          <w:strike/>
        </w:rPr>
        <w:t>Seven</w:t>
      </w:r>
      <w:r>
        <w:rPr/>
        <w:t xml:space="preserve"> </w:t>
      </w:r>
      <w:r>
        <w:rPr>
          <w:u w:val="double"/>
        </w:rPr>
        <w:t>Eight</w:t>
      </w:r>
      <w:r>
        <w:rPr/>
        <w:t xml:space="preserve">, then an Event of Default under Article </w:t>
      </w:r>
      <w:r>
        <w:rPr>
          <w:strike/>
        </w:rPr>
        <w:t>Four</w:t>
      </w:r>
      <w:r>
        <w:rPr/>
        <w:t xml:space="preserve"> </w:t>
      </w:r>
      <w:r>
        <w:rPr>
          <w:u w:val="double"/>
        </w:rPr>
        <w:t>Five</w:t>
      </w:r>
      <w:r>
        <w:rPr/>
        <w:t xml:space="preserve"> shall be deemed to have occurred and    Party A will be entitled to the remedies set forth in Article </w:t>
      </w:r>
      <w:r>
        <w:rPr>
          <w:strike/>
        </w:rPr>
        <w:t>Four</w:t>
      </w:r>
      <w:r>
        <w:rPr/>
        <w:t xml:space="preserve"> </w:t>
      </w:r>
      <w:r>
        <w:rPr>
          <w:u w:val="double"/>
        </w:rPr>
        <w:t>Five</w:t>
      </w:r>
      <w:r>
        <w:rPr/>
        <w:t xml:space="preserve"> of this </w:t>
      </w:r>
      <w:r>
        <w:rPr>
          <w:u w:val="double"/>
        </w:rPr>
        <w:t>Master</w:t>
      </w:r>
      <w:r>
        <w:rPr/>
        <w:t xml:space="preserve"> Agreement.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8.2</w:t>
      </w:r>
      <w:r>
        <w:rPr/>
        <w:t xml:space="preserve"> </w:t>
      </w:r>
      <w:r>
        <w:rPr>
          <w:u w:val="double"/>
        </w:rPr>
        <w:t>Option B:</w:t>
        <w:tab/>
        <w:t>(b)</w:t>
      </w:r>
      <w:r>
        <w:rPr/>
        <w:tab/>
      </w:r>
      <w:r>
        <w:rPr>
          <w:u w:val="single"/>
        </w:rPr>
        <w:t>Party A Performance Assurance</w:t>
      </w:r>
      <w:r>
        <w:rPr/>
        <w:t xml:space="preserve">.    If at any time </w:t>
      </w:r>
      <w:r>
        <w:rPr>
          <w:u w:val="double"/>
        </w:rPr>
        <w:t>and from time to time</w:t>
      </w:r>
      <w:r>
        <w:rPr/>
        <w:t xml:space="preserve"> during the term of this Agreement </w:t>
      </w:r>
      <w:r>
        <w:rPr>
          <w:u w:val="double"/>
        </w:rPr>
        <w:t>(and notwithstanding whether an Event of Default has occurred)</w:t>
      </w:r>
      <w:r>
        <w:rPr/>
        <w:t xml:space="preserve">, the Termination Payment </w:t>
      </w:r>
      <w:r>
        <w:rPr>
          <w:strike/>
        </w:rPr>
        <w:t>(as calculated pursuant to Article Four of the Agreement)</w:t>
      </w:r>
      <w:r>
        <w:rPr/>
        <w:t xml:space="preserve"> that would be owed to Party B exceeds </w:t>
      </w:r>
      <w:r>
        <w:rPr>
          <w:strike/>
        </w:rPr>
        <w:t>$_______________</w:t>
      </w:r>
      <w:r>
        <w:rPr>
          <w:u w:val="double"/>
        </w:rPr>
        <w:t>the Party A Exposure Amount</w:t>
      </w:r>
      <w:r>
        <w:rPr/>
        <w:t xml:space="preserve">, then Party B, on any Business Day, may request that Party A provide </w:t>
      </w:r>
      <w:r>
        <w:rPr>
          <w:strike/>
        </w:rPr>
        <w:t>either (i) cash, (ii) a Letter of Credit, (iii) a Guarantee or (iv) other security in a form acceptable to Party B,</w:t>
      </w:r>
      <w:r>
        <w:rPr/>
        <w:t xml:space="preserve"> </w:t>
      </w:r>
      <w:r>
        <w:rPr>
          <w:u w:val="double"/>
        </w:rPr>
        <w:t>Performance Assurance</w:t>
      </w:r>
      <w:r>
        <w:rPr/>
        <w:t xml:space="preserve"> in an amount equal to the amount by which the Termination Payment exceeds </w:t>
      </w:r>
      <w:r>
        <w:rPr>
          <w:strike/>
        </w:rPr>
        <w:t>$______________</w:t>
      </w:r>
      <w:r>
        <w:rPr>
          <w:u w:val="double"/>
        </w:rPr>
        <w:t>the Party A Exposure Amount</w:t>
      </w:r>
      <w:r>
        <w:rPr/>
        <w:t xml:space="preserve"> (rounding upwards for any fractional amount to the next </w:t>
      </w:r>
      <w:r>
        <w:rPr>
          <w:strike/>
        </w:rPr>
        <w:t>$250,000.00)</w:t>
      </w:r>
      <w:r>
        <w:rPr/>
        <w:t xml:space="preserve"> </w:t>
      </w:r>
      <w:r>
        <w:rPr>
          <w:u w:val="double"/>
        </w:rPr>
        <w:t>Party B Rounding Amount)</w:t>
      </w:r>
      <w:r>
        <w:rPr/>
        <w:t xml:space="preserve"> (</w:t>
      </w:r>
      <w:r>
        <w:rPr>
          <w:rFonts w:ascii="WP TypographicSymbols" w:hAnsi="WP TypographicSymbols"/>
        </w:rPr>
        <w:t></w:t>
      </w:r>
      <w:r>
        <w:rPr/>
        <w:t>Party A Performance Assurance</w:t>
      </w:r>
      <w:r>
        <w:rPr>
          <w:rFonts w:ascii="WP TypographicSymbols" w:hAnsi="WP TypographicSymbols"/>
        </w:rPr>
        <w:t></w:t>
      </w:r>
      <w:r>
        <w:rPr/>
        <w:t xml:space="preserve">). 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(rounding upwards for any fractional amount to the next </w:t>
      </w:r>
      <w:r>
        <w:rPr>
          <w:strike/>
        </w:rPr>
        <w:t>$250,000.00)</w:t>
      </w:r>
      <w:r>
        <w:rPr/>
        <w:t xml:space="preserve"> </w:t>
      </w:r>
      <w:r>
        <w:rPr>
          <w:u w:val="double"/>
        </w:rPr>
        <w:t>Party A Rounding Amount)</w:t>
      </w:r>
      <w:r>
        <w:rPr/>
        <w:t xml:space="preserve">.    In the event that Party A fails to provide    Party A Performance Assurance pursuant to the terms of this Article </w:t>
      </w:r>
      <w:r>
        <w:rPr>
          <w:strike/>
        </w:rPr>
        <w:t>Seven</w:t>
      </w:r>
      <w:r>
        <w:rPr/>
        <w:t xml:space="preserve"> </w:t>
      </w:r>
      <w:r>
        <w:rPr>
          <w:u w:val="double"/>
        </w:rPr>
        <w:t>Eight</w:t>
      </w:r>
      <w:r>
        <w:rPr/>
        <w:t xml:space="preserve"> within three (3) Business Days, then an Event of Default under Article </w:t>
      </w:r>
      <w:r>
        <w:rPr>
          <w:strike/>
        </w:rPr>
        <w:t>Four</w:t>
      </w:r>
      <w:r>
        <w:rPr/>
        <w:t xml:space="preserve"> </w:t>
      </w:r>
      <w:r>
        <w:rPr>
          <w:u w:val="double"/>
        </w:rPr>
        <w:t>Five</w:t>
      </w:r>
      <w:r>
        <w:rPr/>
        <w:t xml:space="preserve"> shall be deemed to have occurred and Party B will be entitled to the remedies set forth in Article </w:t>
      </w:r>
      <w:r>
        <w:rPr>
          <w:strike/>
        </w:rPr>
        <w:t>Four of this Agreement.</w:t>
      </w:r>
      <w:r>
        <w:rPr/>
        <w:t xml:space="preserve"> </w:t>
      </w:r>
      <w:r>
        <w:rPr>
          <w:u w:val="double"/>
        </w:rPr>
        <w:t>Five of this Master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Option D: o Applicable</w:t>
      </w:r>
      <w:r>
        <w:rPr>
          <w:u w:val="double"/>
        </w:rPr>
        <w:t>(c)</w:t>
        <w:tab/>
        <w:t>For purposes of Sections 8.4(a) and 8.4(b), the calculation of the Termination Payment shall be calculated by the Party requesting Performance Assurance pursuant to Section 5.3, and in addition thereto, shall include all amounts owed but not yet paid by one Party to the other whether or not such amounts are due, for performance already provided pursuant to any and all Transactions.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strike/>
        </w:rPr>
        <w:t>8.1 Adequate Assurances. The failure by a Party to provide adequate assurance of its ability to perform all of its outstanding obligations to the other Party (</w:t>
      </w:r>
      <w:r>
        <w:rPr>
          <w:rFonts w:ascii="WP TypographicSymbols" w:hAnsi="WP TypographicSymbols"/>
          <w:strike/>
        </w:rPr>
        <w:t></w:t>
      </w:r>
      <w:r>
        <w:rPr>
          <w:strike/>
        </w:rPr>
        <w:t>Requesting Party</w:t>
      </w:r>
      <w:r>
        <w:rPr>
          <w:rFonts w:ascii="WP TypographicSymbols" w:hAnsi="WP TypographicSymbols"/>
          <w:strike/>
        </w:rPr>
        <w:t></w:t>
      </w:r>
      <w:r>
        <w:rPr>
          <w:strike/>
        </w:rPr>
        <w:t>) under this Agreement, any Transaction or otherwise within a period not to exceed three (3) Business days of a demand therefor when</w:t>
      </w:r>
      <w:r>
        <w:rPr/>
        <w:t xml:space="preserve"> </w:t>
      </w:r>
      <w:r>
        <w:rPr>
          <w:u w:val="double"/>
        </w:rPr>
        <w:t>8.5</w:t>
        <w:tab/>
        <w:t>Downgrade Event.    If at any time there shall occur a Downgrade Event in respect of a Party (a "Downgraded Party"), then the other Party ( the "Requesting Party") may require the Downgraded Party to provide    Performance Assurance in an amount reasonably determined by</w:t>
      </w:r>
      <w:r>
        <w:rPr/>
        <w:t xml:space="preserve"> the Requesting Party </w:t>
      </w:r>
      <w:r>
        <w:rPr>
          <w:strike/>
        </w:rPr>
        <w:t>has reasonable grounds for insecurity shall constitute</w:t>
      </w:r>
      <w:r>
        <w:rPr>
          <w:u w:val="double"/>
        </w:rPr>
        <w:t>.    In the event a Downgraded Party shall fail to provide such Performance Assurance or a guaranty or other credit assurance within three (3) Business Days of receipt of notice, then</w:t>
      </w:r>
      <w:r>
        <w:rPr/>
        <w:t xml:space="preserve"> an Event of Default </w:t>
      </w:r>
      <w:r>
        <w:rPr>
          <w:strike/>
        </w:rPr>
        <w:t>under Article Four and the Requesting Party shall be entitled to the remedies set forth in Article Four of this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ARTICLE NINE: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DISPUTE RESOLUTION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Check the dispute resolution provisions to be applicable. Only one of Options A, B or C should be checked. If no option is checked, Option A shall apply.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Option A: o Applicable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9.1 Step Negotiation. In the event of a dispute regarding this Agreement, the Parties shall attempt, in good faith, to resolve the dispute amicably and promptly. If the dispute is not resolved in five (5) days in the normal course of business, the Parties shall attempt to resolve the dispute by appointing a senior representative of each Party to attempt to mutually agree upon a resolution. If the two senior representatives cannot reach a resolution within an additional five (5) day period, the dispute may be set for arbitration as defined herein; provided, however, any dispute which lies within the exclusive jurisdiction of the FERC shall not be submitted to arbitration.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9.2 Arbitration. If the senior representatives of the Parties are unable to resolve the dispute, and adjudication of the dispute is not within the exclusive jurisdiction of the FERC, the dispute may be submitted upon request of either Party to binding arbitration by one arbitrator who has not previously been employed by either Party, and does not have a direct or indirect interest in either Party or the subject matter of the arbitration. Such arbitrator shall either be as mutually agreed by the Parties within thirty (30) days after written notice from either Party requesting arbitration, or failing agreement, shall be selected under the expedited rules of [the Center for Public Resources (</w:t>
      </w:r>
      <w:r>
        <w:rPr>
          <w:rFonts w:ascii="WP TypographicSymbols" w:hAnsi="WP TypographicSymbols"/>
          <w:strike/>
        </w:rPr>
        <w:t></w:t>
      </w:r>
      <w:r>
        <w:rPr>
          <w:strike/>
        </w:rPr>
        <w:t>CPR</w:t>
      </w:r>
      <w:r>
        <w:rPr>
          <w:rFonts w:ascii="WP TypographicSymbols" w:hAnsi="WP TypographicSymbols"/>
          <w:strike/>
        </w:rPr>
        <w:t></w:t>
      </w:r>
      <w:r>
        <w:rPr>
          <w:strike/>
        </w:rPr>
        <w:t xml:space="preserve">) or the] American Arbitration Association (the </w:t>
      </w:r>
      <w:r>
        <w:rPr>
          <w:rFonts w:ascii="WP TypographicSymbols" w:hAnsi="WP TypographicSymbols"/>
          <w:strike/>
        </w:rPr>
        <w:t></w:t>
      </w:r>
      <w:r>
        <w:rPr>
          <w:strike/>
        </w:rPr>
        <w:t>AAA</w:t>
      </w:r>
      <w:r>
        <w:rPr>
          <w:rFonts w:ascii="WP TypographicSymbols" w:hAnsi="WP TypographicSymbols"/>
          <w:strike/>
        </w:rPr>
        <w:t></w:t>
      </w:r>
      <w:r>
        <w:rPr>
          <w:strike/>
        </w:rPr>
        <w:t>). Such arbitration shall be held in alternating locations of the home offices of the Parties or in any other mutually agreed upon location. The rules of [the CPR or] the AAA shall apply to the extent not inconsistent with the rules herein specified. The judgment rendered by the arbitrator may be enforced in any court having jurisdiction of the subject matter and the Parties. All costs of the arbitration shall be paid equally by the Parties, unless the award shall specify a different division of the costs. Each Party shall be responsible for its own expenses, including attorney</w:t>
      </w:r>
      <w:r>
        <w:rPr>
          <w:rFonts w:ascii="WP TypographicSymbols" w:hAnsi="WP TypographicSymbols"/>
          <w:strike/>
        </w:rPr>
        <w:t></w:t>
      </w:r>
      <w:r>
        <w:rPr>
          <w:strike/>
        </w:rPr>
        <w:t>s fees. Both Parties shall be afforded adequate opportunity to present information in support of its position on the dispute being arbitrated. The arbitrator may also request additional information from the Parties.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9.3 Arbitration Rules. The arbitrator shall be bound by the terms of this Agreement and may not detract from or add to its terms. The Parties may by mutual agreement specify the rules that are to govern the arbitration proceedings and limit the matters to be considered. The findings and award of the arbitrator shall be final and conclusive and shall be binding upon the Parties, except as otherwise provided by law. Each Party agrees that it will not bring a lawsuit concerning any dispute covered by this arbitration provision. Any monetary award of the arbitrator may be enforced by the Party in whose favor such monetary award is made in any court of competent jurisdiction.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9.4 FERC Jurisdiction. Nothing in this section shall restrict the rights of either Party to file a complaint with the FERC under the relevant provisions of the Federal Power Act and the FERC</w:t>
      </w:r>
      <w:r>
        <w:rPr>
          <w:rFonts w:ascii="WP TypographicSymbols" w:hAnsi="WP TypographicSymbols"/>
          <w:strike/>
        </w:rPr>
        <w:t></w:t>
      </w:r>
      <w:r>
        <w:rPr>
          <w:strike/>
        </w:rPr>
        <w:t>s rules and regulations regarding any issue the adjudication of which lies within the exclusive jurisdiction of the FERC. Additionally, this arbitration provision does not affect the jurisdiction of the FERC over this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Option B: o Applicable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9.1 Dispute Resolution. In the event of a dispute among the Parties to this Agreement, the Parties shall attempt, in good faith, to resolve the dispute amicably and promptly. If the Parties are unable to resolve the dispute, despite such good faith efforts, the Parties may: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(a) by mutual agreement, submit the dispute to binding arbitration under rules and procedures as they may so agree; or</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(b) pursue any legal or equitable remedies that may be available.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 xml:space="preserve">Option C (Billing Dispute/Termination Payment Only): o Applicable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9.1 Arbitration Proceedings. Any dispute or need of interpretation arising out of this Agreement pertaining to the calculation of a Termination Payment or a payment required pursuant to Article Three may be submitted upon request of either Party to binding arbitration by one arbitrator who has not previously been employed by either Party, and does not have a direct or indirect interest in either Party or the subject matter of the arbitration. Such arbitrator shall either be as mutually agreed by the Parties within thirty (30) days after written notice from either Party requesting arbitration, or failing agreement, shall be selected under the expedited rules of [the Center for Public Resources (</w:t>
      </w:r>
      <w:r>
        <w:rPr>
          <w:rFonts w:ascii="WP TypographicSymbols" w:hAnsi="WP TypographicSymbols"/>
          <w:strike/>
        </w:rPr>
        <w:t></w:t>
      </w:r>
      <w:r>
        <w:rPr>
          <w:strike/>
        </w:rPr>
        <w:t>CPR</w:t>
      </w:r>
      <w:r>
        <w:rPr>
          <w:rFonts w:ascii="WP TypographicSymbols" w:hAnsi="WP TypographicSymbols"/>
          <w:strike/>
        </w:rPr>
        <w:t></w:t>
      </w:r>
      <w:r>
        <w:rPr>
          <w:strike/>
        </w:rPr>
        <w:t xml:space="preserve">) or the] American Arbitration Association (the </w:t>
      </w:r>
      <w:r>
        <w:rPr>
          <w:rFonts w:ascii="WP TypographicSymbols" w:hAnsi="WP TypographicSymbols"/>
          <w:strike/>
        </w:rPr>
        <w:t></w:t>
      </w:r>
      <w:r>
        <w:rPr>
          <w:strike/>
        </w:rPr>
        <w:t>AAA</w:t>
      </w:r>
      <w:r>
        <w:rPr>
          <w:rFonts w:ascii="WP TypographicSymbols" w:hAnsi="WP TypographicSymbols"/>
          <w:strike/>
        </w:rPr>
        <w:t></w:t>
      </w:r>
      <w:r>
        <w:rPr>
          <w:strike/>
        </w:rPr>
        <w:t>). Such arbitration shall be held in alternating locations of the home offices of the Parties, or in any other mutually agreed upon location. The rules of [the CPR or] the AAA shall apply to the extent not inconsistent with the rules herein specified. Either Party may initiate arbitration by written notice to the other Party and the arbitration shall be conducted according to the following: (a) not later than seven (7) days prior to the hearing date set by the arbitrator each Party shall submit a brief with a single proposal for settlement, (b) the hearing shall be conducted on a confidential basis without continuance or adjournment, (c) the arbitrator shall be limited to selecting only one of the two proposals submitted by the Parties, (d) each Party shall divide equally the cost of the arbitrator and the hearing and each Party shall be responsible for its own expenses and those of its counsel and representatives and (e) evidence concerning the financial position or organizational make</w:t>
        <w:noBreakHyphen/>
        <w:t>up of the Parties, any offer made or the details of any negotiation prior to arbitration and the cost to the Parties of their representatives and counsel shall not be admissible. Each Party agrees that it will not bring a lawsuit concerning any dispute covered by this arbitration provision. Any monetary award of the arbitrator may be enforced by the Party in whose favor such monetary award is made in any court of competent jurisdiction.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ARTICLE TEN: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TAXES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(WHOLE SECTION STILL TO BE DISCUSSED)</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strike/>
        </w:rPr>
        <w:t>10.1</w:t>
      </w:r>
      <w:r>
        <w:rPr/>
        <w:t xml:space="preserve"> </w:t>
      </w:r>
      <w:r>
        <w:rPr>
          <w:u w:val="double"/>
        </w:rPr>
        <w:t>will be deemed to have occurred.</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u w:val="double"/>
        </w:rPr>
      </w:pPr>
      <w:r>
        <w:rPr>
          <w:b/>
          <w:u w:val="double"/>
        </w:rPr>
        <w:t>ARTICLE NINE: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sz w:val="22"/>
          <w:u w:val="double"/>
        </w:rPr>
      </w:pPr>
      <w:r>
        <w:rPr>
          <w:b/>
          <w:sz w:val="22"/>
          <w:u w:val="double"/>
        </w:rPr>
        <w:t>TAXES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sz w:val="28"/>
          <w:u w:val="double"/>
        </w:rPr>
      </w:pPr>
      <w:r>
        <w:rPr>
          <w:sz w:val="28"/>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9.1</w:t>
      </w:r>
      <w:r>
        <w:rPr/>
        <w:tab/>
      </w:r>
      <w:r>
        <w:rPr>
          <w:u w:val="single"/>
        </w:rPr>
        <w:t>Cooperation</w:t>
      </w:r>
      <w:r>
        <w:rPr/>
        <w:t xml:space="preserve">.    Each Party shall use reasonable efforts to implement the provisions of and to administer this </w:t>
      </w:r>
      <w:r>
        <w:rPr>
          <w:u w:val="double"/>
        </w:rPr>
        <w:t>Master</w:t>
      </w:r>
      <w:r>
        <w:rPr/>
        <w:t xml:space="preserve"> Agreement in accordance with </w:t>
      </w:r>
      <w:r>
        <w:rPr>
          <w:strike/>
        </w:rPr>
        <w:t>their</w:t>
      </w:r>
      <w:r>
        <w:rPr/>
        <w:t xml:space="preserve"> </w:t>
      </w:r>
      <w:r>
        <w:rPr>
          <w:u w:val="double"/>
        </w:rPr>
        <w:t>the</w:t>
      </w:r>
      <w:r>
        <w:rPr/>
        <w:t xml:space="preserve"> intent </w:t>
      </w:r>
      <w:r>
        <w:rPr>
          <w:u w:val="double"/>
        </w:rPr>
        <w:t>of the parties</w:t>
      </w:r>
      <w:r>
        <w:rPr/>
        <w:t xml:space="preserve"> to minimize Taxes, so long as neither Party is materially adversely affected by such efforts.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strike/>
        </w:rPr>
        <w:t>Either Party with knowledge of a tax on the purchase, sale, delivery or receipt of the Product(s) that may be applicable to any Transaction under this Agreement shall notify the other Party in advance of entering into such Transaction under this Agreement of the applicability of such tax and shall also notify the other Party of any proposal to implement a new tax or apply an existing tax to the purchase, sale, delivery, or receipt of the Product(s)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Tax. Unless and until such certificate(s) is (are) provided, Seller shall add such Tax to Seller</w:t>
      </w:r>
      <w:r>
        <w:rPr>
          <w:rFonts w:ascii="WP TypographicSymbols" w:hAnsi="WP TypographicSymbols"/>
          <w:strike/>
        </w:rPr>
        <w:t></w:t>
      </w:r>
      <w:r>
        <w:rPr>
          <w:strike/>
        </w:rPr>
        <w:t>s invoice to Buyer. The Party responsible for paying the Taxes shall also remit the tax to the appropriate taxing authority and file the required returns unless otherwise provided by law or upon agreement of the Parties. In such case the Party otherwise responsible for payment of the tax shall provide to the Party responsible for remitting the tax, all information necessary to make proper and timely payments and to file the required returns.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strike/>
        </w:rPr>
        <w:t>10.2</w:t>
      </w:r>
      <w:r>
        <w:rPr/>
        <w:t xml:space="preserve"> </w:t>
      </w:r>
      <w:r>
        <w:rPr>
          <w:u w:val="double"/>
        </w:rPr>
        <w:t>9.2</w:t>
      </w:r>
      <w:r>
        <w:rPr/>
        <w:tab/>
      </w:r>
      <w:r>
        <w:rPr>
          <w:u w:val="single"/>
        </w:rPr>
        <w:t>Taxes</w:t>
      </w:r>
      <w:r>
        <w:rPr/>
        <w:t>.</w:t>
        <w:tab/>
        <w:t>Seller shall pay or cause to be paid, all taxes, fees, levies, penalties, licenses or charges</w:t>
      </w:r>
      <w:r>
        <w:rPr>
          <w:u w:val="double"/>
        </w:rPr>
        <w:t>,</w:t>
      </w:r>
      <w:r>
        <w:rPr/>
        <w:t xml:space="preserve"> imposed by any government authority (</w:t>
      </w:r>
      <w:r>
        <w:rPr>
          <w:rFonts w:ascii="WP TypographicSymbols" w:hAnsi="WP TypographicSymbols"/>
        </w:rPr>
        <w:t></w:t>
      </w:r>
      <w:r>
        <w:rPr/>
        <w:t>Taxes</w:t>
      </w:r>
      <w:r>
        <w:rPr>
          <w:rFonts w:ascii="WP TypographicSymbols" w:hAnsi="WP TypographicSymbols"/>
        </w:rPr>
        <w:t></w:t>
      </w:r>
      <w:r>
        <w:rPr/>
        <w:t xml:space="preserve">) on or with respect to the Product </w:t>
      </w:r>
      <w:r>
        <w:rPr>
          <w:strike/>
        </w:rPr>
        <w:t>prior to its delivery to Buyer up to and at</w:t>
      </w:r>
      <w:r>
        <w:rPr/>
        <w:t xml:space="preserve"> </w:t>
      </w:r>
      <w:r>
        <w:rPr>
          <w:u w:val="double"/>
        </w:rPr>
        <w:t xml:space="preserve">or a Transaction arising prior to </w:t>
      </w:r>
      <w:r>
        <w:rPr/>
        <w:t xml:space="preserve">the Delivery Point.    Buyer shall pay or cause to be paid, all Taxes on or with respect to </w:t>
      </w:r>
      <w:r>
        <w:rPr>
          <w:strike/>
        </w:rPr>
        <w:t>the Product</w:t>
      </w:r>
      <w:r>
        <w:rPr/>
        <w:t xml:space="preserve"> </w:t>
      </w:r>
      <w:r>
        <w:rPr>
          <w:u w:val="double"/>
        </w:rPr>
        <w:t>at and</w:t>
      </w:r>
      <w:r>
        <w:rPr/>
        <w:t xml:space="preserve"> from the Delivery Point (other than ad valorem, franchise</w:t>
      </w:r>
      <w:r>
        <w:rPr>
          <w:strike/>
        </w:rPr>
        <w:t>,</w:t>
      </w:r>
      <w:r>
        <w:rPr/>
        <w:t xml:space="preserve"> or income taxes which are related to the sale of the Product and </w:t>
      </w:r>
      <w:r>
        <w:rPr>
          <w:u w:val="double"/>
        </w:rPr>
        <w:t>are,</w:t>
      </w:r>
      <w:r>
        <w:rPr/>
        <w:t xml:space="preserve"> therefore</w:t>
      </w:r>
      <w:r>
        <w:rPr>
          <w:u w:val="double"/>
        </w:rPr>
        <w:t>,</w:t>
      </w:r>
      <w:r>
        <w:rPr/>
        <w:t xml:space="preserve"> the responsibility of the </w:t>
      </w:r>
      <w:r>
        <w:rPr>
          <w:strike/>
        </w:rPr>
        <w:t>Seller.)</w:t>
      </w:r>
      <w:r>
        <w:rPr/>
        <w:t xml:space="preserve"> </w:t>
      </w:r>
      <w:r>
        <w:rPr>
          <w:u w:val="double"/>
        </w:rPr>
        <w:t>Seller)</w:t>
      </w:r>
      <w:r>
        <w:rPr/>
        <w:t>.    In the event Seller is required by law or regulation to remit or pay Taxes which are Buyer</w:t>
      </w:r>
      <w:r>
        <w:rPr>
          <w:rFonts w:ascii="WP TypographicSymbols" w:hAnsi="WP TypographicSymbols"/>
        </w:rPr>
        <w:t></w:t>
      </w:r>
      <w:r>
        <w:rPr/>
        <w:t>s responsibility hereunder, Buyer shall promptly reimburse Seller for such Taxes.    If Buyer is required by law or regulation to remit or pay Taxes which are Seller</w:t>
      </w:r>
      <w:r>
        <w:rPr>
          <w:rFonts w:ascii="WP TypographicSymbols" w:hAnsi="WP TypographicSymbols"/>
        </w:rPr>
        <w:t></w:t>
      </w:r>
      <w:r>
        <w:rPr/>
        <w:t>s responsibility hereunder, Buyer may deduct the amount of any such Taxes from the sums due to Seller hereunder.    Nothing shall obligate or cause a Party to pay or be liable to pay any taxes for which it is exempt under the law.</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 xml:space="preserve">10.3 New Taxes.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 xml:space="preserve">(a) Notwithstanding any other provision of this Agreement to the contrary, if (i) a Tax is imposed after the Effective Date (a </w:t>
      </w:r>
      <w:r>
        <w:rPr>
          <w:rFonts w:ascii="WP TypographicSymbols" w:hAnsi="WP TypographicSymbols"/>
          <w:b/>
          <w:strike/>
          <w:u w:val="single"/>
        </w:rPr>
        <w:t></w:t>
      </w:r>
      <w:r>
        <w:rPr>
          <w:b/>
          <w:strike/>
          <w:u w:val="single"/>
        </w:rPr>
        <w:t>New Tax</w:t>
      </w:r>
      <w:r>
        <w:rPr>
          <w:rFonts w:ascii="WP TypographicSymbols" w:hAnsi="WP TypographicSymbols"/>
          <w:b/>
          <w:strike/>
          <w:u w:val="single"/>
        </w:rPr>
        <w:t></w:t>
      </w:r>
      <w:r>
        <w:rPr>
          <w:b/>
          <w:strike/>
          <w:u w:val="single"/>
        </w:rPr>
        <w:t>), and (ii) Buyer or Seller would be responsible for such New Tax and (iii) such New Tax is (as a result of laws, regulations and applicable contracts of Buyer in effect as of the effective date of the New Tax) of the type that, without prior notice or order of any regulatory authority, Buyer can pass directly through to, or be reimbursed by, another person or entity, Buyer shall pay or cause to be paid, or reimburse Seller if Seller has paid, all such New Taxes, and Buyer shall indemnify, defend and hold harmless Seller from any Claims for such New Taxes.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 xml:space="preserve">(b) If (i) a New Tax is imposed and (ii) Buyer or Seller would be responsible for paying such New Tax and (iii) Paragraph (1) does not apply, the Party responsible for the New Tax (the </w:t>
      </w:r>
      <w:r>
        <w:rPr>
          <w:rFonts w:ascii="WP TypographicSymbols" w:hAnsi="WP TypographicSymbols"/>
          <w:b/>
          <w:strike/>
          <w:u w:val="single"/>
        </w:rPr>
        <w:t></w:t>
      </w:r>
      <w:r>
        <w:rPr>
          <w:b/>
          <w:strike/>
          <w:u w:val="single"/>
        </w:rPr>
        <w:t>Affected Party</w:t>
      </w:r>
      <w:r>
        <w:rPr>
          <w:rFonts w:ascii="WP TypographicSymbols" w:hAnsi="WP TypographicSymbols"/>
          <w:b/>
          <w:strike/>
          <w:u w:val="single"/>
        </w:rPr>
        <w:t></w:t>
      </w:r>
      <w:r>
        <w:rPr>
          <w:b/>
          <w:strike/>
          <w:u w:val="single"/>
        </w:rPr>
        <w:t xml:space="preserve">) shall be entitled to declare an Early Termination Date with respect to those Transactions affected by the New Tax (the </w:t>
      </w:r>
      <w:r>
        <w:rPr>
          <w:rFonts w:ascii="WP TypographicSymbols" w:hAnsi="WP TypographicSymbols"/>
          <w:b/>
          <w:strike/>
          <w:u w:val="single"/>
        </w:rPr>
        <w:t></w:t>
      </w:r>
      <w:r>
        <w:rPr>
          <w:b/>
          <w:strike/>
          <w:u w:val="single"/>
        </w:rPr>
        <w:t>Affected Transactions</w:t>
      </w:r>
      <w:r>
        <w:rPr>
          <w:rFonts w:ascii="WP TypographicSymbols" w:hAnsi="WP TypographicSymbols"/>
          <w:b/>
          <w:strike/>
          <w:u w:val="single"/>
        </w:rPr>
        <w:t></w:t>
      </w:r>
      <w:r>
        <w:rPr>
          <w:b/>
          <w:strike/>
          <w:u w:val="single"/>
        </w:rPr>
        <w:t xml:space="preserve">) in accordance with the provisions of this Agreement subject to the following conditions: (a) the Affected Party must give the other Party (the </w:t>
      </w:r>
      <w:r>
        <w:rPr>
          <w:rFonts w:ascii="WP TypographicSymbols" w:hAnsi="WP TypographicSymbols"/>
          <w:b/>
          <w:strike/>
          <w:u w:val="single"/>
        </w:rPr>
        <w:t></w:t>
      </w:r>
      <w:r>
        <w:rPr>
          <w:b/>
          <w:strike/>
          <w:u w:val="single"/>
        </w:rPr>
        <w:t>Non</w:t>
        <w:noBreakHyphen/>
        <w:t>Affected Party</w:t>
      </w:r>
      <w:r>
        <w:rPr>
          <w:rFonts w:ascii="WP TypographicSymbols" w:hAnsi="WP TypographicSymbols"/>
          <w:b/>
          <w:strike/>
          <w:u w:val="single"/>
        </w:rPr>
        <w:t></w:t>
      </w:r>
      <w:r>
        <w:rPr>
          <w:b/>
          <w:strike/>
          <w:u w:val="single"/>
        </w:rPr>
        <w:t>) at least thirty (30) days</w:t>
      </w:r>
      <w:r>
        <w:rPr>
          <w:rFonts w:ascii="WP TypographicSymbols" w:hAnsi="WP TypographicSymbols"/>
          <w:b/>
          <w:strike/>
          <w:u w:val="single"/>
        </w:rPr>
        <w:t></w:t>
      </w:r>
      <w:r>
        <w:rPr>
          <w:b/>
          <w:strike/>
          <w:u w:val="single"/>
        </w:rPr>
        <w:t xml:space="preserve"> prior written notice (the </w:t>
      </w:r>
      <w:r>
        <w:rPr>
          <w:rFonts w:ascii="WP TypographicSymbols" w:hAnsi="WP TypographicSymbols"/>
          <w:b/>
          <w:strike/>
          <w:u w:val="single"/>
        </w:rPr>
        <w:t></w:t>
      </w:r>
      <w:r>
        <w:rPr>
          <w:b/>
          <w:strike/>
          <w:u w:val="single"/>
        </w:rPr>
        <w:t>Agreement Period</w:t>
      </w:r>
      <w:r>
        <w:rPr>
          <w:rFonts w:ascii="WP TypographicSymbols" w:hAnsi="WP TypographicSymbols"/>
          <w:b/>
          <w:strike/>
          <w:u w:val="single"/>
        </w:rPr>
        <w:t></w:t>
      </w:r>
      <w:r>
        <w:rPr>
          <w:b/>
          <w:strike/>
          <w:u w:val="single"/>
        </w:rPr>
        <w:t>) of its intent to declare an Early Termination Date (which notice shall be given no later than ninety (90) days after the later of the enactment or effective date of the relevant New Tax), and prior to the proposed Early Termination Date, Buyer and Seller shall attempt to reach a mutual agreement as to the sharing of the New Tax; (b) if a mutual sharing agreement is not reached, the Non</w:t>
        <w:noBreakHyphen/>
        <w:t>Affected Party shall have the right, but not the obligation, upon written notice to the Affected Party within the Agreement Period, to pay the New Tax for any continuous period it so elects on a month</w:t>
        <w:noBreakHyphen/>
        <w:t>to</w:t>
        <w:noBreakHyphen/>
        <w:t>month basis, and in such case the Affected Party shall not have the right during such continuous period to declare the Early Termination Date on the basis of the New Tax; (c) should the Non</w:t>
        <w:noBreakHyphen/>
        <w:t>Affected Party at its election agree to pay the New Tax on a month</w:t>
        <w:noBreakHyphen/>
        <w:t>to</w:t>
        <w:noBreakHyphen/>
        <w:t>month basis, then upon thirty (30) days</w:t>
      </w:r>
      <w:r>
        <w:rPr>
          <w:rFonts w:ascii="WP TypographicSymbols" w:hAnsi="WP TypographicSymbols"/>
          <w:b/>
          <w:strike/>
          <w:u w:val="single"/>
        </w:rPr>
        <w:t></w:t>
      </w:r>
      <w:r>
        <w:rPr>
          <w:b/>
          <w:strike/>
          <w:u w:val="single"/>
        </w:rPr>
        <w:t xml:space="preserve"> prior written notice to the Affected Party of its election to cease payments of such New Tax, the Affected Party shall then be liable for the payment of the New Tax, and the Parties shall again be subject to this Section 9.2(b)(2) as if the New Tax had an effective date as of the date the Non</w:t>
        <w:noBreakHyphen/>
        <w:t>Affected Party ceases payment of the New Tax; (d) for any period of time within the Agreement Period, the Early Termination Date shall take effect and all Affected Transactions must be terminated and be subject to the same Early Termination Date; (e) the Early Termination Date shall be designated as if an Event of Default had occurred; provided, both Seller and Buyer shall calculate in a commercially reasonable manner their net gain (amount of gain after netting losses and costs) or net loss (amount of losses and costs after netting gains) resulting from the termination of all Affected Transactions as if they each were a notifying Party; and provided further, that each Party</w:t>
      </w:r>
      <w:r>
        <w:rPr>
          <w:rFonts w:ascii="WP TypographicSymbols" w:hAnsi="WP TypographicSymbols"/>
          <w:b/>
          <w:strike/>
          <w:u w:val="single"/>
        </w:rPr>
        <w:t></w:t>
      </w:r>
      <w:r>
        <w:rPr>
          <w:b/>
          <w:strike/>
          <w:u w:val="single"/>
        </w:rPr>
        <w:t>s gains and losses shall be determined without taking into effect the impact of the New Taxes; (f)(i) if both Parties have a net gain, the Party with the greater net gain shall pay to the other Party fifty percent (50%) of the difference between the two (2) net gains; (ii) if both Parties have a net loss, the Party with the lesser net loss shall pay to the other Party fifty percent (50%) of the absolute value of the difference between the two (2) net losses; and (iii) if one Party shall have a net gain and the other Party shall have a net loss, the Party with the net gain shall pay to the other Party the lower of:</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(A) fifty percent (50%) of the sum of the absolute value of the net gain and the absolute value of the net loss;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(B) the value of the net loss; or</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 xml:space="preserve">(C) the value of the net gain; and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(g) such payment shall be payable as provided under Article Five and its calculation shall be subject to alternative dispute resolution procedures in accordance Article Nine of the Agreement. Prior to and including the initial agreement period invoked under this Article 10.3(b), New Taxes shall be allocated as if they were Taxes as provided above in Article (A). In no event, however, shall a Party</w:t>
      </w:r>
      <w:r>
        <w:rPr>
          <w:rFonts w:ascii="WP TypographicSymbols" w:hAnsi="WP TypographicSymbols"/>
          <w:b/>
          <w:strike/>
          <w:u w:val="single"/>
        </w:rPr>
        <w:t></w:t>
      </w:r>
      <w:r>
        <w:rPr>
          <w:b/>
          <w:strike/>
          <w:u w:val="single"/>
        </w:rPr>
        <w:t>s gains, losses or costs include any penalties, ratcheted demand or similar charges or stranded costs. The intent of this Article 10.3(b) is to fairly distribute the burden on any open Transactions that are impacted as a result of New Taxes.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ARTICLE ELEVEN: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MISCELLANEOUS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u w:val="double"/>
        </w:rPr>
      </w:pPr>
      <w:r>
        <w:rPr>
          <w:b/>
          <w:strike/>
          <w:u w:val="single"/>
        </w:rPr>
        <w:t xml:space="preserve">11.1 Term of </w:t>
      </w:r>
      <w:r>
        <w:rPr>
          <w:b/>
          <w:u w:val="double"/>
        </w:rPr>
        <w:t>ARTICLE TEN: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sz w:val="22"/>
          <w:u w:val="double"/>
        </w:rPr>
      </w:pPr>
      <w:r>
        <w:rPr>
          <w:b/>
          <w:sz w:val="22"/>
          <w:u w:val="double"/>
        </w:rPr>
        <w:t>MISCELLANEOUS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10.1</w:t>
        <w:tab/>
        <w:t>Term of Master</w:t>
      </w:r>
      <w:r>
        <w:rPr>
          <w:u w:val="single"/>
        </w:rPr>
        <w:t xml:space="preserve"> Agreement</w:t>
      </w:r>
      <w:r>
        <w:rPr/>
        <w:t xml:space="preserve">.    The term of this </w:t>
      </w:r>
      <w:r>
        <w:rPr>
          <w:u w:val="double"/>
        </w:rPr>
        <w:t>Master</w:t>
      </w:r>
      <w:r>
        <w:rPr/>
        <w:t xml:space="preserve"> Agreement shall commence on the Effective Date and shall remain in effect until terminated by either Party upon (thirty) 30 days' prior written notice; provided, however, that such termination shall not affect or excuse the performance of either Party under any provision of this </w:t>
      </w:r>
      <w:r>
        <w:rPr>
          <w:u w:val="double"/>
        </w:rPr>
        <w:t>Master</w:t>
      </w:r>
      <w:r>
        <w:rPr/>
        <w:t xml:space="preserve"> Agreement that by its terms survives any such termination and, provided further, that this </w:t>
      </w:r>
      <w:r>
        <w:rPr>
          <w:u w:val="double"/>
        </w:rPr>
        <w:t>Master</w:t>
      </w:r>
      <w:r>
        <w:rPr/>
        <w:t xml:space="preserve"> 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strike/>
        </w:rPr>
        <w:t>11.2</w:t>
      </w:r>
      <w:r>
        <w:rPr/>
        <w:t xml:space="preserve"> </w:t>
      </w:r>
      <w:r>
        <w:rPr>
          <w:u w:val="double"/>
        </w:rPr>
        <w:t>10.2</w:t>
      </w:r>
      <w:r>
        <w:rPr/>
        <w:tab/>
      </w:r>
      <w:r>
        <w:rPr>
          <w:u w:val="single"/>
        </w:rPr>
        <w:t>Representations and Warranties</w:t>
      </w:r>
      <w:r>
        <w:rPr/>
        <w:t xml:space="preserve">.    On the Effective Date and the date of entering into each Transaction, each Party represents and warrants to the other Party that: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(i) it is duly organized, validly existing and in good standing under the laws of the jurisdiction of its formation</w:t>
      </w:r>
      <w:r>
        <w:rPr>
          <w:strike/>
        </w:rPr>
        <w:t>,</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(ii) it has all regulatory authorizations necessary for it to legally perform its obligations under this </w:t>
      </w:r>
      <w:r>
        <w:rPr>
          <w:strike/>
        </w:rPr>
        <w:t>Agreement and any other documentation relating to this Agreement or such Transaction to which it is a party,</w:t>
      </w:r>
      <w:r>
        <w:rPr/>
        <w:t xml:space="preserve"> </w:t>
      </w:r>
      <w:r>
        <w:rPr>
          <w:u w:val="double"/>
        </w:rPr>
        <w:t>Master Agreement and each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(iii) the execution, delivery and performance of this </w:t>
      </w:r>
      <w:r>
        <w:rPr>
          <w:strike/>
        </w:rPr>
        <w:t>Agreement and any other documentation relating to this Agreement or such Transaction to which it is a party</w:t>
      </w:r>
      <w:r>
        <w:rPr/>
        <w:t xml:space="preserve"> </w:t>
      </w:r>
      <w:r>
        <w:rPr>
          <w:u w:val="double"/>
        </w:rPr>
        <w:t xml:space="preserve">Master Agreement and each Transaction </w:t>
      </w:r>
      <w:r>
        <w:rPr/>
        <w:t>are within its powers, have been duly authorized by all necessary action and do not violate any of the terms and conditions in its governing documents, any contracts to which it is a party or any law, rule, regulation, order or the like applicable to it</w:t>
      </w:r>
      <w:r>
        <w:rPr>
          <w:strike/>
        </w:rPr>
        <w:t>,</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(iv) this </w:t>
      </w:r>
      <w:r>
        <w:rPr>
          <w:u w:val="double"/>
        </w:rPr>
        <w:t>Master</w:t>
      </w:r>
      <w:r>
        <w:rPr/>
        <w:t xml:space="preserve"> Agreement and each other document executed and delivered in accordance with this </w:t>
      </w:r>
      <w:r>
        <w:rPr>
          <w:u w:val="double"/>
        </w:rPr>
        <w:t>Master</w:t>
      </w:r>
      <w:r>
        <w:rPr/>
        <w:t xml:space="preserve"> Agreement constitutes its legally valid and binding obligation enforceable against it in accordance with its terms</w:t>
      </w:r>
      <w:r>
        <w:rPr>
          <w:strike/>
        </w:rPr>
        <w:t>,</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(v) </w:t>
      </w:r>
      <w:r>
        <w:rPr>
          <w:u w:val="double"/>
        </w:rPr>
        <w:t>it is not Bankrupt and</w:t>
      </w:r>
      <w:r>
        <w:rPr/>
        <w:t xml:space="preserve"> there are no </w:t>
      </w:r>
      <w:r>
        <w:rPr>
          <w:strike/>
        </w:rPr>
        <w:t>Bankruptcy Proceedings</w:t>
      </w:r>
      <w:r>
        <w:rPr/>
        <w:t xml:space="preserve"> </w:t>
      </w:r>
      <w:r>
        <w:rPr>
          <w:u w:val="double"/>
        </w:rPr>
        <w:t>proceedings</w:t>
      </w:r>
      <w:r>
        <w:rPr/>
        <w:t xml:space="preserve"> pending or being contemplated by it or, to its knowledge, threatened against it</w:t>
      </w:r>
      <w:r>
        <w:rPr>
          <w:strike/>
        </w:rPr>
        <w:t>,</w:t>
      </w:r>
      <w:r>
        <w:rPr/>
        <w:t xml:space="preserve"> </w:t>
      </w:r>
      <w:r>
        <w:rPr>
          <w:u w:val="double"/>
        </w:rPr>
        <w:t>which would result in it being or becoming Bankrupt;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(vi) there is not pending or, to its knowledge, threatened against it or any of its affiliates any legal proceedings that could materially adversely affect its ability to perform its obligations under this </w:t>
      </w:r>
      <w:r>
        <w:rPr>
          <w:strike/>
        </w:rPr>
        <w:t>Agreement or any other document relating to this Agreement to which it is a party,</w:t>
      </w:r>
      <w:r>
        <w:rPr/>
        <w:t xml:space="preserve"> </w:t>
      </w:r>
      <w:r>
        <w:rPr>
          <w:u w:val="double"/>
        </w:rPr>
        <w:t>Master Agreement and each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(vii) no Event of Default or event which, </w:t>
      </w:r>
      <w:r>
        <w:rPr>
          <w:strike/>
        </w:rPr>
        <w:t>absent a cure,</w:t>
      </w:r>
      <w:r>
        <w:rPr/>
        <w:t xml:space="preserve"> with the giving of notice or lapse of time, or both, would constitute an Event of Default with respect to it has occurred and is continuing and no such event or circumstance would occur as a result of its entering into or performing its obligations under this </w:t>
      </w:r>
      <w:r>
        <w:rPr>
          <w:strike/>
        </w:rPr>
        <w:t>Agreement or any other document relating to this Agreement or any Transaction,</w:t>
      </w:r>
      <w:r>
        <w:rPr/>
        <w:t xml:space="preserve"> </w:t>
      </w:r>
      <w:r>
        <w:rPr>
          <w:u w:val="double"/>
        </w:rPr>
        <w:t>Master Agreement and each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(viii) it is acting for its own account, has made its own independent decision to enter into </w:t>
      </w:r>
      <w:r>
        <w:rPr>
          <w:u w:val="double"/>
        </w:rPr>
        <w:t>this Master Agreement and</w:t>
      </w:r>
      <w:r>
        <w:rPr/>
        <w:t xml:space="preserve"> each Transaction and as to whether </w:t>
      </w:r>
      <w:r>
        <w:rPr>
          <w:u w:val="double"/>
        </w:rPr>
        <w:t>this Master Agreement and</w:t>
      </w:r>
      <w:r>
        <w:rPr/>
        <w:t xml:space="preserve">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w:t>
      </w:r>
      <w:r>
        <w:rPr>
          <w:strike/>
        </w:rPr>
        <w:t>each such</w:t>
      </w:r>
      <w:r>
        <w:rPr/>
        <w:t xml:space="preserve"> </w:t>
      </w:r>
      <w:r>
        <w:rPr>
          <w:u w:val="double"/>
        </w:rPr>
        <w:t xml:space="preserve">this Master Agreement and each </w:t>
      </w:r>
      <w:r>
        <w:rPr/>
        <w:t>Transaction</w:t>
      </w:r>
      <w:r>
        <w:rPr>
          <w:strike/>
        </w:rPr>
        <w:t>,</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(ix) it is a </w:t>
      </w:r>
      <w:r>
        <w:rPr>
          <w:rFonts w:ascii="WP TypographicSymbols" w:hAnsi="WP TypographicSymbols"/>
        </w:rPr>
        <w:t></w:t>
      </w:r>
      <w:r>
        <w:rPr/>
        <w:t>forward contract merchant</w:t>
      </w:r>
      <w:r>
        <w:rPr>
          <w:rFonts w:ascii="WP TypographicSymbols" w:hAnsi="WP TypographicSymbols"/>
        </w:rPr>
        <w:t></w:t>
      </w:r>
      <w:r>
        <w:rPr/>
        <w:t xml:space="preserve"> within the meaning of the United States Bankruptcy Code</w:t>
      </w:r>
      <w:r>
        <w:rPr>
          <w:strike/>
        </w:rPr>
        <w:t>,</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(x) it has entered into this </w:t>
      </w:r>
      <w:r>
        <w:rPr>
          <w:u w:val="double"/>
        </w:rPr>
        <w:t>Master</w:t>
      </w:r>
      <w:r>
        <w:rPr/>
        <w:t xml:space="preserve"> Agreement and each Transaction in connection with the conduct of its business and it has the capacity or ability to make or take delivery of </w:t>
      </w:r>
      <w:r>
        <w:rPr>
          <w:strike/>
        </w:rPr>
        <w:t>Energy, [</w:t>
      </w:r>
      <w:r>
        <w:rPr>
          <w:u w:val="double"/>
        </w:rPr>
        <w:t>all Products referred to in any Transaction to which it is a Party;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u w:val="double"/>
        </w:rPr>
      </w:pPr>
      <w:r>
        <w:rPr/>
        <w:t xml:space="preserve">(xi) with respect to each Transaction involving the purchase or sale of Capacity or an </w:t>
      </w:r>
      <w:r>
        <w:rPr>
          <w:strike/>
        </w:rPr>
        <w:t>Option</w:t>
      </w:r>
      <w:r>
        <w:rPr/>
        <w:t xml:space="preserve"> </w:t>
      </w:r>
      <w:r>
        <w:rPr>
          <w:u w:val="double"/>
        </w:rPr>
        <w:t>option</w:t>
      </w:r>
      <w:r>
        <w:rPr/>
        <w:t xml:space="preserve">, it is a producer, processor, commercial user or merchant handling </w:t>
      </w:r>
      <w:r>
        <w:rPr>
          <w:strike/>
        </w:rPr>
        <w:t>Energy</w:t>
      </w:r>
      <w:r>
        <w:rPr/>
        <w:t xml:space="preserve"> </w:t>
      </w:r>
      <w:r>
        <w:rPr>
          <w:u w:val="double"/>
        </w:rPr>
        <w:t>the Product</w:t>
      </w:r>
      <w:r>
        <w:rPr/>
        <w:t>, and it is entering into such Transaction for purposes related to its business as such</w:t>
      </w:r>
      <w:r>
        <w:rPr>
          <w:strike/>
        </w:rPr>
        <w:t>],</w:t>
      </w:r>
      <w:r>
        <w:rPr>
          <w:u w:val="double"/>
        </w:rPr>
        <w:t>;</w:t>
      </w:r>
      <w:r>
        <w:rPr/>
        <w:t xml:space="preserve">    and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(xii) the material economic terms of each Transaction are subject to individual negotiation by the Parties.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11.3</w:t>
      </w:r>
      <w:r>
        <w:rPr/>
        <w:t xml:space="preserve"> </w:t>
      </w:r>
      <w:r>
        <w:rPr>
          <w:u w:val="double"/>
        </w:rPr>
        <w:t>10.3</w:t>
      </w:r>
      <w:r>
        <w:rPr/>
        <w:tab/>
      </w:r>
      <w:r>
        <w:rPr>
          <w:u w:val="single"/>
        </w:rPr>
        <w:t>Title and Risk of Loss</w:t>
      </w:r>
      <w:r>
        <w:rPr/>
        <w:t xml:space="preserve">.    Title to and risk of loss related to the Product shall transfer from Seller to Buyer at the Delivery Point.    Seller warrants that it will deliver to Buyer the Quantity of the Product free and clear of all liens, claims and encumbrances arising prior to the Delivery Point. 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11.4</w:t>
      </w:r>
      <w:r>
        <w:rPr/>
        <w:t xml:space="preserve"> </w:t>
      </w:r>
      <w:r>
        <w:rPr>
          <w:u w:val="double"/>
        </w:rPr>
        <w:t>10.4</w:t>
      </w:r>
      <w:r>
        <w:rPr/>
        <w:tab/>
      </w:r>
      <w:r>
        <w:rPr>
          <w:u w:val="single"/>
        </w:rPr>
        <w:t>Indemnity</w:t>
      </w:r>
      <w:r>
        <w:rPr/>
        <w:t xml:space="preserve">.    Each Party shall indemnify, defend and hold harmless the other Party from </w:t>
      </w:r>
      <w:r>
        <w:rPr>
          <w:u w:val="double"/>
        </w:rPr>
        <w:t>and against</w:t>
      </w:r>
      <w:r>
        <w:rPr/>
        <w:t xml:space="preserve"> any Claims arising from </w:t>
      </w:r>
      <w:r>
        <w:rPr>
          <w:strike/>
        </w:rPr>
        <w:t xml:space="preserve">any </w:t>
      </w:r>
      <w:r>
        <w:rPr>
          <w:u w:val="double"/>
        </w:rPr>
        <w:t>or out of any event, circumstance,</w:t>
      </w:r>
      <w:r>
        <w:rPr/>
        <w:t xml:space="preserve"> act or incident </w:t>
      </w:r>
      <w:r>
        <w:rPr>
          <w:u w:val="double"/>
        </w:rPr>
        <w:t>first</w:t>
      </w:r>
      <w:r>
        <w:rPr/>
        <w:t xml:space="preserve"> occurring </w:t>
      </w:r>
      <w:r>
        <w:rPr>
          <w:u w:val="double"/>
        </w:rPr>
        <w:t>or existing</w:t>
      </w:r>
      <w:r>
        <w:rPr/>
        <w:t xml:space="preserve"> during the period when control and title to Product is vested</w:t>
      </w:r>
      <w:r>
        <w:rPr>
          <w:strike/>
        </w:rPr>
        <w:t>, as between the Parties as provided in Article 11.3, in the indemnifying Party.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r>
        <w:rPr/>
        <w:t xml:space="preserve"> </w:t>
      </w:r>
      <w:r>
        <w:rPr>
          <w:u w:val="double"/>
        </w:rPr>
        <w:t>in such Party as provided in Section 10.3</w:t>
      </w:r>
      <w:r>
        <w:rPr/>
        <w:t>.    Each Party shall indemnify, defend and hold harmless the other Party against any Taxes for which such Party is responsible under Article Nine.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11.5</w:t>
      </w:r>
      <w:r>
        <w:rPr/>
        <w:t xml:space="preserve"> </w:t>
      </w:r>
      <w:r>
        <w:rPr>
          <w:u w:val="double"/>
        </w:rPr>
        <w:t>10.5</w:t>
      </w:r>
      <w:r>
        <w:rPr/>
        <w:tab/>
      </w:r>
      <w:r>
        <w:rPr>
          <w:u w:val="single"/>
        </w:rPr>
        <w:t>Assignment</w:t>
      </w:r>
      <w:r>
        <w:rPr/>
        <w:t xml:space="preserve">.    Neither Party shall assign this Agreement or its rights </w:t>
      </w:r>
      <w:r>
        <w:rPr>
          <w:strike/>
        </w:rPr>
        <w:t>or obligations hereunder</w:t>
      </w:r>
      <w:r>
        <w:rPr/>
        <w:t xml:space="preserve"> without the prior written consent of the other Party;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w:t>
      </w:r>
      <w:r>
        <w:rPr>
          <w:strike/>
        </w:rPr>
        <w:t>affiliate's</w:t>
      </w:r>
      <w:r>
        <w:rPr/>
        <w:t xml:space="preserve"> </w:t>
      </w:r>
      <w:r>
        <w:rPr>
          <w:u w:val="double"/>
        </w:rPr>
        <w:t>affiliate</w:t>
      </w:r>
      <w:r>
        <w:rPr>
          <w:rFonts w:ascii="WP TypographicSymbols" w:hAnsi="WP TypographicSymbols"/>
          <w:u w:val="double"/>
        </w:rPr>
        <w:t></w:t>
      </w:r>
      <w:r>
        <w:rPr>
          <w:u w:val="double"/>
        </w:rPr>
        <w:t>s</w:t>
      </w:r>
      <w:r>
        <w:rPr/>
        <w:t xml:space="preserve"> creditworthiness is </w:t>
      </w:r>
      <w:r>
        <w:rPr>
          <w:strike/>
        </w:rPr>
        <w:t>comparable</w:t>
      </w:r>
      <w:r>
        <w:rPr/>
        <w:t xml:space="preserve"> </w:t>
      </w:r>
      <w:r>
        <w:rPr>
          <w:u w:val="double"/>
        </w:rPr>
        <w:t>equal</w:t>
      </w:r>
      <w:r>
        <w:rPr/>
        <w:t xml:space="preserve"> to or higher than that of such Party, or (iii) transfer or assign this Agreement to any person or entity succeeding to all or substantially all of the assets </w:t>
      </w:r>
      <w:r>
        <w:rPr>
          <w:strike/>
        </w:rPr>
        <w:t>of such Party; provided, however, that in each such case, any such assignee shall agree in writing to be bound by the terms and conditions hereof.</w:t>
      </w:r>
      <w:r>
        <w:rPr/>
        <w:t xml:space="preserve"> </w:t>
      </w:r>
      <w:r>
        <w:rPr>
          <w:u w:val="double"/>
        </w:rPr>
        <w:t>whose creditworthiness is equal to or higher than that Party.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11.6 Governing Law and Jurisdiction</w:t>
      </w:r>
      <w:r>
        <w:rPr/>
        <w:t xml:space="preserve"> </w:t>
      </w:r>
      <w:r>
        <w:rPr>
          <w:u w:val="double"/>
        </w:rPr>
        <w:t>10.6</w:t>
        <w:tab/>
        <w:t>Governing Law</w:t>
      </w:r>
      <w:r>
        <w:rPr/>
        <w:t xml:space="preserve">.    THIS AGREEMENT AND THE RIGHTS AND DUTIES OF THE PARTIES HEREUNDER SHALL BE GOVERNED BY AND CONSTRUED, ENFORCED AND PERFORMED IN ACCORDANCE WITH THE LAWS OF THE STATE OF NEW YORK, WITHOUT REGARD TO PRINCIPLES OF CONFLICTS OF LAW.    </w:t>
      </w:r>
      <w:r>
        <w:rPr>
          <w:strike/>
        </w:rPr>
        <w:t>Each Party waives its respective right to any jury trial with respect to any litigation arising under or in connection with this Agreement or any Transaction.</w:t>
      </w:r>
      <w:r>
        <w:rPr/>
        <w:t xml:space="preserve"> </w:t>
      </w:r>
      <w:r>
        <w:rPr>
          <w:u w:val="double"/>
        </w:rPr>
        <w:t>EACH PARTY WAIVES ITS RESPECTIVE RIGHT TO ANY JURY TRIAL WITH RESPECT TO ANY LITIGATION ARISING UNDER OR IN CONNECTION WITH THIS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11.7</w:t>
      </w:r>
      <w:r>
        <w:rPr/>
        <w:t xml:space="preserve"> </w:t>
      </w:r>
      <w:r>
        <w:rPr>
          <w:u w:val="double"/>
        </w:rPr>
        <w:t>10.7</w:t>
      </w:r>
      <w:r>
        <w:rPr/>
        <w:tab/>
      </w:r>
      <w:r>
        <w:rPr>
          <w:u w:val="single"/>
        </w:rPr>
        <w:t>Notices</w:t>
      </w:r>
      <w:r>
        <w:rPr/>
        <w:t xml:space="preserve">.    All notices, requests, statements or payments shall be made as specified </w:t>
      </w:r>
      <w:r>
        <w:rPr>
          <w:strike/>
        </w:rPr>
        <w:t>below. Notices required to be in writing shall be delivered by letter, facsimile or other documentary form</w:t>
      </w:r>
      <w:r>
        <w:rPr/>
        <w:t xml:space="preserve"> </w:t>
      </w:r>
      <w:r>
        <w:rPr>
          <w:u w:val="double"/>
        </w:rPr>
        <w:t>in the Cover Sheet.    Notices (other than scheduling requests) shall, unless otherwise specified herein, be in writing and may be delivered by hand delivery, United States mail, overnight courier service or facsimile</w:t>
      </w:r>
      <w:r>
        <w:rPr/>
        <w:t xml:space="preserve">.    Notice by facsimile or hand delivery shall be </w:t>
      </w:r>
      <w:r>
        <w:rPr>
          <w:strike/>
        </w:rPr>
        <w:t>deemed to have been received by the close of the Business Day on which it was transmitted or hand delivered (unless transmitted or hand delivered after close, in which case it shall be deemed received by the close of the next Business Day)</w:t>
      </w:r>
      <w:r>
        <w:rPr/>
        <w:t xml:space="preserve"> </w:t>
      </w:r>
      <w:r>
        <w:rPr>
          <w:u w:val="double"/>
        </w:rPr>
        <w:t>effective at the close of business on the day actually received, if received during business hours on a Business Day, and otherwise shall be effective at the close of business on the next Business Day</w:t>
      </w:r>
      <w:r>
        <w:rPr/>
        <w:t xml:space="preserve">.    Notice by overnight </w:t>
      </w:r>
      <w:r>
        <w:rPr>
          <w:u w:val="double"/>
        </w:rPr>
        <w:t>United States</w:t>
      </w:r>
      <w:r>
        <w:rPr/>
        <w:t xml:space="preserve"> mail or courier shall be </w:t>
      </w:r>
      <w:r>
        <w:rPr>
          <w:strike/>
        </w:rPr>
        <w:t>deemed to have been received</w:t>
      </w:r>
      <w:r>
        <w:rPr/>
        <w:t xml:space="preserve"> </w:t>
      </w:r>
      <w:r>
        <w:rPr>
          <w:u w:val="double"/>
        </w:rPr>
        <w:t>effective on</w:t>
      </w:r>
      <w:r>
        <w:rPr/>
        <w:t xml:space="preserve"> the next Business Day after it was sent.    A Party may change its addresses by providing notice of same in accordance herewith</w:t>
      </w:r>
      <w:r>
        <w:rPr>
          <w:strike/>
        </w:rPr>
        <w:t>:</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strike/>
        </w:rPr>
        <w:t>To ____________:</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NOTICES &amp; CORRESPONDENCE: PAYMENTS: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INVOICES: CREDIT AND COLLECTIONS: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SCHEDULING:</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To ______________:</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NOTICES &amp; CORRESPONDENCE: PAYMENTS: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INVOICES: CREDIT AND COLLECTIONS: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SCHEDULING:</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strike/>
        </w:rPr>
        <w:t xml:space="preserve">11.9 General. This </w:t>
      </w:r>
      <w:r>
        <w:rPr>
          <w:u w:val="double"/>
        </w:rPr>
        <w:t>10.8</w:t>
        <w:tab/>
        <w:t>General.    This Master</w:t>
      </w:r>
      <w:r>
        <w:rPr/>
        <w:t xml:space="preserve"> Agreement (including the </w:t>
      </w:r>
      <w:r>
        <w:rPr>
          <w:strike/>
        </w:rPr>
        <w:t>Exhibit hereto) and each Transaction</w:t>
      </w:r>
      <w:r>
        <w:rPr/>
        <w:t xml:space="preserve"> </w:t>
      </w:r>
      <w:r>
        <w:rPr>
          <w:u w:val="double"/>
        </w:rPr>
        <w:t>exhibits, schedules and any written supplements hereto), the Party A Tariff, if any, the Party B Tariff, if any, and all Transactions</w:t>
      </w:r>
      <w:r>
        <w:rPr/>
        <w:t xml:space="preserve"> constitute the entire agreement between the Parties relating to the subject matter contemplated by this Agreement.    Notwithstanding the foregoing, any collateral, credit support or margin agreement or similar provisions between the Parties shall be deemed part of this Agreement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w:t>
      </w:r>
      <w:r>
        <w:rPr>
          <w:strike/>
        </w:rPr>
        <w:t>No</w:t>
      </w:r>
      <w:r>
        <w:rPr/>
        <w:t xml:space="preserve"> </w:t>
      </w:r>
      <w:r>
        <w:rPr>
          <w:u w:val="double"/>
        </w:rPr>
        <w:t>Except to the extent herein provided for, no</w:t>
      </w:r>
      <w:r>
        <w:rPr/>
        <w:t xml:space="preserve"> amendment or modification to this </w:t>
      </w:r>
      <w:r>
        <w:rPr>
          <w:u w:val="double"/>
        </w:rPr>
        <w:t>Master</w:t>
      </w:r>
      <w:r>
        <w:rPr/>
        <w:t xml:space="preserve"> Agreement shall be enforceable unless reduced to writing and executed by both Parties.    </w:t>
      </w:r>
      <w:r>
        <w:rPr>
          <w:u w:val="double"/>
        </w:rPr>
        <w:t>Each Party agrees that it shall not seek to amend any applicable tariff during the term of this Master Agreement in any way which could affect outstanding Transactions under this Master Agreement without the prior written consent of the other Party.    Each Party further agrees that it will not assert, or defend itself, on the basis that any applicable tariff is inconsistent with this Master Agreement.</w:t>
      </w:r>
      <w:r>
        <w:rPr/>
        <w:t xml:space="preserve">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w:t>
      </w:r>
      <w:r>
        <w:rPr>
          <w:u w:val="double"/>
        </w:rPr>
        <w:t xml:space="preserve">(individually or collectively, such events referred to as </w:t>
      </w:r>
      <w:r>
        <w:rPr>
          <w:rFonts w:ascii="WP TypographicSymbols" w:hAnsi="WP TypographicSymbols"/>
          <w:u w:val="double"/>
        </w:rPr>
        <w:t></w:t>
      </w:r>
      <w:r>
        <w:rPr>
          <w:u w:val="double"/>
        </w:rPr>
        <w:t>Regulatory Event</w:t>
      </w:r>
      <w:r>
        <w:rPr>
          <w:rFonts w:ascii="WP TypographicSymbols" w:hAnsi="WP TypographicSymbols"/>
          <w:u w:val="double"/>
        </w:rPr>
        <w:t></w:t>
      </w:r>
      <w:r>
        <w:rPr>
          <w:u w:val="double"/>
        </w:rPr>
        <w:t>)</w:t>
      </w:r>
      <w:r>
        <w:rPr/>
        <w:t xml:space="preserve"> will not otherwise affect the remaining lawful obligations that arise under this Agreement</w:t>
      </w:r>
      <w:r>
        <w:rPr>
          <w:u w:val="double"/>
        </w:rPr>
        <w:t>; and provided, further, that if a Regulatory Event occurred, the Parties shall use their best efforts to reform this Agreement in order to give effect to the original intention of the Parties</w:t>
      </w:r>
      <w:r>
        <w:rPr/>
        <w:t xml:space="preserve">. 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11.10</w:t>
      </w:r>
      <w:r>
        <w:rPr/>
        <w:t xml:space="preserve"> </w:t>
      </w:r>
      <w:r>
        <w:rPr>
          <w:u w:val="double"/>
        </w:rPr>
        <w:t>10.9</w:t>
      </w:r>
      <w:r>
        <w:rPr/>
        <w:tab/>
      </w:r>
      <w:r>
        <w:rPr>
          <w:u w:val="single"/>
        </w:rPr>
        <w:t>Audit</w:t>
      </w:r>
      <w:r>
        <w:rPr/>
        <w:t xml:space="preserve">.    Each Party has the right, at its sole expense and during normal working hours, to examine the records of the other Party to the extent reasonably necessary to verify the accuracy of any statement, charge or computation made pursuant to this </w:t>
      </w:r>
      <w:r>
        <w:rPr>
          <w:u w:val="double"/>
        </w:rPr>
        <w:t>Master</w:t>
      </w:r>
      <w:r>
        <w:rPr/>
        <w:t xml:space="preserve"> Agreement.    If requested, a Party shall provide to the other Party statements evidencing the Quantity </w:t>
      </w:r>
      <w:r>
        <w:rPr>
          <w:u w:val="double"/>
        </w:rPr>
        <w:t>delivered at the Delivery Point</w:t>
      </w:r>
      <w:r>
        <w:rPr/>
        <w: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w:t>
      </w:r>
      <w:r>
        <w:rPr>
          <w:u w:val="double"/>
        </w:rPr>
        <w:t>, and thereafter any objection shall be deemed waived.</w:t>
      </w:r>
      <w:r>
        <w:rPr>
          <w:strik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11.11</w:t>
      </w:r>
      <w:r>
        <w:rPr/>
        <w:t xml:space="preserve"> </w:t>
      </w:r>
      <w:r>
        <w:rPr>
          <w:u w:val="double"/>
        </w:rPr>
        <w:t>10.10</w:t>
      </w:r>
      <w:r>
        <w:rPr/>
        <w:tab/>
      </w:r>
      <w:r>
        <w:rPr>
          <w:u w:val="single"/>
        </w:rPr>
        <w:t>Forward Contract</w:t>
      </w:r>
      <w:r>
        <w:rPr/>
        <w:t xml:space="preserve">.    The Parties acknowledge and agree that all Transactions constitute </w:t>
      </w:r>
      <w:r>
        <w:rPr>
          <w:rFonts w:ascii="WP TypographicSymbols" w:hAnsi="WP TypographicSymbols"/>
        </w:rPr>
        <w:t></w:t>
      </w:r>
      <w:r>
        <w:rPr/>
        <w:t>forward contracts</w:t>
      </w:r>
      <w:r>
        <w:rPr>
          <w:rFonts w:ascii="WP TypographicSymbols" w:hAnsi="WP TypographicSymbols"/>
        </w:rPr>
        <w:t></w:t>
      </w:r>
      <w:r>
        <w:rPr/>
        <w:t xml:space="preserve"> within the meaning of the United States Bankruptcy Code. 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IN WITNESS WHEREOF, the parties have caused this Agreement to be duly executed as of the date first above written.</w:t>
      </w:r>
      <w:r>
        <w:rPr/>
        <w:t xml:space="preserve"> </w:t>
      </w:r>
      <w:r>
        <w:rPr>
          <w:u w:val="double"/>
        </w:rPr>
        <w:t>10.11</w:t>
        <w:tab/>
        <w:t>Confidentiality.    Neither Party shall disclose the terms or conditions of this Agreement to a third party (other than the Party's and its employees, lenders, counsel, accountants or advisors who have a need to know such information and have agreed to keep such terms confidential) except in order to comply with any applicable law, regulation, or any exchange, control area or independent system operator rule; provided, each Party shall, to the extent practicable,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z w:val="22"/>
        </w:rPr>
      </w:pPr>
      <w:r>
        <w:rPr>
          <w:sz w:val="22"/>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start"/>
        <w:rPr/>
      </w:pPr>
      <w:r>
        <w:rPr/>
      </w:r>
    </w:p>
    <w:p>
      <w:pPr>
        <w:sectPr>
          <w:footerReference w:type="even" r:id="rId5"/>
          <w:footerReference w:type="default" r:id="rId6"/>
          <w:footerReference w:type="first" r:id="rId7"/>
          <w:type w:val="nextPage"/>
          <w:pgSz w:w="12240" w:h="15840"/>
          <w:pgMar w:left="720" w:right="1440" w:gutter="0" w:header="0" w:top="1440" w:footer="1440" w:bottom="1497"/>
          <w:pgNumType w:fmt="decimal"/>
          <w:formProt w:val="false"/>
          <w:textDirection w:val="lrTb"/>
          <w:docGrid w:type="default" w:linePitch="100" w:charSpace="0"/>
        </w:sectPr>
        <w:pStyle w:val="Normal"/>
        <w:widowControl/>
        <w:tabs>
          <w:tab w:val="left" w:pos="288" w:leader="none"/>
          <w:tab w:val="left" w:pos="720" w:leader="none"/>
          <w:tab w:val="left" w:pos="1440" w:leader="none"/>
          <w:tab w:val="left" w:pos="2160" w:leader="none"/>
          <w:tab w:val="left" w:pos="2880" w:leader="none"/>
          <w:tab w:val="left" w:pos="3240" w:leader="none"/>
        </w:tabs>
        <w:bidi w:val="0"/>
        <w:spacing w:before="0" w:after="0"/>
        <w:ind w:hanging="0" w:start="72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strike/>
        </w:rPr>
        <w:t xml:space="preserve">By: By: </w:t>
      </w:r>
      <w:r>
        <w:rPr>
          <w:b/>
          <w:u w:val="double"/>
        </w:rPr>
        <w:t>SCHEDULE M</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strike/>
        </w:rPr>
      </w:pPr>
      <w:r>
        <w:rPr>
          <w:b/>
          <w:strike/>
        </w:rPr>
        <w:t xml:space="preserve">Name: Name: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strike/>
        </w:rPr>
      </w:pPr>
      <w:r>
        <w:rPr>
          <w:b/>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strike/>
        </w:rPr>
      </w:pPr>
      <w:r>
        <w:rPr>
          <w:b/>
          <w:strike/>
        </w:rPr>
        <w:t xml:space="preserve">Title: Title: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strike/>
        </w:rPr>
      </w:pPr>
      <w:r>
        <w:rPr>
          <w:b/>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strike/>
        </w:rPr>
      </w:pPr>
      <w:r>
        <w:rPr>
          <w:b/>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strike/>
        </w:rPr>
      </w:pPr>
      <w:r>
        <w:rPr>
          <w:b/>
          <w:strike/>
        </w:rPr>
        <w:t>SCHEDULE M</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strike/>
        </w:rPr>
      </w:pPr>
      <w:r>
        <w:rPr>
          <w:b/>
          <w:strike/>
        </w:rPr>
        <w:t>(FOLLOW THIS SCHEDULE IF ONE PARTY IS A MUNICIPALITY)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strike/>
        </w:rPr>
        <w:t>(WHOLE SECTION STILL TO BE DISCUSSED)</w:t>
      </w:r>
      <w:r>
        <w:rPr>
          <w:b/>
          <w:u w:val="double"/>
        </w:rPr>
        <w:t>(THIS SCHEDULE IS INCLUDED IF THE APPROPRIATE BOX ON THE COVER SHEET IS MARKED INDICATING A PARTY IS A GOVERNMENTAL ENTITY)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A.</w:t>
        <w:tab/>
        <w:t xml:space="preserve">The Parties agree to add the following </w:t>
      </w:r>
      <w:r>
        <w:rPr>
          <w:strike/>
        </w:rPr>
        <w:t xml:space="preserve">definition of </w:t>
      </w:r>
      <w:r>
        <w:rPr>
          <w:rFonts w:ascii="WP TypographicSymbols" w:hAnsi="WP TypographicSymbols"/>
          <w:strike/>
        </w:rPr>
        <w:t></w:t>
      </w:r>
      <w:r>
        <w:rPr>
          <w:strike/>
        </w:rPr>
        <w:t>Act</w:t>
      </w:r>
      <w:r>
        <w:rPr>
          <w:rFonts w:ascii="WP TypographicSymbols" w:hAnsi="WP TypographicSymbols"/>
          <w:strike/>
        </w:rPr>
        <w:t></w:t>
      </w:r>
      <w:r>
        <w:rPr>
          <w:strike/>
        </w:rPr>
        <w:t xml:space="preserve"> to the defined terms section: </w:t>
      </w:r>
      <w:r>
        <w:rPr>
          <w:rFonts w:ascii="WP TypographicSymbols" w:hAnsi="WP TypographicSymbols"/>
          <w:strike/>
        </w:rPr>
        <w:t></w:t>
      </w:r>
      <w:r>
        <w:rPr>
          <w:strike/>
        </w:rPr>
        <w:t>The Act means [cite the state enabling statute.]</w:t>
      </w:r>
      <w:r>
        <w:rPr>
          <w:rFonts w:ascii="WP TypographicSymbols" w:hAnsi="WP TypographicSymbols"/>
          <w:strike/>
        </w:rPr>
        <w:t></w:t>
      </w:r>
      <w:r>
        <w:rPr>
          <w:u w:val="double"/>
        </w:rPr>
        <w:t>definitions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u w:val="double"/>
        </w:rPr>
      </w:pPr>
      <w:r>
        <w:rPr>
          <w:strike/>
        </w:rPr>
        <w:t>B.</w:t>
      </w:r>
      <w:r>
        <w:rPr/>
        <w:t xml:space="preserve"> </w:t>
      </w:r>
      <w:r>
        <w:rPr>
          <w:rFonts w:ascii="WP TypographicSymbols" w:hAnsi="WP TypographicSymbols"/>
          <w:u w:val="double"/>
        </w:rPr>
        <w:t></w:t>
      </w:r>
      <w:r>
        <w:rPr>
          <w:u w:val="double"/>
        </w:rPr>
        <w:t>Act</w:t>
      </w:r>
      <w:r>
        <w:rPr>
          <w:rFonts w:ascii="WP TypographicSymbols" w:hAnsi="WP TypographicSymbols"/>
          <w:u w:val="double"/>
        </w:rPr>
        <w:t></w:t>
      </w:r>
      <w:r>
        <w:rPr>
          <w:u w:val="double"/>
        </w:rPr>
        <w:t xml:space="preserve"> means ______________________________.</w:t>
      </w:r>
      <w:r>
        <w:rPr>
          <w:rStyle w:val="FootnoteReference"/>
          <w:u w:val="double"/>
        </w:rPr>
        <w:footnoteReference w:id="2"/>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u w:val="double"/>
        </w:rPr>
      </w:pPr>
      <w:r>
        <w:rPr>
          <w:rFonts w:ascii="WP TypographicSymbols" w:hAnsi="WP TypographicSymbols"/>
          <w:u w:val="double"/>
        </w:rPr>
        <w:t></w:t>
      </w:r>
      <w:r>
        <w:rPr>
          <w:u w:val="double"/>
        </w:rPr>
        <w:t>Governmental Entity</w:t>
      </w:r>
      <w:r>
        <w:rPr>
          <w:rFonts w:ascii="WP TypographicSymbols" w:hAnsi="WP TypographicSymbols"/>
          <w:u w:val="double"/>
        </w:rPr>
        <w:t></w:t>
      </w:r>
      <w:r>
        <w:rPr>
          <w:u w:val="double"/>
        </w:rPr>
        <w:t xml:space="preserve"> means a municipality, county, governmental board, agency, or other political subdivision or public entity of the United States, any State or territory or any foreign state.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u w:val="double"/>
        </w:rPr>
      </w:pPr>
      <w:r>
        <w:rPr>
          <w:rFonts w:ascii="WP TypographicSymbols" w:hAnsi="WP TypographicSymbols"/>
          <w:u w:val="double"/>
        </w:rPr>
        <w:t></w:t>
      </w:r>
      <w:r>
        <w:rPr>
          <w:u w:val="double"/>
        </w:rPr>
        <w:t>Special Fund</w:t>
      </w:r>
      <w:r>
        <w:rPr>
          <w:rFonts w:ascii="WP TypographicSymbols" w:hAnsi="WP TypographicSymbols"/>
          <w:u w:val="double"/>
        </w:rPr>
        <w:t></w:t>
      </w:r>
      <w:r>
        <w:rPr>
          <w:u w:val="double"/>
        </w:rPr>
        <w:t xml:space="preserve"> means a fund or account of the Governmental Entity set aside and or pledged to satisfy the Governmental Entity</w:t>
      </w:r>
      <w:r>
        <w:rPr>
          <w:rFonts w:ascii="WP TypographicSymbols" w:hAnsi="WP TypographicSymbols"/>
          <w:u w:val="double"/>
        </w:rPr>
        <w:t></w:t>
      </w:r>
      <w:r>
        <w:rPr>
          <w:u w:val="double"/>
        </w:rPr>
        <w:t>s obligations hereunder out of which amounts shall be paid to satisfy all of the Governmental Entity</w:t>
      </w:r>
      <w:r>
        <w:rPr>
          <w:rFonts w:ascii="WP TypographicSymbols" w:hAnsi="WP TypographicSymbols"/>
          <w:u w:val="double"/>
        </w:rPr>
        <w:t></w:t>
      </w:r>
      <w:r>
        <w:rPr>
          <w:u w:val="double"/>
        </w:rPr>
        <w:t>s obligations under this Master Agreement for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u w:val="double"/>
        </w:rPr>
        <w:t>B.</w:t>
        <w:tab/>
        <w:t xml:space="preserve">The following sentence shall be added to the end of the definition of </w:t>
      </w:r>
      <w:r>
        <w:rPr>
          <w:rFonts w:ascii="WP TypographicSymbols" w:hAnsi="WP TypographicSymbols"/>
          <w:u w:val="double"/>
        </w:rPr>
        <w:t></w:t>
      </w:r>
      <w:r>
        <w:rPr>
          <w:u w:val="double"/>
        </w:rPr>
        <w:t>Force Majeure</w:t>
      </w:r>
      <w:r>
        <w:rPr>
          <w:rFonts w:ascii="WP TypographicSymbols" w:hAnsi="WP TypographicSymbols"/>
          <w:u w:val="double"/>
        </w:rPr>
        <w:t></w:t>
      </w:r>
      <w:r>
        <w:rPr>
          <w:u w:val="double"/>
        </w:rPr>
        <w:t xml:space="preserve">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start"/>
        <w:rPr>
          <w:u w:val="double"/>
        </w:rPr>
      </w:pPr>
      <w:r>
        <w:rPr>
          <w:u w:val="double"/>
        </w:rPr>
        <w:t>If the Claiming Party is a Governmental Entity, Force Majeure does not include any action taken by the Government Entity in its governmental capacity.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u w:val="double"/>
        </w:rPr>
        <w:t>C.</w:t>
      </w:r>
      <w:r>
        <w:rPr/>
        <w:tab/>
        <w:t xml:space="preserve">The Parties agree to add the following representations and warranties </w:t>
      </w:r>
      <w:r>
        <w:rPr>
          <w:strike/>
        </w:rPr>
        <w:t>at the end of the representations and warranties section:</w:t>
      </w:r>
      <w:r>
        <w:rPr/>
        <w:t xml:space="preserve"> </w:t>
      </w:r>
      <w:r>
        <w:rPr>
          <w:u w:val="double"/>
        </w:rPr>
        <w:t>to Section 10.2:</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t xml:space="preserve">Further and with respect to a Party that is a </w:t>
      </w:r>
      <w:r>
        <w:rPr>
          <w:strike/>
        </w:rPr>
        <w:t>governmental entity (</w:t>
      </w:r>
      <w:r>
        <w:rPr>
          <w:rFonts w:ascii="WP TypographicSymbols" w:hAnsi="WP TypographicSymbols"/>
          <w:strike/>
        </w:rPr>
        <w:t></w:t>
      </w:r>
      <w:r>
        <w:rPr/>
        <w:t xml:space="preserve"> Governmental Entity</w:t>
      </w:r>
      <w:r>
        <w:rPr>
          <w:rFonts w:ascii="WP TypographicSymbols" w:hAnsi="WP TypographicSymbols"/>
          <w:strike/>
        </w:rPr>
        <w:t></w:t>
      </w:r>
      <w:r>
        <w:rPr>
          <w:strike/>
        </w:rPr>
        <w:t>) only</w:t>
      </w:r>
      <w:r>
        <w:rPr/>
        <w:t xml:space="preserve">, such Government Entity represents and warrants to the other Party continuing throughout the term of this </w:t>
      </w:r>
      <w:r>
        <w:rPr>
          <w:strike/>
        </w:rPr>
        <w:t xml:space="preserve">Agreement </w:t>
      </w:r>
      <w:r>
        <w:rPr>
          <w:u w:val="double"/>
        </w:rPr>
        <w:t>Master Agreement, with respect to this Master Agreement and each Transaction,</w:t>
      </w:r>
      <w:r>
        <w:rPr/>
        <w:t xml:space="preserve"> as follows: (i) all acts necessary to the valid execution</w:t>
      </w:r>
      <w:r>
        <w:rPr>
          <w:u w:val="double"/>
        </w:rPr>
        <w:t>, delivery</w:t>
      </w:r>
      <w:r>
        <w:rPr/>
        <w:t xml:space="preserve"> and performance of this </w:t>
      </w:r>
      <w:r>
        <w:rPr>
          <w:u w:val="double"/>
        </w:rPr>
        <w:t>Master</w:t>
      </w:r>
      <w:r>
        <w:rPr/>
        <w:t xml:space="preserve"> Agreement, including </w:t>
      </w:r>
      <w:r>
        <w:rPr>
          <w:strike/>
        </w:rPr>
        <w:t>the Act, have been duly adopted and all ________________</w:t>
      </w:r>
      <w:r>
        <w:rPr>
          <w:u w:val="double"/>
        </w:rPr>
        <w:t>without limitation, competitive bidding, public notice, election, referendum, prior appropriation or other required procedures has or will be taken and performed as required under the Act and the Governmental Entity</w:t>
      </w:r>
      <w:r>
        <w:rPr>
          <w:rFonts w:ascii="WP TypographicSymbols" w:hAnsi="WP TypographicSymbols"/>
          <w:u w:val="double"/>
        </w:rPr>
        <w:t></w:t>
      </w:r>
      <w:r>
        <w:rPr>
          <w:u w:val="double"/>
        </w:rPr>
        <w:t>s ordinances, bylaws or other regulations, (ii) all persons making up the governing body</w:t>
      </w:r>
      <w:r>
        <w:rPr/>
        <w:t xml:space="preserve"> of Governmental Entity </w:t>
      </w:r>
      <w:r>
        <w:rPr>
          <w:strike/>
        </w:rPr>
        <w:t>have been</w:t>
      </w:r>
      <w:r>
        <w:rPr/>
        <w:t xml:space="preserve"> </w:t>
      </w:r>
      <w:r>
        <w:rPr>
          <w:u w:val="double"/>
        </w:rPr>
        <w:t>are the</w:t>
      </w:r>
      <w:r>
        <w:rPr/>
        <w:t xml:space="preserve"> duly elected or appointed </w:t>
      </w:r>
      <w:r>
        <w:rPr>
          <w:strike/>
        </w:rPr>
        <w:t>to _____________________</w:t>
      </w:r>
      <w:r>
        <w:rPr>
          <w:u w:val="double"/>
        </w:rPr>
        <w:t>incumbents in their positions and hold such positions in good standing</w:t>
      </w:r>
      <w:r>
        <w:rPr/>
        <w:t xml:space="preserve"> in accordance with the Act</w:t>
      </w:r>
      <w:r>
        <w:rPr>
          <w:strike/>
        </w:rPr>
        <w:t>, (ii)</w:t>
      </w:r>
      <w:r>
        <w:rPr/>
        <w:t xml:space="preserve"> </w:t>
      </w:r>
      <w:r>
        <w:rPr>
          <w:u w:val="double"/>
        </w:rPr>
        <w:t>and other applicable law, (iii)</w:t>
      </w:r>
      <w:r>
        <w:rPr/>
        <w:t xml:space="preserve"> with respect to </w:t>
      </w:r>
      <w:r>
        <w:rPr>
          <w:strike/>
        </w:rPr>
        <w:t>the</w:t>
      </w:r>
      <w:r>
        <w:rPr/>
        <w:t xml:space="preserve"> </w:t>
      </w:r>
      <w:r>
        <w:rPr>
          <w:u w:val="double"/>
        </w:rPr>
        <w:t>its</w:t>
      </w:r>
      <w:r>
        <w:rPr/>
        <w:t xml:space="preserve"> contractual obligations hereunder and performance thereof, </w:t>
      </w:r>
      <w:r>
        <w:rPr>
          <w:strike/>
        </w:rPr>
        <w:t>it</w:t>
      </w:r>
      <w:r>
        <w:rPr/>
        <w:t xml:space="preserve"> </w:t>
      </w:r>
      <w:r>
        <w:rPr>
          <w:u w:val="double"/>
        </w:rPr>
        <w:t>the Governmental Entity</w:t>
      </w:r>
      <w:r>
        <w:rPr/>
        <w:t xml:space="preserve"> is not entitled to claim immunity on the grounds of sovereignty or similar grounds with respect to itself or its revenues or assets from (a) suit, (b) jurisdiction of court </w:t>
      </w:r>
      <w:r>
        <w:rPr>
          <w:u w:val="double"/>
        </w:rPr>
        <w:t>(including a court located outside the jurisdiction of its organization)</w:t>
      </w:r>
      <w:r>
        <w:rPr/>
        <w:t xml:space="preserve">, (c) relief by way of injunction, order for specific performance or recovery of property, (d) attachment of assets, or (e) execution or enforcement of any judgment, </w:t>
      </w:r>
      <w:r>
        <w:rPr>
          <w:strike/>
        </w:rPr>
        <w:t>(iii) its obligations to make payments hereunder are unsubordinated obligations and such payments are operating and maintenance costs which enjoy first priority of payment at all times under any and all indentures to which it is a party, its constitutional and</w:t>
      </w:r>
      <w:r>
        <w:rPr>
          <w:u w:val="double"/>
        </w:rPr>
        <w:t>(iv) entry into and performance of this Master Agreement by Governmental Entity are for a proper public purpose within the meaning of the Act and all other relevant constitutional, organic or other</w:t>
      </w:r>
      <w:r>
        <w:rPr/>
        <w:t xml:space="preserve"> governing documents and applicable law, </w:t>
      </w:r>
      <w:r>
        <w:rPr>
          <w:strike/>
        </w:rPr>
        <w:t>and (iv) if</w:t>
      </w:r>
      <w:r>
        <w:rPr>
          <w:u w:val="double"/>
        </w:rPr>
        <w:t>(v) the term of this Master Agreement does not extend beyond any applicable limitation regarding (a) the term of office or duration of existence of the governing body of the Governmental Entity, (b) any period during which funds are appropriated for use under this Master Agreement, or (c) any other limitation imposed by the Act or other relevant constitutional, organic or other governing documents and applicable law, (vi) the Governmental Entity</w:t>
      </w:r>
      <w:r>
        <w:rPr>
          <w:rFonts w:ascii="WP TypographicSymbols" w:hAnsi="WP TypographicSymbols"/>
          <w:u w:val="double"/>
        </w:rPr>
        <w:t></w:t>
      </w:r>
      <w:r>
        <w:rPr>
          <w:u w:val="double"/>
        </w:rPr>
        <w:t>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w:t>
      </w:r>
      <w:r>
        <w:rPr>
          <w:rFonts w:ascii="WP TypographicSymbols" w:hAnsi="WP TypographicSymbols"/>
          <w:u w:val="double"/>
        </w:rPr>
        <w:t></w:t>
      </w:r>
      <w:r>
        <w:rPr>
          <w:u w:val="double"/>
        </w:rPr>
        <w:t>s obligations hereunder and under each Transaction or (c) are to be made solely from a Special Fund, (vii) entry into and performance of this Master Agreement and each Transaction by the Governmental Entity will not adversely affect the exclusion from gross income for federal income tax purposes of interest on any obligation of Governmental Entity otherwise entitled to such exclusion, and (viii)</w:t>
      </w:r>
      <w:r>
        <w:rPr/>
        <w:t xml:space="preserve"> obligations to make payments hereunder do not constitute any kind of indebtedness of Governmental Entity or create any kind of lien on, or security interest in, any property or revenues of Governmental Entity which, in either case, is proscribed by any provision of </w:t>
      </w:r>
      <w:r>
        <w:rPr>
          <w:strike/>
        </w:rPr>
        <w:t>its</w:t>
      </w:r>
      <w:r>
        <w:rPr/>
        <w:t xml:space="preserve"> </w:t>
      </w:r>
      <w:r>
        <w:rPr>
          <w:u w:val="double"/>
        </w:rPr>
        <w:t>the Act or any other relevant</w:t>
      </w:r>
      <w:r>
        <w:rPr/>
        <w:t xml:space="preserve"> constitutional </w:t>
      </w:r>
      <w:r>
        <w:rPr>
          <w:strike/>
        </w:rPr>
        <w:t>and</w:t>
      </w:r>
      <w:r>
        <w:rPr>
          <w:u w:val="double"/>
        </w:rPr>
        <w:t>, organic or other</w:t>
      </w:r>
      <w:r>
        <w:rPr/>
        <w:t xml:space="preserve"> governing documents </w:t>
      </w:r>
      <w:r>
        <w:rPr>
          <w:u w:val="double"/>
        </w:rPr>
        <w:t>and applicable law</w:t>
      </w:r>
      <w:r>
        <w:rPr/>
        <w:t>, any order or judgment of any court or other agency of government applicable to it or its assets, or any contractual restriction binding on or affecting it or any of its assets.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strike/>
        </w:rPr>
        <w:t>C</w:t>
      </w:r>
      <w:r>
        <w:rPr/>
        <w:t xml:space="preserve"> </w:t>
      </w:r>
      <w:r>
        <w:rPr>
          <w:u w:val="double"/>
        </w:rPr>
        <w:t>D</w:t>
      </w:r>
      <w:r>
        <w:rPr/>
        <w:t>.</w:t>
        <w:tab/>
        <w:t xml:space="preserve">The Parties agree to add the following section </w:t>
      </w:r>
      <w:r>
        <w:rPr>
          <w:u w:val="double"/>
        </w:rPr>
        <w:t>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strike/>
        </w:rPr>
      </w:pPr>
      <w:r>
        <w:rPr>
          <w:u w:val="double"/>
        </w:rPr>
        <w:t>Section 3.4.</w:t>
      </w:r>
      <w:r>
        <w:rPr>
          <w:strike/>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t xml:space="preserve">    </w:t>
      </w:r>
      <w:r>
        <w:rPr>
          <w:u w:val="single"/>
        </w:rPr>
        <w:t>Governmental Entity</w:t>
      </w:r>
      <w:r>
        <w:rPr>
          <w:rFonts w:ascii="WP TypographicSymbols" w:hAnsi="WP TypographicSymbols"/>
          <w:u w:val="single"/>
        </w:rPr>
        <w:t></w:t>
      </w:r>
      <w:r>
        <w:rPr>
          <w:u w:val="single"/>
        </w:rPr>
        <w:t xml:space="preserve">s </w:t>
      </w:r>
      <w:r>
        <w:rPr>
          <w:strike/>
          <w:u w:val="single"/>
        </w:rPr>
        <w:t>Obligations</w:t>
      </w:r>
      <w:r>
        <w:rPr>
          <w:u w:val="single"/>
        </w:rPr>
        <w:t xml:space="preserve"> </w:t>
      </w:r>
      <w:r>
        <w:rPr>
          <w:u w:val="double"/>
        </w:rPr>
        <w:t>Deliveries</w:t>
      </w:r>
      <w:r>
        <w:rPr/>
        <w:t xml:space="preserve">.    On the Effective Date </w:t>
      </w:r>
      <w:r>
        <w:rPr>
          <w:u w:val="double"/>
        </w:rPr>
        <w:t>and as a condition to the obligations of the other Party hereunder,</w:t>
      </w:r>
      <w:r>
        <w:rPr/>
        <w:t xml:space="preserve"> Governmental Entity shall provide </w:t>
      </w:r>
      <w:r>
        <w:rPr>
          <w:strike/>
        </w:rPr>
        <w:t>____</w:t>
      </w:r>
      <w:r>
        <w:rPr>
          <w:u w:val="double"/>
        </w:rPr>
        <w:t>the other Party hereto</w:t>
      </w:r>
      <w:r>
        <w:rPr/>
        <w:t xml:space="preserve"> (i) certified copies of all </w:t>
      </w:r>
      <w:r>
        <w:rPr>
          <w:u w:val="double"/>
        </w:rPr>
        <w:t>ordinances, resolutions, public notices and other</w:t>
      </w:r>
      <w:r>
        <w:rPr/>
        <w:t xml:space="preserve"> documents evidencing the necessary authorizations with respect to the execution, delivery and performance by Governmental Entity of this </w:t>
      </w:r>
      <w:r>
        <w:rPr>
          <w:u w:val="double"/>
        </w:rPr>
        <w:t>Master</w:t>
      </w:r>
      <w:r>
        <w:rPr/>
        <w:t xml:space="preserve"> Agreement and (ii) an opinion of counsel for Governmental Entity</w:t>
      </w:r>
      <w:r>
        <w:rPr>
          <w:u w:val="double"/>
        </w:rPr>
        <w:t>, in form and substance reasonably satisfactory to the Other Party,</w:t>
      </w:r>
      <w:r>
        <w:rPr/>
        <w:t xml:space="preserve">    regarding the validity, binding effect and enforceability of this </w:t>
      </w:r>
      <w:r>
        <w:rPr>
          <w:u w:val="double"/>
        </w:rPr>
        <w:t>Master</w:t>
      </w:r>
      <w:r>
        <w:rPr/>
        <w:t xml:space="preserve"> Agreement </w:t>
      </w:r>
      <w:r>
        <w:rPr>
          <w:u w:val="double"/>
        </w:rPr>
        <w:t>against Governmental Entity</w:t>
      </w:r>
      <w:r>
        <w:rPr/>
        <w:t xml:space="preserve"> in respect of the Act and </w:t>
      </w:r>
      <w:r>
        <w:rPr>
          <w:strike/>
        </w:rPr>
        <w:t xml:space="preserve">other applicable law. </w:t>
      </w:r>
      <w:r>
        <w:rPr>
          <w:u w:val="double"/>
        </w:rPr>
        <w:t xml:space="preserve">all other relevant constitutional organic or other governing documents and applicable law. 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u w:val="double"/>
        </w:rPr>
        <w:t>E.</w:t>
        <w:tab/>
        <w:t>If the appropriate box is checked on the Cover Sheet, the Parties agree to add the following section 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u w:val="double"/>
        </w:rPr>
        <w:t>Section 3.5.    Governmental Entity Security.</w:t>
      </w:r>
      <w:r>
        <w:rPr/>
        <w:t xml:space="preserve">    With respect to each Transaction, Governmental Entity shall either (i) have created and set aside a </w:t>
      </w:r>
      <w:r>
        <w:rPr>
          <w:strike/>
        </w:rPr>
        <w:t>special fund pledged to satisfy Governmental Entity</w:t>
      </w:r>
      <w:r>
        <w:rPr>
          <w:rFonts w:ascii="WP TypographicSymbols" w:hAnsi="WP TypographicSymbols"/>
          <w:strike/>
        </w:rPr>
        <w:t></w:t>
      </w:r>
      <w:r>
        <w:rPr>
          <w:strike/>
        </w:rPr>
        <w:t xml:space="preserve">s obligations hereunder (the </w:t>
      </w:r>
      <w:r>
        <w:rPr>
          <w:rFonts w:ascii="WP TypographicSymbols" w:hAnsi="WP TypographicSymbols"/>
          <w:strike/>
        </w:rPr>
        <w:t></w:t>
      </w:r>
      <w:r>
        <w:rPr>
          <w:strike/>
        </w:rPr>
        <w:t>Special Fund</w:t>
      </w:r>
      <w:r>
        <w:rPr>
          <w:rFonts w:ascii="WP TypographicSymbols" w:hAnsi="WP TypographicSymbols"/>
          <w:strike/>
        </w:rPr>
        <w:t></w:t>
      </w:r>
      <w:r>
        <w:rPr>
          <w:strike/>
        </w:rPr>
        <w:t>) out of which funds shall be paid to satisfy all of Governmental Entity</w:t>
      </w:r>
      <w:r>
        <w:rPr>
          <w:rFonts w:ascii="WP TypographicSymbols" w:hAnsi="WP TypographicSymbols"/>
          <w:strike/>
        </w:rPr>
        <w:t></w:t>
      </w:r>
      <w:r>
        <w:rPr>
          <w:strike/>
        </w:rPr>
        <w:t>s obligations for the entire Delivery Period</w:t>
      </w:r>
      <w:r>
        <w:rPr/>
        <w:t xml:space="preserve"> </w:t>
      </w:r>
      <w:r>
        <w:rPr>
          <w:u w:val="double"/>
        </w:rPr>
        <w:t xml:space="preserve">Special Fund </w:t>
      </w:r>
      <w:r>
        <w:rPr/>
        <w:t xml:space="preserve">or (ii) upon execution of this </w:t>
      </w:r>
      <w:r>
        <w:rPr>
          <w:u w:val="double"/>
        </w:rPr>
        <w:t>Master</w:t>
      </w:r>
      <w:r>
        <w:rPr/>
        <w:t xml:space="preserve"> Agreement and prior to the commencement of each subsequent fiscal year of Governmental Entity during any Delivery Period, obtain all necessary budgetary </w:t>
      </w:r>
      <w:r>
        <w:rPr>
          <w:u w:val="double"/>
        </w:rPr>
        <w:t>approvals and</w:t>
      </w:r>
      <w:r>
        <w:rPr/>
        <w:t xml:space="preserve"> certifications for payment of all of its obligations under this </w:t>
      </w:r>
      <w:r>
        <w:rPr>
          <w:u w:val="double"/>
        </w:rPr>
        <w:t>Master</w:t>
      </w:r>
      <w:r>
        <w:rPr/>
        <w:t xml:space="preserve"> Agreement for such fiscal year; any breach of this provision shall be deemed to have arisen during a fiscal period of Governmental Entity for which budgetary </w:t>
      </w:r>
      <w:r>
        <w:rPr>
          <w:u w:val="double"/>
        </w:rPr>
        <w:t>approval or</w:t>
      </w:r>
      <w:r>
        <w:rPr/>
        <w:t xml:space="preserve"> certification of its obligations under this </w:t>
      </w:r>
      <w:r>
        <w:rPr>
          <w:u w:val="double"/>
        </w:rPr>
        <w:t>Master</w:t>
      </w:r>
      <w:r>
        <w:rPr/>
        <w:t xml:space="preserve"> Agreement is in effect and, notwithstanding anything to the contrary in Article Four,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w:t>
      </w:r>
      <w:r>
        <w:rPr>
          <w:rFonts w:ascii="WP TypographicSymbols" w:hAnsi="WP TypographicSymbols"/>
        </w:rPr>
        <w:t></w:t>
      </w:r>
      <w:r>
        <w:rPr/>
        <w:t>s payment obligations hereunder throughout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strike/>
        </w:rPr>
        <w:t>D. The</w:t>
      </w:r>
      <w:r>
        <w:rPr/>
        <w:t xml:space="preserve"> </w:t>
      </w:r>
      <w:r>
        <w:rPr>
          <w:u w:val="double"/>
        </w:rPr>
        <w:t>F.</w:t>
        <w:tab/>
        <w:t>If the appropriate box is checked on the Cover Sheet, the</w:t>
      </w:r>
      <w:r>
        <w:rPr/>
        <w:t xml:space="preserve"> Parties agree to add the following </w:t>
      </w:r>
      <w:r>
        <w:rPr>
          <w:strike/>
        </w:rPr>
        <w:t>language to the end of the first sentence of the choice of law section:</w:t>
      </w:r>
      <w:r>
        <w:rPr/>
        <w:t xml:space="preserve"> </w:t>
      </w:r>
      <w:r>
        <w:rPr>
          <w:u w:val="double"/>
        </w:rPr>
        <w:t>section to Article Eight: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strike/>
        </w:rPr>
      </w:pPr>
      <w:r>
        <w:rPr>
          <w:strike/>
        </w:rPr>
        <w:t>EXCEPT IN RESPECT OF THE APPLICABILITY OF THE ACT AS HEREIN PROVIDED IN WHICH INSTANCE THE LAWS OF THE STATE OF [insert ______________ SHALL APPLY.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t>E. The Parties agree to add the following provision as a separate section at the end of the security section: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u w:val="double"/>
        </w:rPr>
        <w:t>Section 8.6.    Governmental</w:t>
      </w:r>
      <w:r>
        <w:rPr>
          <w:u w:val="single"/>
        </w:rPr>
        <w:t xml:space="preserve"> Security</w:t>
      </w:r>
      <w:r>
        <w:rPr/>
        <w:t>.    As security for payment and performance of Governmental Entity</w:t>
      </w:r>
      <w:r>
        <w:rPr>
          <w:rFonts w:ascii="WP TypographicSymbols" w:hAnsi="WP TypographicSymbols"/>
        </w:rPr>
        <w:t></w:t>
      </w:r>
      <w:r>
        <w:rPr/>
        <w:t>s obligations hereunder, Governmental Entity hereby pledges, sets over, assigns and grants to the other Party a security interest in all of Governmental Entity</w:t>
      </w:r>
      <w:r>
        <w:rPr>
          <w:rFonts w:ascii="WP TypographicSymbols" w:hAnsi="WP TypographicSymbols"/>
        </w:rPr>
        <w:t></w:t>
      </w:r>
      <w:r>
        <w:rPr/>
        <w:t>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the other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u w:val="double"/>
        </w:rPr>
        <w:t>G.</w:t>
        <w:tab/>
        <w:t xml:space="preserve">The Parties agree to add the following sentence at the end of Section 10.6 </w:t>
        <w:noBreakHyphen/>
        <w:t>Governing Law:</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sectPr>
          <w:footerReference w:type="default" r:id="rId8"/>
          <w:footerReference w:type="first" r:id="rId9"/>
          <w:footnotePr>
            <w:numFmt w:val="decimal"/>
          </w:footnotePr>
          <w:type w:val="nextPage"/>
          <w:pgSz w:w="12240" w:h="15840"/>
          <w:pgMar w:left="1440" w:right="1440" w:gutter="0" w:header="0" w:top="1440" w:footer="1440" w:bottom="1497"/>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start"/>
        <w:rPr/>
      </w:pPr>
      <w:r>
        <w:rPr>
          <w:u w:val="double"/>
        </w:rPr>
        <w:t>NOTWITHSTANDING THE FOREGOING, IN RESPECT OF THE APPLICABILITY OF THE ACT AS HEREIN PROVIDED, THE LAWS OF THE STATE OF _____________</w:t>
      </w:r>
      <w:r>
        <w:rPr>
          <w:rStyle w:val="FootnoteReference"/>
          <w:u w:val="double"/>
        </w:rPr>
        <w:footnoteReference w:id="3"/>
      </w:r>
      <w:r>
        <w:rPr>
          <w:u w:val="double"/>
        </w:rPr>
        <w:t xml:space="preserve"> SHALL APPLY.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SCHEDULE P : PRODUCTS</w:t>
      </w:r>
      <w:r>
        <w:rPr/>
        <w:t xml:space="preserve"> </w:t>
      </w:r>
      <w:r>
        <w:rPr>
          <w:b/>
        </w:rPr>
        <w:t>AND RELATED DEFINITIONS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rFonts w:ascii="WP TypographicSymbols" w:hAnsi="WP TypographicSymbols"/>
        </w:rPr>
        <w:t></w:t>
      </w:r>
      <w:r>
        <w:rPr/>
        <w:t>Ancillary Services</w:t>
      </w:r>
      <w:r>
        <w:rPr>
          <w:rFonts w:ascii="WP TypographicSymbols" w:hAnsi="WP TypographicSymbols"/>
        </w:rPr>
        <w:t></w:t>
      </w:r>
      <w:r>
        <w:rPr/>
        <w:t xml:space="preserve"> means any of the services identified by a Transmission Provider in its transmission tariff as </w:t>
      </w:r>
      <w:r>
        <w:rPr>
          <w:rFonts w:ascii="WP TypographicSymbols" w:hAnsi="WP TypographicSymbols"/>
        </w:rPr>
        <w:t></w:t>
      </w:r>
      <w:r>
        <w:rPr/>
        <w:t>ancillary services</w:t>
      </w:r>
      <w:r>
        <w:rPr>
          <w:rFonts w:ascii="WP TypographicSymbols" w:hAnsi="WP TypographicSymbols"/>
        </w:rPr>
        <w:t></w:t>
      </w:r>
      <w:r>
        <w:rPr/>
        <w:t xml:space="preserve"> including, but not limited to, regulation and frequency response, energy imbalance, operating reserve</w:t>
        <w:noBreakHyphen/>
        <w:t>spinning and operating reserve</w:t>
        <w:noBreakHyphen/>
        <w:t xml:space="preserve">supplemental </w:t>
      </w:r>
      <w:r>
        <w:rPr>
          <w:u w:val="double"/>
        </w:rPr>
        <w:t xml:space="preserve">as may be specified in any Transaction.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rFonts w:ascii="WP TypographicSymbols" w:hAnsi="WP TypographicSymbols"/>
          <w:u w:val="double"/>
        </w:rPr>
        <w:t></w:t>
      </w:r>
      <w:r>
        <w:rPr>
          <w:u w:val="double"/>
        </w:rPr>
        <w:t>Call Option</w:t>
      </w:r>
      <w:r>
        <w:rPr>
          <w:rFonts w:ascii="WP TypographicSymbols" w:hAnsi="WP TypographicSymbols"/>
          <w:u w:val="double"/>
        </w:rPr>
        <w:t></w:t>
      </w:r>
      <w:r>
        <w:rPr>
          <w:u w:val="double"/>
        </w:rPr>
        <w:t xml:space="preserve"> means an Option entitling, but not obligating, the Option Buyer to purchase and receive the Product from the Option Seller at a price equal to the Strike Price for the Delivery Period for which the Option may be exercised, all as agreed to by the Parties in a Transaction.    Upon proper exercise of the Option by the Option Buyer, the Option Seller will be obligated to sell and deliver the Product for the Delivery Period for which the Option has been exercised.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strike/>
        </w:rPr>
      </w:pPr>
      <w:r>
        <w:rPr>
          <w:rFonts w:ascii="WP TypographicSymbols" w:hAnsi="WP TypographicSymbols"/>
          <w:u w:val="double"/>
        </w:rPr>
        <w:t></w:t>
      </w:r>
      <w:r>
        <w:rPr>
          <w:u w:val="double"/>
        </w:rPr>
        <w:t>Energy</w:t>
      </w:r>
      <w:r>
        <w:rPr>
          <w:rFonts w:ascii="WP TypographicSymbols" w:hAnsi="WP TypographicSymbols"/>
          <w:u w:val="double"/>
        </w:rPr>
        <w:t></w:t>
      </w:r>
      <w:r>
        <w:rPr>
          <w:u w:val="double"/>
        </w:rPr>
        <w:t xml:space="preserve"> means </w:t>
      </w:r>
      <w:r>
        <w:rPr>
          <w:strik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rFonts w:ascii="WP TypographicSymbols" w:hAnsi="WP TypographicSymbols"/>
          <w:strike/>
        </w:rPr>
        <w:t></w:t>
      </w:r>
      <w:r>
        <w:rPr>
          <w:strike/>
        </w:rPr>
        <w:t>Capacity</w:t>
      </w:r>
      <w:r>
        <w:rPr>
          <w:rFonts w:ascii="WP TypographicSymbols" w:hAnsi="WP TypographicSymbols"/>
          <w:strike/>
        </w:rPr>
        <w:t></w:t>
      </w:r>
      <w:r>
        <w:rPr>
          <w:strike/>
        </w:rPr>
        <w:t xml:space="preserve"> means the megawatt output level that a generating unit is capable of continuously producing.</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rFonts w:ascii="WP TypographicSymbols" w:hAnsi="WP TypographicSymbols"/>
          <w:strike/>
        </w:rPr>
        <w:t></w:t>
      </w:r>
      <w:r>
        <w:rPr>
          <w:strike/>
        </w:rPr>
        <w:t>Energy</w:t>
      </w:r>
      <w:r>
        <w:rPr>
          <w:rFonts w:ascii="WP TypographicSymbols" w:hAnsi="WP TypographicSymbols"/>
          <w:strike/>
        </w:rPr>
        <w:t></w:t>
      </w:r>
      <w:r>
        <w:rPr>
          <w:strike/>
        </w:rPr>
        <w:t xml:space="preserve"> means electric energy in the form of merchantable electricity expressed in megawatt hours and shall be</w:t>
      </w:r>
      <w:r>
        <w:rPr/>
        <w:t xml:space="preserve"> three</w:t>
        <w:noBreakHyphen/>
        <w:t>phase, 60</w:t>
        <w:noBreakHyphen/>
        <w:t xml:space="preserve">cycle alternating current </w:t>
      </w:r>
      <w:r>
        <w:rPr>
          <w:u w:val="double"/>
        </w:rPr>
        <w:t xml:space="preserve">electric energy, expressed in megawatt hours.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strike/>
        </w:rPr>
      </w:pPr>
      <w:r>
        <w:rPr>
          <w:rFonts w:ascii="WP TypographicSymbols" w:hAnsi="WP TypographicSymbols"/>
          <w:u w:val="double"/>
        </w:rPr>
        <w:t></w:t>
      </w:r>
      <w:r>
        <w:rPr>
          <w:u w:val="double"/>
        </w:rPr>
        <w:t>Firm (LD)</w:t>
      </w:r>
      <w:r>
        <w:rPr>
          <w:strik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rFonts w:ascii="WP TypographicSymbols" w:hAnsi="WP TypographicSymbols"/>
          <w:strike/>
        </w:rPr>
        <w:t></w:t>
      </w:r>
      <w:r>
        <w:rPr>
          <w:strike/>
        </w:rPr>
        <w:t>Financially Firm</w:t>
      </w:r>
      <w:r>
        <w:rPr>
          <w:rFonts w:ascii="WP TypographicSymbols" w:hAnsi="WP TypographicSymbols"/>
          <w:strike/>
        </w:rPr>
        <w:t></w:t>
      </w:r>
      <w:r>
        <w:rPr>
          <w:strike/>
        </w:rPr>
        <w:t xml:space="preserve"> (No Force Majeure) means, with respect to a Transaction, that if either Party fails to deliver or receive the Quantity of the Product due, the Party to which performance is owed shall be entitled to receive from the Party which failed to deliver/receive an amount calculated as provided in Article Four. No Force Majeure shall excuse performance of a Financially Firm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rFonts w:ascii="WP TypographicSymbols" w:hAnsi="WP TypographicSymbols"/>
          <w:strike/>
        </w:rPr>
        <w:t></w:t>
      </w:r>
      <w:r>
        <w:rPr>
          <w:strike/>
        </w:rPr>
        <w:t>Firm (LD</w:t>
        <w:noBreakHyphen/>
        <w:t xml:space="preserve"> [Identify System] System Reliability)</w:t>
      </w:r>
      <w:r>
        <w:rPr>
          <w:rFonts w:ascii="WP TypographicSymbols" w:hAnsi="WP TypographicSymbols"/>
          <w:strike/>
        </w:rPr>
        <w:t></w:t>
      </w:r>
      <w:r>
        <w:rPr>
          <w:strike/>
        </w:rPr>
        <w:t xml:space="preserve"> means, with respect to a Transaction, that the Product subject to the Transaction is intended to be supplied from the Seller</w:t>
      </w:r>
      <w:r>
        <w:rPr>
          <w:rFonts w:ascii="WP TypographicSymbols" w:hAnsi="WP TypographicSymbols"/>
          <w:strike/>
        </w:rPr>
        <w:t></w:t>
      </w:r>
      <w:r>
        <w:rPr>
          <w:strike/>
        </w:rPr>
        <w:t>s owned or controlled generation assets or pre</w:t>
        <w:noBreakHyphen/>
        <w:t>existing purchase obligations. A Party</w:t>
      </w:r>
      <w:r>
        <w:rPr>
          <w:rFonts w:ascii="WP TypographicSymbols" w:hAnsi="WP TypographicSymbols"/>
          <w:strike/>
        </w:rPr>
        <w:t></w:t>
      </w:r>
      <w:r>
        <w:rPr>
          <w:strike/>
        </w:rPr>
        <w:t xml:space="preserve">s failure to deliver the Product under a </w:t>
      </w:r>
      <w:r>
        <w:rPr>
          <w:rFonts w:ascii="WP TypographicSymbols" w:hAnsi="WP TypographicSymbols"/>
          <w:strike/>
        </w:rPr>
        <w:t></w:t>
      </w:r>
      <w:r>
        <w:rPr>
          <w:strike/>
        </w:rPr>
        <w:t>Firm (LD</w:t>
        <w:noBreakHyphen/>
        <w:t>System Reliability)</w:t>
      </w:r>
      <w:r>
        <w:rPr>
          <w:rFonts w:ascii="WP TypographicSymbols" w:hAnsi="WP TypographicSymbols"/>
          <w:strike/>
        </w:rPr>
        <w:t></w:t>
      </w:r>
      <w:r>
        <w:rPr>
          <w:strike/>
        </w:rPr>
        <w:t xml:space="preserve"> transaction shall be excused and the non</w:t>
        <w:noBreakHyphen/>
        <w:t>delivering Party shall not be liable for damages if Seller</w:t>
      </w:r>
      <w:r>
        <w:rPr>
          <w:rFonts w:ascii="WP TypographicSymbols" w:hAnsi="WP TypographicSymbols"/>
          <w:strike/>
        </w:rPr>
        <w:t></w:t>
      </w:r>
      <w:r>
        <w:rPr>
          <w:strike/>
        </w:rPr>
        <w:t>s total Firm (LD</w:t>
        <w:noBreakHyphen/>
        <w:t>System Reliability) sales, in addition to native load, firm and physically firm sales exceed the Seller</w:t>
      </w:r>
      <w:r>
        <w:rPr>
          <w:rFonts w:ascii="WP TypographicSymbols" w:hAnsi="WP TypographicSymbols"/>
          <w:strike/>
        </w:rPr>
        <w:t></w:t>
      </w:r>
      <w:r>
        <w:rPr>
          <w:strike/>
        </w:rPr>
        <w:t>s available physical resources and pre</w:t>
        <w:noBreakHyphen/>
        <w:t>existing purchases in accordance with reasonable and Prudent Utility Practice.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rFonts w:ascii="WP TypographicSymbols" w:hAnsi="WP TypographicSymbols"/>
          <w:strike/>
        </w:rPr>
        <w:t></w:t>
      </w:r>
      <w:r>
        <w:rPr>
          <w:strike/>
        </w:rPr>
        <w:t>Force Majeure</w:t>
      </w:r>
      <w:r>
        <w:rPr>
          <w:rFonts w:ascii="WP TypographicSymbols" w:hAnsi="WP TypographicSymbols"/>
          <w:strike/>
        </w:rPr>
        <w:t></w:t>
      </w:r>
      <w:r>
        <w:rPr>
          <w:strike/>
        </w:rPr>
        <w:t xml:space="preserve"> means an event or circumstances which prevents one party from performing its obligations under one or more Transactions, which event or circumstances was not anticipated as of the effective date of the Transaction, which is not within the reasonable control of the Party claiming force majeure (the </w:t>
      </w:r>
      <w:r>
        <w:rPr>
          <w:rFonts w:ascii="WP TypographicSymbols" w:hAnsi="WP TypographicSymbols"/>
          <w:strike/>
        </w:rPr>
        <w:t></w:t>
      </w:r>
      <w:r>
        <w:rPr>
          <w:strike/>
        </w:rPr>
        <w:t>Claiming Party</w:t>
      </w:r>
      <w:r>
        <w:rPr>
          <w:rFonts w:ascii="WP TypographicSymbols" w:hAnsi="WP TypographicSymbols"/>
          <w:strike/>
        </w:rPr>
        <w:t></w:t>
      </w:r>
      <w:r>
        <w:rPr>
          <w:strike/>
        </w:rPr>
        <w:t>), and which, by the exercise of due diligence, the Claiming Party is unable to overcome or avoid or cause to be avoided. Force Majeure includes, but is not restricted to an action or restraint by court order or public or governmental authority (so long as the Claiming Party has not applied for or assisted in the application for such Court or government action). Force Majeure shall not include (i) the loss of Buyer's markets; (ii) Buyer's inability economically to use or resell the Product purchased hereunder; (iii) the loss or failure of Seller</w:t>
      </w:r>
      <w:r>
        <w:rPr>
          <w:rFonts w:ascii="WP TypographicSymbols" w:hAnsi="WP TypographicSymbols"/>
          <w:strike/>
        </w:rPr>
        <w:t></w:t>
      </w:r>
      <w:r>
        <w:rPr>
          <w:strike/>
        </w:rPr>
        <w:t>s supply; (iv) Seller</w:t>
      </w:r>
      <w:r>
        <w:rPr>
          <w:rFonts w:ascii="WP TypographicSymbols" w:hAnsi="WP TypographicSymbols"/>
          <w:strike/>
        </w:rPr>
        <w:t></w:t>
      </w:r>
      <w:r>
        <w:rPr>
          <w:strike/>
        </w:rPr>
        <w:t xml:space="preserve">s ability to sell the Product at a more advantageous price. The settlement of strikes, walkouts, lockouts, and other labor disputes shall be entirely within the discretion of the Party involved, and such Party may make settlement at such time and on such terms and conditions as it may deem to be advisable. Interruption by a Transmission Provider shall not be deemed to be an event of Force Majeure unless (i) the Party contracting with such Transmission Provider shall have made arrangements with such Transmission Provider for the firm transmission, as defined under the Transmission Provider's tariff, of the Product to be delivered or received hereunder and (ii) such interruption is due to </w:t>
      </w:r>
      <w:r>
        <w:rPr>
          <w:rFonts w:ascii="WP TypographicSymbols" w:hAnsi="WP TypographicSymbols"/>
          <w:strike/>
        </w:rPr>
        <w:t></w:t>
      </w:r>
      <w:r>
        <w:rPr>
          <w:strike/>
        </w:rPr>
        <w:t>force majeure</w:t>
      </w:r>
      <w:r>
        <w:rPr>
          <w:rFonts w:ascii="WP TypographicSymbols" w:hAnsi="WP TypographicSymbols"/>
          <w:strike/>
        </w:rPr>
        <w:t></w:t>
      </w:r>
      <w:r>
        <w:rPr>
          <w:strike/>
        </w:rPr>
        <w:t xml:space="preserve"> or </w:t>
      </w:r>
      <w:r>
        <w:rPr>
          <w:rFonts w:ascii="WP TypographicSymbols" w:hAnsi="WP TypographicSymbols"/>
          <w:strike/>
        </w:rPr>
        <w:t></w:t>
      </w:r>
      <w:r>
        <w:rPr>
          <w:strike/>
        </w:rPr>
        <w:t>uncontrollable force</w:t>
      </w:r>
      <w:r>
        <w:rPr>
          <w:rFonts w:ascii="WP TypographicSymbols" w:hAnsi="WP TypographicSymbols"/>
          <w:strike/>
        </w:rPr>
        <w:t></w:t>
      </w:r>
      <w:r>
        <w:rPr>
          <w:strike/>
        </w:rPr>
        <w:t xml:space="preserve"> or a similar term as defined under the Transmission Provider's tariff, [and (iii) no other path is available and no other remedy is available].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rFonts w:ascii="WP TypographicSymbols" w:hAnsi="WP TypographicSymbols"/>
          <w:strike/>
        </w:rPr>
        <w:t></w:t>
      </w:r>
      <w:r>
        <w:rPr>
          <w:strike/>
        </w:rPr>
        <w:t>Into [Identify Deliver Point]</w:t>
      </w:r>
      <w:r>
        <w:rPr>
          <w:rFonts w:ascii="WP TypographicSymbols" w:hAnsi="WP TypographicSymbols"/>
          <w:strike/>
        </w:rPr>
        <w:t></w:t>
      </w:r>
      <w:r>
        <w:rPr>
          <w:strike/>
        </w:rPr>
        <w:t xml:space="preserve"> means, with respect to a Transaction, that Seller</w:t>
      </w:r>
      <w:r>
        <w:rPr>
          <w:rFonts w:ascii="WP TypographicSymbols" w:hAnsi="WP TypographicSymbols"/>
          <w:strike/>
        </w:rPr>
        <w:t></w:t>
      </w:r>
      <w:r>
        <w:rPr>
          <w:strike/>
        </w:rPr>
        <w:t>s obligation to deliver the Product to the Buyer is not relieved because of (1) insufficient available transfer capacity (ATC) between the receiving control area and adjacent control areas, (2) transmission service curtailments at Seller</w:t>
      </w:r>
      <w:r>
        <w:rPr>
          <w:rFonts w:ascii="WP TypographicSymbols" w:hAnsi="WP TypographicSymbols"/>
          <w:strike/>
        </w:rPr>
        <w:t></w:t>
      </w:r>
      <w:r>
        <w:rPr>
          <w:strike/>
        </w:rPr>
        <w:t>s designated interface, (3) Seller</w:t>
      </w:r>
      <w:r>
        <w:rPr>
          <w:rFonts w:ascii="WP TypographicSymbols" w:hAnsi="WP TypographicSymbols"/>
          <w:strike/>
        </w:rPr>
        <w:t></w:t>
      </w:r>
      <w:r>
        <w:rPr>
          <w:strike/>
        </w:rPr>
        <w:t>s loss of transmission service, or (4) Seller</w:t>
      </w:r>
      <w:r>
        <w:rPr>
          <w:rFonts w:ascii="WP TypographicSymbols" w:hAnsi="WP TypographicSymbols"/>
          <w:strike/>
        </w:rPr>
        <w:t></w:t>
      </w:r>
      <w:r>
        <w:rPr>
          <w:strike/>
        </w:rPr>
        <w:t>s loss of generation source. In the event Seller is unable to deliver energy to the Buyer, Seller shall designate an alternate interface or source of generation inside the receiving control area by which Seller</w:t>
      </w:r>
      <w:r>
        <w:rPr>
          <w:rFonts w:ascii="WP TypographicSymbols" w:hAnsi="WP TypographicSymbols"/>
          <w:strike/>
        </w:rPr>
        <w:t></w:t>
      </w:r>
      <w:r>
        <w:rPr>
          <w:strike/>
        </w:rPr>
        <w:t>s delivery obligation can be satisfied. This provision is applicable to day ahead and same day transactions. Seller is not released from its delivery obligation to the Buyer if the Buyer is unable to obtain transmission service on the receiving control area</w:t>
      </w:r>
      <w:r>
        <w:rPr>
          <w:rFonts w:ascii="WP TypographicSymbols" w:hAnsi="WP TypographicSymbols"/>
          <w:strike/>
        </w:rPr>
        <w:t></w:t>
      </w:r>
      <w:r>
        <w:rPr>
          <w:strike/>
        </w:rPr>
        <w:t>s transmission system. Should transmission service not be available to the Buyer at Seller</w:t>
      </w:r>
      <w:r>
        <w:rPr>
          <w:rFonts w:ascii="WP TypographicSymbols" w:hAnsi="WP TypographicSymbols"/>
          <w:strike/>
        </w:rPr>
        <w:t></w:t>
      </w:r>
      <w:r>
        <w:rPr>
          <w:strike/>
        </w:rPr>
        <w:t xml:space="preserve">s designated interface, Seller shall be required to make one of the following designations to Buyer: (1) an alternate interface for which transmission service is available to Buyer, or (2) a generation source inside the receiving control area for which transmission service is available to the Buyer.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rFonts w:ascii="WP TypographicSymbols" w:hAnsi="WP TypographicSymbols"/>
          <w:strike/>
        </w:rPr>
        <w:t></w:t>
      </w:r>
      <w:r>
        <w:rPr>
          <w:strike/>
        </w:rPr>
        <w:t>Firm (LD</w:t>
        <w:noBreakHyphen/>
        <w:t>Marketer)</w:t>
      </w:r>
      <w:r>
        <w:rPr>
          <w:rFonts w:ascii="WP TypographicSymbols" w:hAnsi="WP TypographicSymbols"/>
        </w:rPr>
        <w:t></w:t>
      </w:r>
      <w:r>
        <w:rPr/>
        <w:t xml:space="preserve"> means, with respect to a Transaction, that either Party shall be relieved of its obligations to </w:t>
      </w:r>
      <w:r>
        <w:rPr>
          <w:u w:val="double"/>
        </w:rPr>
        <w:t>sell and</w:t>
      </w:r>
      <w:r>
        <w:rPr/>
        <w:t xml:space="preserve"> deliver or </w:t>
      </w:r>
      <w:r>
        <w:rPr>
          <w:u w:val="double"/>
        </w:rPr>
        <w:t>purchase and</w:t>
      </w:r>
      <w:r>
        <w:rPr/>
        <w:t xml:space="preserve">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calculated as provided in Article </w:t>
      </w:r>
      <w:r>
        <w:rPr>
          <w:strike/>
        </w:rPr>
        <w:t>Three.</w:t>
      </w:r>
      <w:r>
        <w:rPr/>
        <w:t xml:space="preserve"> </w:t>
      </w:r>
      <w:r>
        <w:rPr>
          <w:u w:val="double"/>
        </w:rPr>
        <w:t>Four.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rFonts w:ascii="WP TypographicSymbols" w:hAnsi="WP TypographicSymbols"/>
          <w:u w:val="double"/>
        </w:rPr>
        <w:t></w:t>
      </w:r>
      <w:r>
        <w:rPr>
          <w:u w:val="double"/>
        </w:rPr>
        <w:t>Firm (No Force Majeure)</w:t>
      </w:r>
      <w:r>
        <w:rPr>
          <w:rFonts w:ascii="WP TypographicSymbols" w:hAnsi="WP TypographicSymbols"/>
          <w:u w:val="double"/>
        </w:rPr>
        <w:t></w:t>
      </w:r>
      <w:r>
        <w:rPr>
          <w:u w:val="double"/>
        </w:rPr>
        <w:t xml:space="preserve"> means, with respect to a Transaction, that if either Party fails to perform its obligation to sell and deliver or purchase and receive the Product, the Party to which performance is owed shall be entitled to receive from the Party which failed to perform an amount calculated as provided in Article Four.    Force Majeure shall not excuse performance of a Firm (No Force Majeure)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rFonts w:ascii="WP TypographicSymbols" w:hAnsi="WP TypographicSymbols"/>
          <w:u w:val="double"/>
        </w:rPr>
        <w:t></w:t>
      </w:r>
      <w:r>
        <w:rPr>
          <w:u w:val="double"/>
        </w:rPr>
        <w:t>Firm (LD</w:t>
        <w:noBreakHyphen/>
        <w:t>System Reliability) means that the Product will be supplied from the owned or controlled generation or pre</w:t>
        <w:noBreakHyphen/>
        <w:t xml:space="preserve">existing purchased power assets of the public utility system specified in any Transaction (the </w:t>
      </w:r>
      <w:r>
        <w:rPr>
          <w:rFonts w:ascii="WP TypographicSymbols" w:hAnsi="WP TypographicSymbols"/>
          <w:u w:val="double"/>
        </w:rPr>
        <w:t></w:t>
      </w:r>
      <w:r>
        <w:rPr>
          <w:u w:val="double"/>
        </w:rPr>
        <w:t>System</w:t>
      </w:r>
      <w:r>
        <w:rPr>
          <w:rFonts w:ascii="WP TypographicSymbols" w:hAnsi="WP TypographicSymbols"/>
          <w:u w:val="double"/>
        </w:rPr>
        <w:t></w:t>
      </w:r>
      <w:r>
        <w:rPr>
          <w:u w:val="double"/>
        </w:rPr>
        <w:t>).    Seller</w:t>
      </w:r>
      <w:r>
        <w:rPr>
          <w:rFonts w:ascii="WP TypographicSymbols" w:hAnsi="WP TypographicSymbols"/>
          <w:u w:val="double"/>
        </w:rPr>
        <w:t></w:t>
      </w:r>
      <w:r>
        <w:rPr>
          <w:u w:val="double"/>
        </w:rPr>
        <w:t>s failure to perform its obligations shall be excused and Seller shall not be liable for any damages, including damages under Article Four, by Force Majeure, by Buyer</w:t>
      </w:r>
      <w:r>
        <w:rPr>
          <w:rFonts w:ascii="WP TypographicSymbols" w:hAnsi="WP TypographicSymbols"/>
          <w:u w:val="double"/>
        </w:rPr>
        <w:t></w:t>
      </w:r>
      <w:r>
        <w:rPr>
          <w:u w:val="double"/>
        </w:rPr>
        <w:t>s failure to perform, or to the extent any failure to deliver shall be necessary to preserve the integrity of, or prevent or limit any instability on, the System [or on any third party</w:t>
      </w:r>
      <w:r>
        <w:rPr>
          <w:rFonts w:ascii="WP TypographicSymbols" w:hAnsi="WP TypographicSymbols"/>
          <w:u w:val="double"/>
        </w:rPr>
        <w:t></w:t>
      </w:r>
      <w:r>
        <w:rPr>
          <w:u w:val="double"/>
        </w:rPr>
        <w:t>s system,] or to the extent the total load of the System</w:t>
      </w:r>
      <w:r>
        <w:rPr>
          <w:rFonts w:ascii="WP TypographicSymbols" w:hAnsi="WP TypographicSymbols"/>
          <w:u w:val="double"/>
        </w:rPr>
        <w:t></w:t>
      </w:r>
      <w:r>
        <w:rPr>
          <w:u w:val="double"/>
        </w:rPr>
        <w:t>s Native Load, firm energy sales, and pre</w:t>
        <w:noBreakHyphen/>
        <w:t>existing Firm System Reliability Transactions exceed the System</w:t>
      </w:r>
      <w:r>
        <w:rPr>
          <w:rFonts w:ascii="WP TypographicSymbols" w:hAnsi="WP TypographicSymbols"/>
          <w:u w:val="double"/>
        </w:rPr>
        <w:t></w:t>
      </w:r>
      <w:r>
        <w:rPr>
          <w:u w:val="double"/>
        </w:rPr>
        <w:t>s projected available generation less reserve requirements and pre</w:t>
        <w:noBreakHyphen/>
        <w:t>existing Firm purchases, as determined in the System</w:t>
      </w:r>
      <w:r>
        <w:rPr>
          <w:rFonts w:ascii="WP TypographicSymbols" w:hAnsi="WP TypographicSymbols"/>
          <w:u w:val="double"/>
        </w:rPr>
        <w:t></w:t>
      </w:r>
      <w:r>
        <w:rPr>
          <w:u w:val="double"/>
        </w:rPr>
        <w:t>s reasonable judgment.    [Transmission Contingency for Buyer.]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rFonts w:ascii="WP TypographicSymbols" w:hAnsi="WP TypographicSymbols"/>
          <w:u w:val="double"/>
        </w:rPr>
        <w:t></w:t>
      </w:r>
      <w:r>
        <w:rPr>
          <w:u w:val="double"/>
        </w:rPr>
        <w:t>Into [Identify Delivery Point Seller</w:t>
      </w:r>
      <w:r>
        <w:rPr>
          <w:rFonts w:ascii="WP TypographicSymbols" w:hAnsi="WP TypographicSymbols"/>
          <w:u w:val="double"/>
        </w:rPr>
        <w:t></w:t>
      </w:r>
      <w:r>
        <w:rPr>
          <w:u w:val="double"/>
        </w:rPr>
        <w:t xml:space="preserve">s Daily Choice]" [Draft to be circulated before or at September 24, 1999 meeting.] 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u w:val="double"/>
        </w:rPr>
        <w:t></w:t>
      </w:r>
      <w:r>
        <w:rPr>
          <w:u w:val="double"/>
        </w:rPr>
        <w:t>Native Load</w:t>
      </w:r>
      <w:r>
        <w:rPr>
          <w:rFonts w:ascii="WP TypographicSymbols" w:hAnsi="WP TypographicSymbols"/>
          <w:u w:val="double"/>
        </w:rPr>
        <w:t></w:t>
      </w:r>
      <w:r>
        <w:rPr>
          <w:u w:val="double"/>
        </w:rPr>
        <w:t xml:space="preserve"> means the demand imposed on a utility or an entity by the requirements of retail customers located within a franchised service territory that an entity has a statutory obligation to serve.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Non</w:t>
        <w:noBreakHyphen/>
        <w:t>Firm</w:t>
      </w:r>
      <w:r>
        <w:rPr>
          <w:rFonts w:ascii="WP TypographicSymbols" w:hAnsi="WP TypographicSymbols"/>
        </w:rPr>
        <w:t></w:t>
      </w:r>
      <w:r>
        <w:rPr/>
        <w:t xml:space="preserve"> means, with respect to a Transaction, that delivery or receipt of the Product may be interrupted for any reason </w:t>
      </w:r>
      <w:r>
        <w:rPr>
          <w:u w:val="double"/>
        </w:rPr>
        <w:t>or for no reason</w:t>
      </w:r>
      <w:r>
        <w:rPr/>
        <w:t xml:space="preserve">, without liability </w:t>
      </w:r>
      <w:r>
        <w:rPr>
          <w:strike/>
        </w:rPr>
        <w:t>by</w:t>
      </w:r>
      <w:r>
        <w:rPr/>
        <w:t xml:space="preserve"> </w:t>
      </w:r>
      <w:r>
        <w:rPr>
          <w:u w:val="double"/>
        </w:rPr>
        <w:t>on the part of</w:t>
      </w:r>
      <w:r>
        <w:rPr/>
        <w:t>    either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Option</w:t>
      </w:r>
      <w:r>
        <w:rPr>
          <w:rFonts w:ascii="WP TypographicSymbols" w:hAnsi="WP TypographicSymbols"/>
        </w:rPr>
        <w:t></w:t>
      </w:r>
      <w:r>
        <w:rPr/>
        <w:t xml:space="preserve"> means</w:t>
      </w:r>
      <w:r>
        <w:rPr>
          <w:b/>
        </w:rPr>
        <w:t xml:space="preserve"> </w:t>
      </w:r>
      <w:r>
        <w:rPr>
          <w:strike/>
        </w:rPr>
        <w:t>an option (</w:t>
      </w:r>
      <w:r>
        <w:rPr/>
        <w:t>the right but not the obligation</w:t>
      </w:r>
      <w:r>
        <w:rPr>
          <w:strike/>
        </w:rPr>
        <w:t>)</w:t>
      </w:r>
      <w:r>
        <w:rPr/>
        <w:t xml:space="preserve"> to purchase or sell a Product as specified in the Confirmation. The premium amount for the purchase of an Option shall be paid within two (2) Business Days of receipt of an invoice from the </w:t>
      </w:r>
      <w:r>
        <w:rPr>
          <w:strike/>
        </w:rPr>
        <w:t>Party selling the Option. A Party</w:t>
      </w:r>
      <w:r>
        <w:rPr/>
        <w:t xml:space="preserve"> </w:t>
      </w:r>
      <w:r>
        <w:rPr>
          <w:u w:val="double"/>
        </w:rPr>
        <w:t>Option Seller.    An Option Buyer</w:t>
      </w:r>
      <w:r>
        <w:rPr/>
        <w:t xml:space="preserve"> who wishes to exercise an Option must notify the </w:t>
      </w:r>
      <w:r>
        <w:rPr>
          <w:strike/>
        </w:rPr>
        <w:t>other Party</w:t>
      </w:r>
      <w:r>
        <w:rPr/>
        <w:t xml:space="preserve"> </w:t>
      </w:r>
      <w:r>
        <w:rPr>
          <w:u w:val="double"/>
        </w:rPr>
        <w:t>Option Seller</w:t>
      </w:r>
      <w:r>
        <w:rPr/>
        <w:t xml:space="preserve"> by </w:t>
      </w:r>
      <w:r>
        <w:rPr>
          <w:u w:val="double"/>
        </w:rPr>
        <w:t>the</w:t>
      </w:r>
      <w:r>
        <w:rPr/>
        <w:t xml:space="preserve"> time specified in the </w:t>
      </w:r>
      <w:r>
        <w:rPr>
          <w:strike/>
        </w:rPr>
        <w:t>Confirmation.</w:t>
      </w:r>
      <w:r>
        <w:rPr/>
        <w:t xml:space="preserve"> </w:t>
      </w:r>
      <w:r>
        <w:rPr>
          <w:u w:val="double"/>
        </w:rPr>
        <w:t>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rFonts w:ascii="WP TypographicSymbols" w:hAnsi="WP TypographicSymbols"/>
          <w:strike/>
        </w:rPr>
        <w:t></w:t>
      </w:r>
      <w:r>
        <w:rPr>
          <w:strike/>
        </w:rPr>
        <w:t>Physically</w:t>
      </w:r>
      <w:r>
        <w:rPr/>
        <w:t xml:space="preserve"> </w:t>
      </w:r>
      <w:r>
        <w:rPr>
          <w:rFonts w:ascii="WP TypographicSymbols" w:hAnsi="WP TypographicSymbols"/>
          <w:u w:val="double"/>
        </w:rPr>
        <w:t></w:t>
      </w:r>
      <w:r>
        <w:rPr>
          <w:u w:val="double"/>
        </w:rPr>
        <w:t>Put Option</w:t>
      </w:r>
      <w:r>
        <w:rPr>
          <w:rFonts w:ascii="WP TypographicSymbols" w:hAnsi="WP TypographicSymbols"/>
          <w:u w:val="double"/>
        </w:rPr>
        <w:t></w:t>
      </w:r>
      <w:r>
        <w:rPr>
          <w:u w:val="double"/>
        </w:rPr>
        <w:t xml:space="preserve"> means an Option entitling, but not obligating, the Option Buyer to sell and deliver the Product to the Option Seller at a price equal to the Strike Price for the Delivery Period for which the option may be exercised, all as agreed to by the Parties in a Transaction.    Upon proper exercise of the Option by the Option Buyer, the Option Seller will be obligated to purchase and receive the Product.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rFonts w:ascii="WP TypographicSymbols" w:hAnsi="WP TypographicSymbols"/>
          <w:u w:val="double"/>
        </w:rPr>
        <w:t></w:t>
      </w:r>
      <w:r>
        <w:rPr>
          <w:u w:val="double"/>
        </w:rPr>
        <w:t>Strike Price</w:t>
      </w:r>
      <w:r>
        <w:rPr>
          <w:rFonts w:ascii="WP TypographicSymbols" w:hAnsi="WP TypographicSymbols"/>
          <w:u w:val="double"/>
        </w:rPr>
        <w:t></w:t>
      </w:r>
      <w:r>
        <w:rPr>
          <w:u w:val="double"/>
        </w:rPr>
        <w:t xml:space="preserve"> means the price to be paid for the purchase of the Product pursuant to an Option.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strike/>
        </w:rPr>
      </w:pPr>
      <w:r>
        <w:rPr>
          <w:rFonts w:ascii="WP TypographicSymbols" w:hAnsi="WP TypographicSymbols"/>
          <w:u w:val="double"/>
        </w:rPr>
        <w:t></w:t>
      </w:r>
      <w:r>
        <w:rPr>
          <w:u w:val="double"/>
        </w:rPr>
        <w:t>Unit</w:t>
      </w:r>
      <w:r>
        <w:rPr/>
        <w:t xml:space="preserve"> Firm</w:t>
      </w:r>
      <w:r>
        <w:rPr>
          <w:rFonts w:ascii="WP TypographicSymbols" w:hAnsi="WP TypographicSymbols"/>
        </w:rPr>
        <w:t></w:t>
      </w:r>
      <w:r>
        <w:rPr/>
        <w:t xml:space="preserve"> means, with respect to a Transaction, </w:t>
      </w:r>
      <w:r>
        <w:rPr>
          <w:strike/>
        </w:rPr>
        <w:t>that either Party shall be relieved of its obligation to deliver or receive the Product (but not of its obligation to make payment then due and becoming due with respect to a Transaction which occurred prior to the event) to the extent that, and for the period during which, performance is prevented by Force Majeure. In the absence of Force Majeure, a Party</w:t>
      </w:r>
      <w:r>
        <w:rPr>
          <w:rFonts w:ascii="WP TypographicSymbols" w:hAnsi="WP TypographicSymbols"/>
          <w:strike/>
        </w:rPr>
        <w:t></w:t>
      </w:r>
      <w:r>
        <w:rPr>
          <w:strike/>
        </w:rPr>
        <w:t>s failure to deliver or receive any portion of the Product, as the case may be, shall entitle the Non</w:t>
        <w:noBreakHyphen/>
        <w:t>Defaulting Party to terminate the Transaction and recover damages pursuant to Section ___ plus an additional _____% of the amount of such damages to recoup difficult to quantify out</w:t>
        <w:noBreakHyphen/>
        <w:t>of</w:t>
        <w:noBreakHyphen/>
        <w:t>pocket costs. In addition, the Non</w:t>
        <w:noBreakHyphen/>
        <w:t>Defaulting Party may declare an Event of Default with respect to any other Physically Firm Transactions upon which the Non</w:t>
        <w:noBreakHyphen/>
        <w:t xml:space="preserve">Defaulting Party may pursue all other remedies for default hereunder.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rFonts w:ascii="WP TypographicSymbols" w:hAnsi="WP TypographicSymbols"/>
          <w:strike/>
        </w:rPr>
        <w:t></w:t>
      </w:r>
      <w:r>
        <w:rPr>
          <w:strike/>
        </w:rPr>
        <w:t>Prudent Utility Practice</w:t>
      </w:r>
      <w:r>
        <w:rPr>
          <w:rFonts w:ascii="WP TypographicSymbols" w:hAnsi="WP TypographicSymbols"/>
          <w:strike/>
        </w:rPr>
        <w:t></w:t>
      </w:r>
      <w:r>
        <w:rPr>
          <w:strike/>
        </w:rPr>
        <w:t xml:space="preserve"> means, with respect to a Transaction,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the lowest reasonable cost consistent with good business practices, reliability, safety, and expedition. Prudent Utility Practice is not intended to be the optimum practice, method, or act, but rather to be a spectrum of acceptable practices, methods, or acts.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Fonts w:ascii="WP TypographicSymbols" w:hAnsi="WP TypographicSymbols"/>
          <w:strike/>
        </w:rPr>
        <w:t></w:t>
      </w:r>
      <w:r>
        <w:rPr>
          <w:strike/>
        </w:rPr>
        <w:t>Unit Contingent</w:t>
      </w:r>
      <w:r>
        <w:rPr>
          <w:rFonts w:ascii="WP TypographicSymbols" w:hAnsi="WP TypographicSymbols"/>
          <w:strike/>
        </w:rPr>
        <w:t></w:t>
      </w:r>
      <w:r>
        <w:rPr>
          <w:strike/>
        </w:rPr>
        <w:t xml:space="preserve"> means, with respect to a Transaction,</w:t>
      </w:r>
      <w:r>
        <w:rPr/>
        <w:t xml:space="preserve"> that the Product subject to the Transaction is intended to be supplied from a particular identified generation asset or assets.    A Party</w:t>
      </w:r>
      <w:r>
        <w:rPr>
          <w:rFonts w:ascii="WP TypographicSymbols" w:hAnsi="WP TypographicSymbols"/>
        </w:rPr>
        <w:t></w:t>
      </w:r>
      <w:r>
        <w:rPr/>
        <w:t xml:space="preserve">s failure to deliver </w:t>
      </w:r>
      <w:r>
        <w:rPr>
          <w:strike/>
        </w:rPr>
        <w:t>Product</w:t>
      </w:r>
      <w:r>
        <w:rPr/>
        <w:t xml:space="preserve"> under a </w:t>
      </w:r>
      <w:r>
        <w:rPr>
          <w:rFonts w:ascii="WP TypographicSymbols" w:hAnsi="WP TypographicSymbols"/>
        </w:rPr>
        <w:t></w:t>
      </w:r>
      <w:r>
        <w:rPr/>
        <w:t xml:space="preserve">Unit </w:t>
      </w:r>
      <w:r>
        <w:rPr>
          <w:strike/>
        </w:rPr>
        <w:t>Contingent</w:t>
      </w:r>
      <w:r>
        <w:rPr/>
        <w:t xml:space="preserve"> </w:t>
      </w:r>
      <w:r>
        <w:rPr>
          <w:u w:val="double"/>
        </w:rPr>
        <w:t>Firm</w:t>
      </w:r>
      <w:r>
        <w:rPr>
          <w:rFonts w:ascii="WP TypographicSymbols" w:hAnsi="WP TypographicSymbols"/>
        </w:rPr>
        <w:t></w:t>
      </w:r>
      <w:r>
        <w:rPr/>
        <w:t xml:space="preserve"> Transaction shall be excused and the non</w:t>
        <w:noBreakHyphen/>
        <w:t xml:space="preserve">delivering Party shall not be deemed in default or be liable for damages </w:t>
      </w:r>
      <w:r>
        <w:rPr>
          <w:strike/>
        </w:rPr>
        <w:t>if</w:t>
      </w:r>
      <w:r>
        <w:rPr/>
        <w:t xml:space="preserve"> </w:t>
      </w:r>
      <w:r>
        <w:rPr>
          <w:u w:val="double"/>
        </w:rPr>
        <w:t>only to the extent that, and for the period during which</w:t>
      </w:r>
      <w:r>
        <w:rPr/>
        <w:t xml:space="preserve"> the identified generation asset or assets is or are unavailable </w:t>
      </w:r>
      <w:r>
        <w:rPr>
          <w:strike/>
        </w:rPr>
        <w:t>for any reason.</w:t>
      </w:r>
      <w:r>
        <w:rPr/>
        <w:t xml:space="preserve"> </w:t>
      </w:r>
      <w:r>
        <w:rPr>
          <w:u w:val="double"/>
        </w:rPr>
        <w:t>as a result of scheduled or forced outages or a Force Majeure affecting the particular identified generation asset or assets.</w:t>
      </w:r>
    </w:p>
    <w:p>
      <w:pPr>
        <w:sectPr>
          <w:footerReference w:type="default" r:id="rId10"/>
          <w:footerReference w:type="first" r:id="rId11"/>
          <w:footnotePr>
            <w:numFmt w:val="decimal"/>
          </w:footnotePr>
          <w:type w:val="nextPage"/>
          <w:pgSz w:w="12240" w:h="15840"/>
          <w:pgMar w:left="1440" w:right="1440" w:gutter="0" w:header="0" w:top="1440" w:footer="1440" w:bottom="1497"/>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rPr>
        <w:t>CONFIRMATION LETTER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b/>
        </w:rPr>
      </w:pPr>
      <w:r>
        <w:rPr>
          <w:b/>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This letter shall confirm the Transaction agreed to on ___________, ___ between __________________________ (</w:t>
      </w:r>
      <w:r>
        <w:rPr>
          <w:rFonts w:ascii="WP TypographicSymbols" w:hAnsi="WP TypographicSymbols"/>
        </w:rPr>
        <w:t></w:t>
      </w:r>
      <w:r>
        <w:rPr/>
        <w:t>[Party]</w:t>
      </w:r>
      <w:r>
        <w:rPr>
          <w:rFonts w:ascii="WP TypographicSymbols" w:hAnsi="WP TypographicSymbols"/>
        </w:rPr>
        <w:t></w:t>
      </w:r>
      <w:r>
        <w:rPr/>
        <w:t>) and _____________________ (</w:t>
      </w:r>
      <w:r>
        <w:rPr>
          <w:rFonts w:ascii="WP TypographicSymbols" w:hAnsi="WP TypographicSymbols"/>
        </w:rPr>
        <w:t></w:t>
      </w:r>
      <w:r>
        <w:rPr/>
        <w:t>Counterparty</w:t>
      </w:r>
      <w:r>
        <w:rPr>
          <w:rFonts w:ascii="WP TypographicSymbols" w:hAnsi="WP TypographicSymbols"/>
        </w:rPr>
        <w:t></w:t>
      </w:r>
      <w:r>
        <w:rPr/>
        <w:t>) regarding the sale/purchase of the Product under the terms and conditions as follows: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Seller:</w:t>
        <w:tab/>
        <w:t xml:space="preserve"> </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Buyer:</w:t>
        <w:tab/>
        <w:t xml:space="preserve">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strike/>
        </w:rPr>
      </w:pPr>
      <w:r>
        <w:rPr/>
        <w:t xml:space="preserve">Product:    </w:t>
      </w:r>
      <w:r>
        <w:fldChar w:fldCharType="begin"/>
      </w:r>
      <w:r>
        <w:rPr/>
        <w:instrText xml:space="preserve">ADVANCE \r1</w:instrText>
      </w:r>
      <w:r>
        <w:rPr/>
      </w:r>
      <w:r>
        <w:rPr/>
        <w:fldChar w:fldCharType="separate"/>
      </w:r>
      <w:r>
        <w:rPr/>
      </w:r>
      <w:r>
        <w:rPr/>
      </w:r>
      <w:r>
        <w:rPr/>
        <w:fldChar w:fldCharType="end"/>
      </w:r>
      <w:r>
        <w:rPr>
          <w:strike/>
        </w:rPr>
        <w:t xml:space="preserve">Energy AND Financially Firm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strike/>
        </w:rPr>
      </w:pPr>
      <w:r>
        <w:rPr>
          <w:strike/>
        </w:rPr>
        <w:t>Capacity Firm (LD</w:t>
        <w:noBreakHyphen/>
        <w:t xml:space="preserve">Marketer)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strike/>
        </w:rPr>
      </w:pPr>
      <w:r>
        <w:rPr>
          <w:strike/>
        </w:rPr>
        <w:t>Other Firm LD</w:t>
        <w:noBreakHyphen/>
        <w:t xml:space="preserve">System Reliability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strike/>
        </w:rPr>
      </w:pPr>
      <w:r>
        <w:rPr>
          <w:strike/>
        </w:rPr>
        <w:t xml:space="preserve">Unit Contingent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u w:val="double"/>
        </w:rPr>
      </w:pPr>
      <w:r>
        <w:rPr>
          <w:strike/>
        </w:rPr>
        <w:t xml:space="preserve">Other </w:t>
      </w:r>
      <w:r>
        <w:rPr>
          <w:rFonts w:ascii="WP TypographicSymbols" w:hAnsi="WP TypographicSymbols"/>
          <w:u w:val="double"/>
        </w:rPr>
        <w:t></w:t>
      </w:r>
      <w:r>
        <w:rPr>
          <w:u w:val="double"/>
        </w:rPr>
        <w:t>    Energy                                                            AND</w:t>
        <w:tab/>
        <w:tab/>
        <w:t xml:space="preserve">          Firm (LD)    </w:t>
      </w:r>
      <w:r>
        <w:rPr>
          <w:rFonts w:ascii="Wingdings" w:hAnsi="Wingdings"/>
          <w:u w:val="double"/>
        </w:rPr>
        <w:t></w:t>
      </w:r>
      <w:r>
        <w:rPr>
          <w:rFonts w:ascii="WP TypographicSymbols" w:hAnsi="WP TypographicSymbols"/>
          <w:u w:val="double"/>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u w:val="double"/>
        </w:rPr>
      </w:pPr>
      <w:r>
        <w:rPr>
          <w:u w:val="double"/>
        </w:rPr>
        <w:t xml:space="preserve">                                </w:t>
      </w:r>
      <w:r>
        <w:rPr>
          <w:rFonts w:ascii="WP TypographicSymbols" w:hAnsi="WP TypographicSymbols"/>
          <w:u w:val="double"/>
        </w:rPr>
        <w:t></w:t>
      </w:r>
      <w:r>
        <w:rPr>
          <w:u w:val="double"/>
        </w:rPr>
        <w:t xml:space="preserve">    </w:t>
      </w:r>
      <w:r>
        <w:rPr>
          <w:u w:val="double"/>
        </w:rPr>
        <w:t>Capacity (Specify: __________)</w:t>
        <w:tab/>
        <w:t xml:space="preserve">          Firm (No Force Majeure)    </w:t>
      </w:r>
      <w:r>
        <w:rPr>
          <w:rFonts w:ascii="WP TypographicSymbols" w:hAnsi="WP TypographicSymbols"/>
          <w:u w:val="double"/>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u w:val="double"/>
        </w:rPr>
      </w:pPr>
      <w:r>
        <w:rPr>
          <w:u w:val="double"/>
        </w:rPr>
        <w:t xml:space="preserve">                                </w:t>
      </w:r>
      <w:r>
        <w:rPr>
          <w:rFonts w:ascii="WP TypographicSymbols" w:hAnsi="WP TypographicSymbols"/>
          <w:u w:val="double"/>
        </w:rPr>
        <w:t></w:t>
      </w:r>
      <w:r>
        <w:rPr>
          <w:u w:val="double"/>
        </w:rPr>
        <w:t xml:space="preserve"> </w:t>
      </w:r>
      <w:r>
        <w:rPr>
          <w:u w:val="double"/>
        </w:rPr>
        <w:t>Ancillary Services (Specify: _________)      Firm (LD</w:t>
        <w:noBreakHyphen/>
        <w:t xml:space="preserve">System Reliability) </w:t>
      </w:r>
      <w:r>
        <w:rPr>
          <w:rFonts w:ascii="WP TypographicSymbols" w:hAnsi="WP TypographicSymbols"/>
          <w:u w:val="double"/>
        </w:rPr>
        <w:t></w:t>
      </w:r>
    </w:p>
    <w:p>
      <w:pPr>
        <w:pStyle w:val="Normal"/>
        <w:widowControl/>
        <w:tabs>
          <w:tab w:val="clear" w:pos="720"/>
          <w:tab w:val="right" w:pos="9360" w:leader="none"/>
        </w:tabs>
        <w:bidi w:val="0"/>
        <w:ind w:hanging="5292"/>
        <w:jc w:val="both"/>
        <w:rPr>
          <w:u w:val="double"/>
        </w:rPr>
      </w:pPr>
      <w:r>
        <w:rPr>
          <w:u w:val="double"/>
        </w:rPr>
        <w:tab/>
        <w:t>(Specify Systems:____________)</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u w:val="double"/>
        </w:rPr>
      </w:pPr>
      <w:r>
        <w:rPr>
          <w:u w:val="double"/>
        </w:rPr>
        <w:t xml:space="preserve">                                </w:t>
      </w:r>
      <w:r>
        <w:rPr>
          <w:rFonts w:ascii="WP TypographicSymbols" w:hAnsi="WP TypographicSymbols"/>
          <w:u w:val="double"/>
        </w:rPr>
        <w:t></w:t>
      </w:r>
      <w:r>
        <w:rPr>
          <w:u w:val="double"/>
        </w:rPr>
        <w:t xml:space="preserve"> </w:t>
      </w:r>
      <w:r>
        <w:rPr>
          <w:u w:val="double"/>
        </w:rPr>
        <w:t>Other</w:t>
        <w:tab/>
        <w:tab/>
        <w:tab/>
        <w:tab/>
        <w:tab/>
        <w:t xml:space="preserve">      Unit Firm      </w:t>
      </w:r>
      <w:r>
        <w:rPr>
          <w:rFonts w:ascii="WP TypographicSymbols" w:hAnsi="WP TypographicSymbols"/>
          <w:u w:val="double"/>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2880"/>
        <w:jc w:val="both"/>
        <w:rPr/>
      </w:pPr>
      <w:r>
        <w:rPr>
          <w:u w:val="double"/>
        </w:rPr>
        <w:t xml:space="preserve">      </w:t>
      </w:r>
      <w:r>
        <w:rPr>
          <w:u w:val="double"/>
        </w:rPr>
        <w:t>Non</w:t>
        <w:noBreakHyphen/>
        <w:t xml:space="preserve">Firm      </w:t>
      </w:r>
      <w:r>
        <w:rPr>
          <w:rFonts w:ascii="WP TypographicSymbols" w:hAnsi="WP TypographicSymbols"/>
          <w:u w:val="double"/>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360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Other Products:    </w:t>
      </w:r>
      <w:r>
        <w:rPr>
          <w:u w:val="single"/>
        </w:rPr>
        <w:t xml:space="preserve">                                                                                                                                                                        </w:t>
      </w:r>
      <w:r>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Contract Quantity: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u w:val="sing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t xml:space="preserve">Delivery Point: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u w:val="sing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1440" w:start="1440"/>
        <w:jc w:val="both"/>
        <w:rPr>
          <w:u w:val="double"/>
        </w:rPr>
      </w:pPr>
      <w:r>
        <w:rPr>
          <w:u w:val="double"/>
        </w:rPr>
        <w:t xml:space="preserve">Into: </w:t>
        <w:tab/>
        <w:tab/>
      </w:r>
      <w:r>
        <w:rPr>
          <w:rFonts w:ascii="WP TypographicSymbols" w:hAnsi="WP TypographicSymbols"/>
          <w:u w:val="double"/>
        </w:rPr>
        <w:t></w:t>
      </w:r>
      <w:r>
        <w:rPr>
          <w:u w:val="double"/>
        </w:rPr>
        <w:t xml:space="preserve"> Option A</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1440"/>
        <w:jc w:val="both"/>
        <w:rPr/>
      </w:pPr>
      <w:r>
        <w:rPr>
          <w:rFonts w:ascii="WP TypographicSymbols" w:hAnsi="WP TypographicSymbols"/>
          <w:u w:val="double"/>
        </w:rPr>
        <w:t></w:t>
      </w:r>
      <w:r>
        <w:rPr>
          <w:u w:val="double"/>
        </w:rPr>
        <w:t xml:space="preserve"> </w:t>
      </w:r>
      <w:r>
        <w:rPr>
          <w:u w:val="double"/>
        </w:rPr>
        <w:t>Option B</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t xml:space="preserve">Contract Price: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Energy Price:</w:t>
      </w:r>
      <w:r>
        <w:rPr>
          <w:u w:val="single"/>
        </w:rPr>
        <w:t xml:space="preserve">                                                                                                                                                                </w:t>
      </w:r>
      <w:r>
        <w:rPr/>
        <w:tab/>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Demand Charges:</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Transmission Charges:</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 xml:space="preserve">Other Charges: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Delivery Period:</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Special Conditions: 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Scheduling: 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t>Option Buyer:</w:t>
        <w:tab/>
        <w:tab/>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t>Option Seller:</w:t>
        <w:tab/>
        <w:tab/>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t>Type of Option:</w:t>
        <w:tab/>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t>Strike Price:</w:t>
        <w:tab/>
        <w:tab/>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t>Premium:</w:t>
        <w:tab/>
        <w:tab/>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t>Exercise Period:</w:t>
        <w:tab/>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u w:val="double"/>
        </w:rPr>
      </w:pPr>
      <w:r>
        <w:rPr>
          <w:sz w:val="16"/>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u w:val="double"/>
        </w:rPr>
      </w:pPr>
      <w:r>
        <w:rPr>
          <w:sz w:val="16"/>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u w:val="double"/>
        </w:rPr>
      </w:pPr>
      <w:r>
        <w:rPr>
          <w:sz w:val="16"/>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u w:val="double"/>
        </w:rPr>
      </w:pPr>
      <w:r>
        <w:rPr>
          <w:sz w:val="16"/>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u w:val="double"/>
        </w:rPr>
      </w:pPr>
      <w:r>
        <w:rPr>
          <w:sz w:val="16"/>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u w:val="double"/>
        </w:rPr>
        <w:fldChar w:fldCharType="begin"/>
      </w:r>
      <w:r>
        <w:rPr>
          <w:sz w:val="16"/>
          <w:u w:val="double"/>
        </w:rPr>
        <w:instrText xml:space="preserve"> FILENAME </w:instrText>
      </w:r>
      <w:r>
        <w:rPr>
          <w:sz w:val="16"/>
          <w:u w:val="double"/>
        </w:rPr>
        <w:fldChar w:fldCharType="separate"/>
      </w:r>
      <w:r>
        <w:rPr>
          <w:sz w:val="16"/>
          <w:u w:val="double"/>
        </w:rPr>
        <w:t>3.209161.FL5APZNZUMSCPQ3AKE2RSWFE5I525OEPA.3.rtf</w:t>
      </w:r>
      <w:r>
        <w:rPr>
          <w:sz w:val="16"/>
          <w:u w:val="double"/>
        </w:rPr>
        <w:fldChar w:fldCharType="end"/>
      </w:r>
      <w:r>
        <w:rPr>
          <w:sz w:val="16"/>
        </w:rPr>
        <w:t xml:space="preserve"> </w:t>
      </w:r>
      <w:r>
        <w:rPr>
          <w:strike/>
          <w:sz w:val="16"/>
        </w:rPr>
        <w:t>323171.1</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r>
    </w:p>
    <w:p>
      <w:pPr>
        <w:sectPr>
          <w:footerReference w:type="default" r:id="rId12"/>
          <w:footerReference w:type="first" r:id="rId13"/>
          <w:footnotePr>
            <w:numFmt w:val="decimal"/>
          </w:footnotePr>
          <w:type w:val="nextPage"/>
          <w:pgSz w:w="12240" w:h="15840"/>
          <w:pgMar w:left="1440" w:right="1440" w:gutter="0" w:header="0" w:top="1440" w:footer="1440" w:bottom="1497"/>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rFonts w:ascii="Arial" w:hAnsi="Arial"/>
          <w:sz w:val="14"/>
        </w:rPr>
      </w:pPr>
      <w:r>
        <w:fldChar w:fldCharType="begin"/>
      </w:r>
      <w:r>
        <w:rPr>
          <w:sz w:val="14"/>
          <w:rFonts w:ascii="Arial" w:hAnsi="Arial"/>
        </w:rPr>
        <w:instrText xml:space="preserve">ADVANCE \x36</w:instrText>
      </w:r>
      <w:bookmarkStart w:id="0" w:name="SoftSolutions_Document_Identifier"/>
      <w:bookmarkEnd w:id="0"/>
      <w:r>
        <w:rPr>
          <w:rFonts w:ascii="Arial" w:hAnsi="Arial"/>
          <w:sz w:val="14"/>
        </w:rPr>
      </w:r>
      <w:r>
        <w:rPr>
          <w:sz w:val="14"/>
          <w:rFonts w:ascii="Arial" w:hAnsi="Arial"/>
        </w:rPr>
        <w:fldChar w:fldCharType="separate"/>
      </w:r>
      <w:r>
        <w:rPr>
          <w:rFonts w:ascii="Arial" w:hAnsi="Arial"/>
          <w:sz w:val="14"/>
        </w:rPr>
      </w:r>
      <w:r>
        <w:rPr>
          <w:rFonts w:ascii="Arial" w:hAnsi="Arial"/>
          <w:sz w:val="14"/>
        </w:rPr>
      </w:r>
      <w:r>
        <w:rPr>
          <w:sz w:val="14"/>
          <w:rFonts w:ascii="Arial" w:hAnsi="Arial"/>
        </w:rPr>
        <w:fldChar w:fldCharType="end"/>
      </w:r>
      <w:r>
        <w:fldChar w:fldCharType="begin"/>
      </w:r>
      <w:r>
        <w:rPr>
          <w:sz w:val="14"/>
          <w:rFonts w:ascii="Arial" w:hAnsi="Arial"/>
        </w:rPr>
        <w:instrText xml:space="preserve">ADVANCE \d18</w:instrText>
      </w:r>
      <w:r>
        <w:rPr>
          <w:rFonts w:ascii="Arial" w:hAnsi="Arial"/>
          <w:sz w:val="14"/>
        </w:rPr>
      </w:r>
      <w:r>
        <w:rPr>
          <w:sz w:val="14"/>
          <w:rFonts w:ascii="Arial" w:hAnsi="Arial"/>
        </w:rPr>
        <w:fldChar w:fldCharType="separate"/>
      </w:r>
      <w:r>
        <w:rPr>
          <w:rFonts w:ascii="Arial" w:hAnsi="Arial"/>
          <w:sz w:val="14"/>
        </w:rPr>
      </w:r>
      <w:r/>
      <w:r>
        <w:rPr>
          <w:sz w:val="14"/>
          <w:rFonts w:ascii="Arial" w:hAnsi="Arial"/>
        </w:rPr>
        <w:fldChar w:fldCharType="end"/>
      </w:r>
      <w:r>
        <w:rPr>
          <w:rFonts w:ascii="Arial" w:hAnsi="Arial"/>
          <w:sz w:val="14"/>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rFonts w:ascii="Arial" w:hAnsi="Arial"/>
          <w:sz w:val="14"/>
        </w:rPr>
      </w:pPr>
      <w:r>
        <w:rPr>
          <w:rFonts w:ascii="Arial" w:hAnsi="Arial"/>
          <w:sz w:val="14"/>
        </w:rPr>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Arial" w:hAnsi="Arial"/>
          <w:sz w:val="14"/>
        </w:rPr>
        <w:t xml:space="preserve">REVISION LIST </w:t>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rFonts w:ascii="Arial" w:hAnsi="Arial"/>
          <w:sz w:val="14"/>
        </w:rPr>
      </w:pPr>
      <w:r>
        <w:rPr>
          <w:rFonts w:ascii="Arial" w:hAnsi="Arial"/>
          <w:sz w:val="14"/>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rFonts w:ascii="Arial" w:hAnsi="Arial"/>
          <w:sz w:val="14"/>
        </w:rPr>
      </w:pPr>
      <w:r>
        <w:rPr>
          <w:rFonts w:ascii="Arial" w:hAnsi="Arial"/>
          <w:sz w:val="14"/>
        </w:rPr>
        <w:t xml:space="preserve">The bracketed numbers refer to the Page and Paragraph for the </w:t>
      </w:r>
      <w:r>
        <w:rPr>
          <w:rFonts w:ascii="Arial" w:hAnsi="Arial"/>
          <w:b/>
          <w:sz w:val="14"/>
        </w:rPr>
        <w:t>start</w:t>
      </w:r>
      <w:r>
        <w:rPr>
          <w:rFonts w:ascii="Arial" w:hAnsi="Arial"/>
          <w:sz w:val="14"/>
        </w:rPr>
        <w:t xml:space="preserve"> of the paragraph in both the </w:t>
      </w:r>
      <w:r>
        <w:rPr>
          <w:rFonts w:ascii="Arial" w:hAnsi="Arial"/>
          <w:b/>
          <w:sz w:val="14"/>
        </w:rPr>
        <w:t>old</w:t>
      </w:r>
      <w:r>
        <w:rPr>
          <w:rFonts w:ascii="Arial" w:hAnsi="Arial"/>
          <w:sz w:val="14"/>
        </w:rPr>
        <w:t xml:space="preserve"> and the </w:t>
      </w:r>
      <w:r>
        <w:rPr>
          <w:rFonts w:ascii="Arial" w:hAnsi="Arial"/>
          <w:b/>
          <w:sz w:val="14"/>
        </w:rPr>
        <w:t>new</w:t>
      </w:r>
      <w:r>
        <w:rPr>
          <w:rFonts w:ascii="Arial" w:hAnsi="Arial"/>
          <w:sz w:val="14"/>
        </w:rPr>
        <w:t xml:space="preserve"> documents.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rFonts w:ascii="Arial" w:hAnsi="Arial"/>
          <w:sz w:val="14"/>
        </w:rPr>
      </w:pPr>
      <w:r>
        <w:rPr>
          <w:rFonts w:ascii="Arial" w:hAnsi="Arial"/>
          <w:sz w:val="14"/>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rFonts w:ascii="Arial" w:hAnsi="Arial"/>
          <w:b/>
          <w:sz w:val="14"/>
        </w:rPr>
      </w:pPr>
      <w:r>
        <w:rPr>
          <w:rFonts w:ascii="Arial" w:hAnsi="Arial"/>
          <w:b/>
          <w:sz w:val="14"/>
        </w:rPr>
        <w:t>[1:3 1:2] Add Para</w:t>
      </w:r>
    </w:p>
    <w:sectPr>
      <w:footerReference w:type="default" r:id="rId14"/>
      <w:footerReference w:type="first" r:id="rId15"/>
      <w:footnotePr>
        <w:numFmt w:val="decimal"/>
      </w:footnotePr>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TypographicSymbols">
    <w:charset w:val="01" w:characterSet="utf-8"/>
    <w:family w:val="roman"/>
    <w:pitch w:val="variable"/>
  </w:font>
  <w:font w:name="Wingding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3.209161.FL5APZNZUMSCPQ3AKE2RSWFE5I525OEPA.3.rtf</w:t>
    </w:r>
    <w:r>
      <w:rPr>
        <w:sz w:val="16"/>
        <w:lang w:val="en-US"/>
      </w:rPr>
      <w:fldChar w:fldCharType="end"/>
    </w:r>
    <w:r>
      <mc:AlternateContent>
        <mc:Choice Requires="wps">
          <w:drawing>
            <wp:anchor behindDoc="0" distT="0" distB="0" distL="0" distR="0" simplePos="0" locked="0" layoutInCell="0" allowOverlap="1" relativeHeight="40">
              <wp:simplePos x="0" y="0"/>
              <wp:positionH relativeFrom="column">
                <wp:posOffset>0</wp:posOffset>
              </wp:positionH>
              <wp:positionV relativeFrom="paragraph">
                <wp:posOffset>635</wp:posOffset>
              </wp:positionV>
              <wp:extent cx="6401435" cy="175260"/>
              <wp:effectExtent l="0" t="0" r="0" b="0"/>
              <wp:wrapTopAndBottom/>
              <wp:docPr id="5" name="Frame4"/>
              <a:graphic xmlns:a="http://schemas.openxmlformats.org/drawingml/2006/main">
                <a:graphicData uri="http://schemas.microsoft.com/office/word/2010/wordprocessingShape">
                  <wps:wsp>
                    <wps:cNvSpPr txBox="1"/>
                    <wps:spPr>
                      <a:xfrm>
                        <a:off x="0" y="0"/>
                        <a:ext cx="64014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43</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504.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43</w:t>
                    </w:r>
                    <w:r>
                      <w:rPr>
                        <w:lang w:val="en-US"/>
                      </w:rPr>
                      <w:fldChar w:fldCharType="end"/>
                    </w:r>
                    <w:r>
                      <w:rPr/>
                      <w:t>-</w:t>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3.209161.FL5APZNZUMSCPQ3AKE2RSWFE5I525OEPA.3.rtf</w:t>
    </w:r>
    <w:r>
      <w:rPr>
        <w:sz w:val="16"/>
        <w:lang w:val="en-US"/>
      </w:rPr>
      <w:fldChar w:fldCharType="end"/>
    </w:r>
    <w:r>
      <mc:AlternateContent>
        <mc:Choice Requires="wps">
          <w:drawing>
            <wp:anchor behindDoc="0" distT="0" distB="0" distL="0" distR="0" simplePos="0" locked="0" layoutInCell="0" allowOverlap="1" relativeHeight="41">
              <wp:simplePos x="0" y="0"/>
              <wp:positionH relativeFrom="column">
                <wp:posOffset>0</wp:posOffset>
              </wp:positionH>
              <wp:positionV relativeFrom="paragraph">
                <wp:posOffset>635</wp:posOffset>
              </wp:positionV>
              <wp:extent cx="6401435" cy="175260"/>
              <wp:effectExtent l="0" t="0" r="0" b="0"/>
              <wp:wrapTopAndBottom/>
              <wp:docPr id="6" name="Frame5"/>
              <a:graphic xmlns:a="http://schemas.openxmlformats.org/drawingml/2006/main">
                <a:graphicData uri="http://schemas.microsoft.com/office/word/2010/wordprocessingShape">
                  <wps:wsp>
                    <wps:cNvSpPr txBox="1"/>
                    <wps:spPr>
                      <a:xfrm>
                        <a:off x="0" y="0"/>
                        <a:ext cx="64014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44</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504.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44</w:t>
                    </w:r>
                    <w:r>
                      <w:rPr>
                        <w:lang w:val="en-US"/>
                      </w:rPr>
                      <w:fldChar w:fldCharType="end"/>
                    </w:r>
                    <w:r>
                      <w:rPr/>
                      <w:t>-</w:t>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3.209161.FL5APZNZUMSCPQ3AKE2RSWFE5I525OEPA.3.rtf</w:t>
    </w:r>
    <w:r>
      <w:rPr>
        <w:sz w:val="16"/>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3.209161.FL5APZNZUMSCPQ3AKE2RSWFE5I525OEPA.3.rtf</w:t>
    </w:r>
    <w:r>
      <w:rPr>
        <w:sz w:val="16"/>
        <w:lang w:val="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3.209161.FL5APZNZUMSCPQ3AKE2RSWFE5I525OEPA.3.rtf</w:t>
    </w:r>
    <w:r>
      <w:rPr>
        <w:sz w:val="16"/>
        <w:lang w:val="en-US"/>
      </w:rPr>
      <w:fldChar w:fldCharType="end"/>
    </w:r>
    <w:r>
      <mc:AlternateContent>
        <mc:Choice Requires="wps">
          <w:drawing>
            <wp:anchor behindDoc="0" distT="0" distB="0" distL="0" distR="0" simplePos="0" locked="0" layoutInCell="0" allowOverlap="1" relativeHeight="30">
              <wp:simplePos x="0" y="0"/>
              <wp:positionH relativeFrom="column">
                <wp:posOffset>0</wp:posOffset>
              </wp:positionH>
              <wp:positionV relativeFrom="paragraph">
                <wp:posOffset>635</wp:posOffset>
              </wp:positionV>
              <wp:extent cx="6401435" cy="175260"/>
              <wp:effectExtent l="0" t="0" r="0" b="0"/>
              <wp:wrapTopAndBottom/>
              <wp:docPr id="1" name="Frame1"/>
              <a:graphic xmlns:a="http://schemas.openxmlformats.org/drawingml/2006/main">
                <a:graphicData uri="http://schemas.microsoft.com/office/word/2010/wordprocessingShape">
                  <wps:wsp>
                    <wps:cNvSpPr txBox="1"/>
                    <wps:spPr>
                      <a:xfrm>
                        <a:off x="0" y="0"/>
                        <a:ext cx="64014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33</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504.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33</w:t>
                    </w:r>
                    <w:r>
                      <w:rPr>
                        <w:lang w:val="en-US"/>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3.209161.FL5APZNZUMSCPQ3AKE2RSWFE5I525OEPA.3.rtf</w:t>
    </w:r>
    <w:r>
      <w:rPr>
        <w:sz w:val="16"/>
        <w:lang w:val="en-US"/>
      </w:rPr>
      <w:fldChar w:fldCharType="end"/>
    </w:r>
    <w:r>
      <mc:AlternateContent>
        <mc:Choice Requires="wps">
          <w:drawing>
            <wp:anchor behindDoc="0" distT="0" distB="0" distL="0" distR="0" simplePos="0" locked="0" layoutInCell="0" allowOverlap="1" relativeHeight="30">
              <wp:simplePos x="0" y="0"/>
              <wp:positionH relativeFrom="column">
                <wp:posOffset>0</wp:posOffset>
              </wp:positionH>
              <wp:positionV relativeFrom="paragraph">
                <wp:posOffset>635</wp:posOffset>
              </wp:positionV>
              <wp:extent cx="6401435" cy="175260"/>
              <wp:effectExtent l="0" t="0" r="0" b="0"/>
              <wp:wrapTopAndBottom/>
              <wp:docPr id="2" name="Frame1"/>
              <a:graphic xmlns:a="http://schemas.openxmlformats.org/drawingml/2006/main">
                <a:graphicData uri="http://schemas.microsoft.com/office/word/2010/wordprocessingShape">
                  <wps:wsp>
                    <wps:cNvSpPr txBox="1"/>
                    <wps:spPr>
                      <a:xfrm>
                        <a:off x="0" y="0"/>
                        <a:ext cx="64014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33</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504.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33</w:t>
                    </w:r>
                    <w:r>
                      <w:rPr>
                        <w:lang w:val="en-US"/>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3.209161.FL5APZNZUMSCPQ3AKE2RSWFE5I525OEPA.3.rtf</w:t>
    </w:r>
    <w:r>
      <w:rPr>
        <w:sz w:val="16"/>
        <w:lang w:val="en-US"/>
      </w:rPr>
      <w:fldChar w:fldCharType="end"/>
    </w:r>
    <w:r>
      <mc:AlternateContent>
        <mc:Choice Requires="wps">
          <w:drawing>
            <wp:anchor behindDoc="0" distT="0" distB="0" distL="0" distR="0" simplePos="0" locked="0" layoutInCell="0" allowOverlap="1" relativeHeight="34">
              <wp:simplePos x="0" y="0"/>
              <wp:positionH relativeFrom="column">
                <wp:posOffset>0</wp:posOffset>
              </wp:positionH>
              <wp:positionV relativeFrom="paragraph">
                <wp:posOffset>635</wp:posOffset>
              </wp:positionV>
              <wp:extent cx="6401435" cy="175260"/>
              <wp:effectExtent l="0" t="0" r="0" b="0"/>
              <wp:wrapTopAndBottom/>
              <wp:docPr id="3" name="Frame2"/>
              <a:graphic xmlns:a="http://schemas.openxmlformats.org/drawingml/2006/main">
                <a:graphicData uri="http://schemas.microsoft.com/office/word/2010/wordprocessingShape">
                  <wps:wsp>
                    <wps:cNvSpPr txBox="1"/>
                    <wps:spPr>
                      <a:xfrm>
                        <a:off x="0" y="0"/>
                        <a:ext cx="64014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37</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504.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37</w:t>
                    </w:r>
                    <w:r>
                      <w:rPr>
                        <w:lang w:val="en-US"/>
                      </w:rPr>
                      <w:fldChar w:fldCharType="end"/>
                    </w:r>
                    <w:r>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3.209161.FL5APZNZUMSCPQ3AKE2RSWFE5I525OEPA.3.rtf</w:t>
    </w:r>
    <w:r>
      <w:rPr>
        <w:sz w:val="16"/>
        <w:lang w:val="en-US"/>
      </w:rPr>
      <w:fldChar w:fldCharType="end"/>
    </w:r>
    <w:r>
      <mc:AlternateContent>
        <mc:Choice Requires="wps">
          <w:drawing>
            <wp:anchor behindDoc="0" distT="0" distB="0" distL="0" distR="0" simplePos="0" locked="0" layoutInCell="0" allowOverlap="1" relativeHeight="38">
              <wp:simplePos x="0" y="0"/>
              <wp:positionH relativeFrom="column">
                <wp:posOffset>0</wp:posOffset>
              </wp:positionH>
              <wp:positionV relativeFrom="paragraph">
                <wp:posOffset>635</wp:posOffset>
              </wp:positionV>
              <wp:extent cx="6401435" cy="175260"/>
              <wp:effectExtent l="0" t="0" r="0" b="0"/>
              <wp:wrapTopAndBottom/>
              <wp:docPr id="4" name="Frame3"/>
              <a:graphic xmlns:a="http://schemas.openxmlformats.org/drawingml/2006/main">
                <a:graphicData uri="http://schemas.microsoft.com/office/word/2010/wordprocessingShape">
                  <wps:wsp>
                    <wps:cNvSpPr txBox="1"/>
                    <wps:spPr>
                      <a:xfrm>
                        <a:off x="0" y="0"/>
                        <a:ext cx="64014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41</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504.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41</w:t>
                    </w:r>
                    <w:r>
                      <w:rPr>
                        <w:lang w:val="en-US"/>
                      </w:rPr>
                      <w:fldChar w:fldCharType="end"/>
                    </w:r>
                    <w:r>
                      <w:rPr/>
                      <w:t>-</w:t>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t>Cite the state enabling and other relevant statutes applicable to Governmental Entity.</w:t>
      </w:r>
    </w:p>
  </w:footnote>
  <w:footnote w:id="3">
    <w:p>
      <w:pPr>
        <w:pStyle w:val="FootnoteText"/>
        <w:bidi w:val="0"/>
        <w:jc w:val="start"/>
        <w:rPr/>
      </w:pPr>
      <w:r>
        <w:rPr>
          <w:rStyle w:val="FootnoteCharacters"/>
        </w:rPr>
        <w:footnoteRef/>
      </w:r>
      <w:r>
        <w:rPr/>
        <w:t>Insert relevant state for Governmental Entity.</w:t>
      </w:r>
    </w:p>
  </w:footnote>
</w:footnotes>
</file>

<file path=word/settings.xml><?xml version="1.0" encoding="utf-8"?>
<w:settings xmlns:w="http://schemas.openxmlformats.org/wordprocessingml/2006/main">
  <w:zoom w:percent="100"/>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notes" Target="footnotes.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16621</Words>
  <Characters>116351</Characters>
  <CharactersWithSpaces>94743</CharactersWithSpaces>
  <Company>Edison Electric Institute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1999-09-13T17:13:00Z</dcterms:created>
  <dc:creator>Andrew S. Katz</dc:creator>
  <dc:description/>
  <dc:language>en-US</dc:language>
  <cp:lastModifiedBy/>
  <dcterms:modified xsi:type="dcterms:W3CDTF">1999-09-13T17:13:00Z</dcterms:modified>
  <cp:revision>2</cp:revision>
  <dc:subject/>
  <dc:title>This redlined draft, generated by CompareRite (TM) - The Instant Redliner, shows the differences between -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