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344" w:leader="none"/>
          <w:tab w:val="left" w:pos="5106" w:leader="none"/>
          <w:tab w:val="left" w:pos="7254" w:leader="none"/>
        </w:tabs>
        <w:spacing w:lineRule="exact" w:line="240"/>
        <w:jc w:val="center"/>
        <w:rPr>
          <w:rFonts w:ascii="Times New Roman" w:hAnsi="Times New Roman" w:cs="Times New Roman"/>
          <w:b/>
          <w:sz w:val="24"/>
        </w:rPr>
      </w:pPr>
      <w:r>
        <w:rPr>
          <w:rFonts w:cs="Times New Roman" w:ascii="Times New Roman" w:hAnsi="Times New Roman"/>
          <w:b/>
          <w:sz w:val="24"/>
        </w:rPr>
        <w:t>Enron Wholesale Services - Legal Department</w:t>
      </w:r>
    </w:p>
    <w:p>
      <w:pPr>
        <w:pStyle w:val="Heading3"/>
        <w:spacing w:lineRule="exact" w:line="240"/>
        <w:ind w:hanging="0" w:start="0"/>
        <w:rPr/>
      </w:pPr>
      <w:r>
        <w:rPr/>
        <w:t>Monthly Report</w:t>
      </w:r>
    </w:p>
    <w:p>
      <w:pPr>
        <w:pStyle w:val="Heading3"/>
        <w:spacing w:lineRule="exact" w:line="240"/>
        <w:ind w:hanging="0" w:start="0"/>
        <w:rPr/>
      </w:pPr>
      <w:r>
        <w:rPr/>
        <w:t>April, 2001</w:t>
      </w:r>
    </w:p>
    <w:p>
      <w:pPr>
        <w:pStyle w:val="Normal"/>
        <w:widowControl/>
        <w:tabs>
          <w:tab w:val="clear" w:pos="720"/>
          <w:tab w:val="left" w:pos="1344" w:leader="none"/>
          <w:tab w:val="left" w:pos="5106" w:leader="none"/>
          <w:tab w:val="left" w:pos="7254" w:leader="none"/>
        </w:tabs>
        <w:spacing w:lineRule="exact" w:line="240"/>
        <w:jc w:val="center"/>
        <w:rPr>
          <w:rFonts w:ascii="Times New Roman" w:hAnsi="Times New Roman" w:cs="Times New Roman"/>
          <w:sz w:val="22"/>
        </w:rPr>
      </w:pPr>
      <w:r>
        <w:rPr>
          <w:rFonts w:cs="Times New Roman" w:ascii="Times New Roman" w:hAnsi="Times New Roman"/>
          <w:sz w:val="22"/>
        </w:rPr>
      </w:r>
    </w:p>
    <w:p>
      <w:pPr>
        <w:pStyle w:val="Heading3"/>
        <w:spacing w:lineRule="exact" w:line="240"/>
        <w:ind w:hanging="0" w:start="0"/>
        <w:rPr/>
      </w:pPr>
      <w:r>
        <w:rPr/>
        <w:t>Significant Transactions/Matters</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18"/>
        </w:rPr>
      </w:pPr>
      <w:r>
        <w:rPr>
          <w:rFonts w:cs="Times New Roman" w:ascii="Times New Roman" w:hAnsi="Times New Roman"/>
          <w:sz w:val="18"/>
        </w:rPr>
      </w:r>
    </w:p>
    <w:p>
      <w:pPr>
        <w:pStyle w:val="BodyText3"/>
        <w:rPr/>
      </w:pPr>
      <w:r>
        <w:rPr/>
        <w:t>This report summarizes current significant legal activities of ENA as of April 15, 2001.  The report does not attempt to list all transactions or include reference to on-going projects or maintenance of completed transactions.  Additional and more detailed information is available on request.</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TRADING</w:t>
      </w:r>
    </w:p>
    <w:p>
      <w:pPr>
        <w:pStyle w:val="Heading5"/>
        <w:keepNext w:val="false"/>
        <w:ind w:hanging="0" w:start="0"/>
        <w:rPr/>
      </w:pPr>
      <w:r>
        <w:rPr>
          <w:u w:val="none"/>
        </w:rPr>
        <w:tab/>
      </w:r>
      <w:r>
        <w:rPr/>
        <w:t>Houston</w:t>
      </w:r>
    </w:p>
    <w:p>
      <w:pPr>
        <w:pStyle w:val="Normal"/>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Power Contract Revision Project</w:t>
      </w:r>
    </w:p>
    <w:p>
      <w:pPr>
        <w:pStyle w:val="Normal"/>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Kevin Presto/Elizabeth Sager</w:t>
      </w:r>
    </w:p>
    <w:p>
      <w:pPr>
        <w:pStyle w:val="Normal"/>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w:t>
        <w:tab/>
        <w:t>Update:</w:t>
        <w:tab/>
        <w:t>EPMI reviewing certain high exposure power contracts for revision and conversion to EEI</w:t>
      </w:r>
    </w:p>
    <w:p>
      <w:pPr>
        <w:pStyle w:val="Normal"/>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Gas Contract Revision Project</w:t>
      </w:r>
    </w:p>
    <w:p>
      <w:pPr>
        <w:pStyle w:val="Normal"/>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 xml:space="preserve">John Lavorato/Jeff Hodge/Stacy Dickson </w:t>
      </w:r>
    </w:p>
    <w:p>
      <w:pPr>
        <w:pStyle w:val="Normal"/>
        <w:tabs>
          <w:tab w:val="clear" w:pos="720"/>
          <w:tab w:val="left" w:pos="1260" w:leader="none"/>
          <w:tab w:val="left" w:pos="1440" w:leader="none"/>
        </w:tabs>
        <w:ind w:start="1080" w:end="0"/>
        <w:jc w:val="both"/>
        <w:rPr>
          <w:rFonts w:ascii="Times New Roman" w:hAnsi="Times New Roman" w:cs="Times New Roman"/>
        </w:rPr>
      </w:pPr>
      <w:r>
        <w:rPr>
          <w:rFonts w:cs="Times New Roman" w:ascii="Times New Roman" w:hAnsi="Times New Roman"/>
        </w:rPr>
        <w:t>-</w:t>
        <w:tab/>
        <w:t>Update:</w:t>
        <w:tab/>
        <w:t>ENA reviewing certain high volume trading contracts for possible revision</w:t>
      </w:r>
    </w:p>
    <w:p>
      <w:pPr>
        <w:pStyle w:val="Normal"/>
        <w:numPr>
          <w:ilvl w:val="0"/>
          <w:numId w:val="4"/>
        </w:numPr>
        <w:tabs>
          <w:tab w:val="clear" w:pos="720"/>
          <w:tab w:val="left" w:pos="1080" w:leader="none"/>
        </w:tabs>
        <w:spacing w:before="120" w:after="0"/>
        <w:ind w:hanging="0" w:start="720" w:end="0"/>
        <w:jc w:val="both"/>
        <w:rPr>
          <w:rFonts w:ascii="Times New Roman" w:hAnsi="Times New Roman" w:cs="Times New Roman"/>
        </w:rPr>
      </w:pPr>
      <w:r>
        <w:rPr>
          <w:rFonts w:cs="Times New Roman" w:ascii="Times New Roman" w:hAnsi="Times New Roman"/>
        </w:rPr>
        <w:t>Duke Energy LNG Sales, Inc.</w:t>
      </w:r>
    </w:p>
    <w:p>
      <w:pPr>
        <w:pStyle w:val="Normal"/>
        <w:tabs>
          <w:tab w:val="clear" w:pos="720"/>
          <w:tab w:val="left" w:pos="1260" w:leader="none"/>
        </w:tabs>
        <w:ind w:start="1080" w:end="0"/>
        <w:jc w:val="both"/>
        <w:rPr>
          <w:rFonts w:ascii="Times New Roman" w:hAnsi="Times New Roman" w:cs="Times New Roman"/>
        </w:rPr>
      </w:pPr>
      <w:r>
        <w:rPr>
          <w:rFonts w:cs="Times New Roman" w:ascii="Times New Roman" w:hAnsi="Times New Roman"/>
        </w:rPr>
        <w:t>-</w:t>
        <w:tab/>
        <w:t>Brian Redmond/Jeff Hodge/Richard Sanders (Susman &amp; Godfrey)</w:t>
      </w:r>
    </w:p>
    <w:p>
      <w:pPr>
        <w:pStyle w:val="Normal"/>
        <w:tabs>
          <w:tab w:val="clear" w:pos="720"/>
          <w:tab w:val="left" w:pos="1260" w:leader="none"/>
          <w:tab w:val="left" w:pos="1440" w:leader="none"/>
        </w:tabs>
        <w:ind w:start="1080" w:end="0"/>
        <w:jc w:val="both"/>
        <w:rPr>
          <w:rFonts w:ascii="Times New Roman" w:hAnsi="Times New Roman" w:cs="Times New Roman"/>
        </w:rPr>
      </w:pPr>
      <w:r>
        <w:rPr>
          <w:rFonts w:cs="Times New Roman" w:ascii="Times New Roman" w:hAnsi="Times New Roman"/>
        </w:rPr>
        <w:t>-</w:t>
        <w:tab/>
        <w:t>Update:</w:t>
        <w:tab/>
        <w:t>Arbitration on price redetermination has been scheduled for mid-August</w:t>
      </w:r>
    </w:p>
    <w:p>
      <w:pPr>
        <w:pStyle w:val="Normal"/>
        <w:numPr>
          <w:ilvl w:val="0"/>
          <w:numId w:val="4"/>
        </w:numPr>
        <w:tabs>
          <w:tab w:val="clear" w:pos="720"/>
          <w:tab w:val="left" w:pos="1080" w:leader="none"/>
        </w:tabs>
        <w:spacing w:lineRule="exact" w:line="230" w:before="120" w:after="0"/>
        <w:ind w:hanging="0" w:start="720" w:end="0"/>
        <w:jc w:val="both"/>
        <w:rPr>
          <w:rFonts w:ascii="Times New Roman" w:hAnsi="Times New Roman" w:cs="Times New Roman"/>
        </w:rPr>
      </w:pPr>
      <w:r>
        <w:rPr>
          <w:rFonts w:cs="Times New Roman" w:ascii="Times New Roman" w:hAnsi="Times New Roman"/>
        </w:rPr>
        <w:t>Allegheny Tolling</w:t>
      </w:r>
    </w:p>
    <w:p>
      <w:pPr>
        <w:pStyle w:val="Normal"/>
        <w:numPr>
          <w:ilvl w:val="0"/>
          <w:numId w:val="12"/>
        </w:numPr>
        <w:tabs>
          <w:tab w:val="clear" w:pos="720"/>
          <w:tab w:val="left" w:pos="1260" w:leader="none"/>
        </w:tabs>
        <w:spacing w:lineRule="exact" w:line="230"/>
        <w:jc w:val="both"/>
        <w:rPr>
          <w:rFonts w:ascii="Times New Roman" w:hAnsi="Times New Roman" w:cs="Times New Roman"/>
        </w:rPr>
      </w:pPr>
      <w:r>
        <w:rPr>
          <w:rFonts w:cs="Times New Roman" w:ascii="Times New Roman" w:hAnsi="Times New Roman"/>
        </w:rPr>
        <w:t>Marcus Nettleton/Dale Rasmussen/Elizabeth Sager</w:t>
      </w:r>
    </w:p>
    <w:p>
      <w:pPr>
        <w:pStyle w:val="Normal"/>
        <w:numPr>
          <w:ilvl w:val="0"/>
          <w:numId w:val="12"/>
        </w:numPr>
        <w:tabs>
          <w:tab w:val="clear" w:pos="720"/>
          <w:tab w:val="left" w:pos="1260" w:leader="none"/>
          <w:tab w:val="left" w:pos="2160" w:leader="none"/>
        </w:tabs>
        <w:spacing w:lineRule="exact" w:line="230"/>
        <w:ind w:hanging="1080" w:start="2160" w:end="0"/>
        <w:jc w:val="both"/>
        <w:rPr>
          <w:rFonts w:ascii="Times New Roman" w:hAnsi="Times New Roman" w:cs="Times New Roman"/>
        </w:rPr>
      </w:pPr>
      <w:r>
        <w:rPr>
          <w:rFonts w:cs="Times New Roman" w:ascii="Times New Roman" w:hAnsi="Times New Roman"/>
        </w:rPr>
        <w:t>Update:</w:t>
        <w:tab/>
        <w:t>EPMI is negotiating a long-term tolling arrangement involving the El Paso facility</w:t>
      </w:r>
    </w:p>
    <w:p>
      <w:pPr>
        <w:pStyle w:val="Normal"/>
        <w:numPr>
          <w:ilvl w:val="0"/>
          <w:numId w:val="4"/>
        </w:numPr>
        <w:tabs>
          <w:tab w:val="clear" w:pos="720"/>
          <w:tab w:val="left" w:pos="1080" w:leader="none"/>
        </w:tabs>
        <w:spacing w:lineRule="exact" w:line="230" w:before="120" w:after="0"/>
        <w:ind w:hanging="0" w:start="720" w:end="0"/>
        <w:jc w:val="both"/>
        <w:rPr>
          <w:rFonts w:ascii="Times New Roman" w:hAnsi="Times New Roman" w:cs="Times New Roman"/>
        </w:rPr>
      </w:pPr>
      <w:r>
        <w:rPr>
          <w:rFonts w:cs="Times New Roman" w:ascii="Times New Roman" w:hAnsi="Times New Roman"/>
        </w:rPr>
        <w:t>Scheduling Services</w:t>
      </w:r>
    </w:p>
    <w:p>
      <w:pPr>
        <w:pStyle w:val="Normal"/>
        <w:numPr>
          <w:ilvl w:val="0"/>
          <w:numId w:val="12"/>
        </w:numPr>
        <w:tabs>
          <w:tab w:val="clear" w:pos="720"/>
          <w:tab w:val="left" w:pos="1260" w:leader="none"/>
        </w:tabs>
        <w:spacing w:lineRule="exact" w:line="230"/>
        <w:jc w:val="both"/>
        <w:rPr>
          <w:rFonts w:ascii="Times New Roman" w:hAnsi="Times New Roman" w:cs="Times New Roman"/>
        </w:rPr>
      </w:pPr>
      <w:r>
        <w:rPr>
          <w:rFonts w:cs="Times New Roman" w:ascii="Times New Roman" w:hAnsi="Times New Roman"/>
        </w:rPr>
        <w:t>David Portz</w:t>
      </w:r>
    </w:p>
    <w:p>
      <w:pPr>
        <w:pStyle w:val="Normal"/>
        <w:numPr>
          <w:ilvl w:val="0"/>
          <w:numId w:val="12"/>
        </w:numPr>
        <w:tabs>
          <w:tab w:val="clear" w:pos="720"/>
          <w:tab w:val="left" w:pos="1260" w:leader="none"/>
          <w:tab w:val="left" w:pos="2160" w:leader="none"/>
        </w:tabs>
        <w:spacing w:lineRule="exact" w:line="230"/>
        <w:ind w:hanging="1080" w:start="2160" w:end="0"/>
        <w:jc w:val="both"/>
        <w:rPr>
          <w:rFonts w:ascii="Times New Roman" w:hAnsi="Times New Roman" w:cs="Times New Roman"/>
        </w:rPr>
      </w:pPr>
      <w:r>
        <w:rPr>
          <w:rFonts w:cs="Times New Roman" w:ascii="Times New Roman" w:hAnsi="Times New Roman"/>
        </w:rPr>
        <w:t>Update:</w:t>
        <w:tab/>
        <w:t>EPMI is attempting to secure multiple agreements to provide scheduling services in Texas as market opens up</w:t>
      </w:r>
    </w:p>
    <w:p>
      <w:pPr>
        <w:pStyle w:val="Heading5"/>
        <w:keepNext w:val="false"/>
        <w:spacing w:lineRule="exact" w:line="230" w:before="120" w:after="0"/>
        <w:ind w:hanging="0" w:start="0"/>
        <w:rPr/>
      </w:pPr>
      <w:r>
        <w:rPr>
          <w:u w:val="none"/>
        </w:rPr>
        <w:tab/>
      </w:r>
      <w:r>
        <w:rPr/>
        <w:t>Financial</w:t>
      </w:r>
    </w:p>
    <w:p>
      <w:pPr>
        <w:pStyle w:val="Normal"/>
        <w:numPr>
          <w:ilvl w:val="0"/>
          <w:numId w:val="11"/>
        </w:numPr>
        <w:tabs>
          <w:tab w:val="clear" w:pos="720"/>
        </w:tabs>
        <w:spacing w:lineRule="exact" w:line="230" w:before="120" w:after="0"/>
        <w:ind w:hanging="360" w:start="1080" w:end="0"/>
        <w:jc w:val="both"/>
        <w:rPr>
          <w:rFonts w:ascii="Times New Roman" w:hAnsi="Times New Roman" w:cs="Times New Roman"/>
        </w:rPr>
      </w:pPr>
      <w:r>
        <w:rPr>
          <w:rFonts w:cs="Times New Roman" w:ascii="Times New Roman" w:hAnsi="Times New Roman"/>
        </w:rPr>
        <w:t xml:space="preserve">Trade Credit Exposure </w:t>
      </w:r>
    </w:p>
    <w:p>
      <w:pPr>
        <w:pStyle w:val="Normal"/>
        <w:tabs>
          <w:tab w:val="clear" w:pos="720"/>
          <w:tab w:val="left" w:pos="1260" w:leader="none"/>
        </w:tabs>
        <w:spacing w:lineRule="exact" w:line="230"/>
        <w:ind w:hanging="1080" w:start="2160" w:end="0"/>
        <w:rPr>
          <w:rFonts w:ascii="Times New Roman" w:hAnsi="Times New Roman" w:cs="Times New Roman"/>
        </w:rPr>
      </w:pPr>
      <w:r>
        <w:rPr>
          <w:rFonts w:cs="Times New Roman" w:ascii="Times New Roman" w:hAnsi="Times New Roman"/>
        </w:rPr>
        <w:t>-</w:t>
        <w:tab/>
        <w:t>Bill Bradford/Sara Shackleton/Mary Cook (Cadwalder, Wickersham &amp;Taft)</w:t>
      </w:r>
    </w:p>
    <w:p>
      <w:pPr>
        <w:pStyle w:val="EndnoteText"/>
        <w:numPr>
          <w:ilvl w:val="1"/>
          <w:numId w:val="11"/>
        </w:numPr>
        <w:tabs>
          <w:tab w:val="clear" w:pos="720"/>
          <w:tab w:val="left" w:pos="1260" w:leader="none"/>
        </w:tabs>
        <w:spacing w:lineRule="exact" w:line="230"/>
        <w:ind w:hanging="1080" w:start="2160" w:end="0"/>
        <w:jc w:val="both"/>
        <w:rPr>
          <w:rFonts w:ascii="Times New Roman" w:hAnsi="Times New Roman" w:cs="Times New Roman"/>
        </w:rPr>
      </w:pPr>
      <w:r>
        <w:rPr>
          <w:rFonts w:cs="Times New Roman" w:ascii="Times New Roman" w:hAnsi="Times New Roman"/>
        </w:rPr>
        <w:t>Update:</w:t>
        <w:tab/>
        <w:t>Research regarding various methods available to minimize credit exposure and margin calls including cross-product, cross-entity and triangular netting and set-off arrangements</w:t>
      </w:r>
    </w:p>
    <w:p>
      <w:pPr>
        <w:pStyle w:val="Normal"/>
        <w:numPr>
          <w:ilvl w:val="0"/>
          <w:numId w:val="11"/>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Commodity Exchange Act/CFTC</w:t>
      </w:r>
    </w:p>
    <w:p>
      <w:pPr>
        <w:pStyle w:val="Normal"/>
        <w:tabs>
          <w:tab w:val="clear" w:pos="720"/>
          <w:tab w:val="left" w:pos="1260" w:leader="none"/>
        </w:tabs>
        <w:spacing w:lineRule="exact" w:line="220"/>
        <w:ind w:hanging="1080" w:start="2160" w:end="0"/>
        <w:rPr>
          <w:rFonts w:ascii="Times New Roman" w:hAnsi="Times New Roman" w:cs="Times New Roman"/>
        </w:rPr>
      </w:pPr>
      <w:r>
        <w:rPr>
          <w:rFonts w:cs="Times New Roman" w:ascii="Times New Roman" w:hAnsi="Times New Roman"/>
        </w:rPr>
        <w:t>-</w:t>
        <w:tab/>
        <w:t>John Lavorato/Mark Haedicke/Mark Taylor (Sullivan &amp; Cromwell)</w:t>
      </w:r>
    </w:p>
    <w:p>
      <w:pPr>
        <w:pStyle w:val="EndnoteText"/>
        <w:numPr>
          <w:ilvl w:val="1"/>
          <w:numId w:val="11"/>
        </w:numPr>
        <w:tabs>
          <w:tab w:val="clear" w:pos="720"/>
          <w:tab w:val="left" w:pos="1260" w:leader="none"/>
        </w:tabs>
        <w:spacing w:lineRule="exact" w:line="220"/>
        <w:ind w:hanging="1080" w:start="2160" w:end="0"/>
        <w:jc w:val="both"/>
        <w:rPr>
          <w:rFonts w:ascii="Times New Roman" w:hAnsi="Times New Roman" w:cs="Times New Roman"/>
        </w:rPr>
      </w:pPr>
      <w:r>
        <w:rPr>
          <w:rFonts w:cs="Times New Roman" w:ascii="Times New Roman" w:hAnsi="Times New Roman"/>
        </w:rPr>
        <w:t>Update:</w:t>
        <w:tab/>
        <w:t>Commodity Futures Modernization Act signed into law in December.  Evaluating provisions of new law which should reduce regulation of OTC derivatives trading</w:t>
      </w:r>
    </w:p>
    <w:p>
      <w:pPr>
        <w:pStyle w:val="Normal"/>
        <w:numPr>
          <w:ilvl w:val="0"/>
          <w:numId w:val="11"/>
        </w:numPr>
        <w:tabs>
          <w:tab w:val="clear" w:pos="720"/>
        </w:tabs>
        <w:spacing w:lineRule="exact" w:line="220" w:before="120" w:after="0"/>
        <w:ind w:hanging="360" w:start="1080" w:end="0"/>
        <w:rPr>
          <w:rFonts w:ascii="Times New Roman" w:hAnsi="Times New Roman" w:cs="Times New Roman"/>
        </w:rPr>
      </w:pPr>
      <w:r>
        <w:rPr>
          <w:rFonts w:cs="Times New Roman" w:ascii="Times New Roman" w:hAnsi="Times New Roman"/>
        </w:rPr>
        <w:t>Agricultural Commodities Trading</w:t>
      </w:r>
    </w:p>
    <w:p>
      <w:pPr>
        <w:pStyle w:val="Normal"/>
        <w:tabs>
          <w:tab w:val="clear" w:pos="720"/>
          <w:tab w:val="left" w:pos="1260" w:leader="none"/>
        </w:tabs>
        <w:spacing w:lineRule="exact" w:line="220"/>
        <w:ind w:hanging="540" w:start="1620" w:end="0"/>
        <w:rPr>
          <w:rFonts w:ascii="Times New Roman" w:hAnsi="Times New Roman" w:cs="Times New Roman"/>
        </w:rPr>
      </w:pPr>
      <w:r>
        <w:rPr>
          <w:rFonts w:cs="Times New Roman" w:ascii="Times New Roman" w:hAnsi="Times New Roman"/>
        </w:rPr>
        <w:t>-</w:t>
        <w:tab/>
        <w:t>Gary Hickerson/Sara Shackleton/Robert Bruce</w:t>
      </w:r>
    </w:p>
    <w:p>
      <w:pPr>
        <w:pStyle w:val="EndnoteText"/>
        <w:numPr>
          <w:ilvl w:val="1"/>
          <w:numId w:val="11"/>
        </w:numPr>
        <w:tabs>
          <w:tab w:val="clear" w:pos="720"/>
          <w:tab w:val="left" w:pos="1260" w:leader="none"/>
        </w:tabs>
        <w:spacing w:lineRule="exact" w:line="220"/>
        <w:ind w:hanging="1080" w:start="2160" w:end="0"/>
        <w:rPr>
          <w:rFonts w:ascii="Times New Roman" w:hAnsi="Times New Roman" w:cs="Times New Roman"/>
        </w:rPr>
      </w:pPr>
      <w:r>
        <w:rPr>
          <w:rFonts w:cs="Times New Roman" w:ascii="Times New Roman" w:hAnsi="Times New Roman"/>
        </w:rPr>
        <w:t>Update:</w:t>
        <w:tab/>
        <w:t>Continuing research and client education regarding physical and financial trading of agricultural commodities</w:t>
      </w:r>
    </w:p>
    <w:p>
      <w:pPr>
        <w:pStyle w:val="Normal"/>
        <w:numPr>
          <w:ilvl w:val="0"/>
          <w:numId w:val="11"/>
        </w:numPr>
        <w:tabs>
          <w:tab w:val="clear" w:pos="720"/>
        </w:tabs>
        <w:spacing w:lineRule="exact" w:line="220" w:before="120" w:after="0"/>
        <w:ind w:hanging="360" w:start="1080" w:end="0"/>
        <w:jc w:val="both"/>
        <w:rPr>
          <w:rFonts w:ascii="Times New Roman" w:hAnsi="Times New Roman" w:cs="Times New Roman"/>
        </w:rPr>
      </w:pPr>
      <w:r>
        <w:rPr>
          <w:rFonts w:cs="Times New Roman" w:ascii="Times New Roman" w:hAnsi="Times New Roman"/>
        </w:rPr>
        <w:t>Enron Corp. ISDA Master Agreements</w:t>
      </w:r>
    </w:p>
    <w:p>
      <w:pPr>
        <w:pStyle w:val="Normal"/>
        <w:tabs>
          <w:tab w:val="clear" w:pos="720"/>
          <w:tab w:val="left" w:pos="1260" w:leader="none"/>
        </w:tabs>
        <w:spacing w:lineRule="exact" w:line="220"/>
        <w:ind w:hanging="1080" w:start="2160" w:end="0"/>
        <w:rPr>
          <w:rFonts w:ascii="Times New Roman" w:hAnsi="Times New Roman" w:cs="Times New Roman"/>
        </w:rPr>
      </w:pPr>
      <w:r>
        <w:rPr>
          <w:rFonts w:cs="Times New Roman" w:ascii="Times New Roman" w:hAnsi="Times New Roman"/>
        </w:rPr>
        <w:t>-</w:t>
        <w:tab/>
        <w:t>Clint Freel/Sara Shackleton</w:t>
      </w:r>
    </w:p>
    <w:p>
      <w:pPr>
        <w:pStyle w:val="EndnoteText"/>
        <w:numPr>
          <w:ilvl w:val="1"/>
          <w:numId w:val="11"/>
        </w:numPr>
        <w:tabs>
          <w:tab w:val="clear" w:pos="720"/>
          <w:tab w:val="left" w:pos="1260" w:leader="none"/>
        </w:tabs>
        <w:spacing w:lineRule="exact" w:line="220"/>
        <w:ind w:hanging="1080" w:start="2160" w:end="0"/>
        <w:jc w:val="both"/>
        <w:rPr>
          <w:rFonts w:ascii="Times New Roman" w:hAnsi="Times New Roman" w:cs="Times New Roman"/>
        </w:rPr>
      </w:pPr>
      <w:r>
        <w:rPr>
          <w:rFonts w:cs="Times New Roman" w:ascii="Times New Roman" w:hAnsi="Times New Roman"/>
        </w:rPr>
        <w:t>Update:</w:t>
        <w:tab/>
        <w:t>Negotiation of ISDA Master Agreements with several counterparties to cover hedge transactions on Enron Corp. stock</w:t>
      </w:r>
    </w:p>
    <w:p>
      <w:pPr>
        <w:pStyle w:val="Heading5"/>
        <w:keepNext w:val="false"/>
        <w:spacing w:before="120" w:after="0"/>
        <w:ind w:hanging="0" w:start="0"/>
        <w:jc w:val="both"/>
        <w:rPr/>
      </w:pPr>
      <w:r>
        <w:rPr>
          <w:u w:val="none"/>
        </w:rPr>
        <w:tab/>
      </w:r>
      <w:r>
        <w:rPr/>
        <w:t>Portland</w:t>
      </w:r>
    </w:p>
    <w:p>
      <w:pPr>
        <w:pStyle w:val="Normal"/>
        <w:numPr>
          <w:ilvl w:val="0"/>
          <w:numId w:val="6"/>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BPA</w:t>
      </w:r>
    </w:p>
    <w:p>
      <w:pPr>
        <w:pStyle w:val="Normal"/>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Christian Yoder//Richard Sanders</w:t>
      </w:r>
    </w:p>
    <w:p>
      <w:pPr>
        <w:pStyle w:val="EndnoteText"/>
        <w:numPr>
          <w:ilvl w:val="1"/>
          <w:numId w:val="11"/>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BPA has indicated that it may not perform on a long-term contract it entered into with EPMI in 1997.  BPA claims the contract was contingent on EPMI serving Fort James (James River), which contract with Fort James has been terminated; received letter from Clatskanie that supports our position.  ENA Legal also reviewing our overall trading position with BPA in order to prepare for possible non-performance by BPA</w:t>
      </w:r>
    </w:p>
    <w:p>
      <w:pPr>
        <w:pStyle w:val="EndnoteText"/>
        <w:tabs>
          <w:tab w:val="clear" w:pos="720"/>
          <w:tab w:val="left" w:pos="1260" w:leader="none"/>
        </w:tabs>
        <w:ind w:start="1080" w:end="0"/>
        <w:jc w:val="both"/>
        <w:rPr>
          <w:rFonts w:ascii="Times New Roman" w:hAnsi="Times New Roman" w:cs="Times New Roman"/>
        </w:rPr>
      </w:pPr>
      <w:r>
        <w:rPr>
          <w:rFonts w:cs="Times New Roman" w:ascii="Times New Roman" w:hAnsi="Times New Roman"/>
        </w:rPr>
      </w:r>
    </w:p>
    <w:p>
      <w:pPr>
        <w:pStyle w:val="Normal"/>
        <w:numPr>
          <w:ilvl w:val="0"/>
          <w:numId w:val="6"/>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California Activities</w:t>
      </w:r>
    </w:p>
    <w:p>
      <w:pPr>
        <w:pStyle w:val="Normal"/>
        <w:tabs>
          <w:tab w:val="clear" w:pos="720"/>
          <w:tab w:val="left" w:pos="1260" w:leader="none"/>
        </w:tabs>
        <w:ind w:hanging="540" w:start="1620" w:end="0"/>
        <w:jc w:val="both"/>
        <w:rPr>
          <w:rFonts w:ascii="Times New Roman" w:hAnsi="Times New Roman" w:cs="Times New Roman"/>
        </w:rPr>
      </w:pPr>
      <w:r>
        <w:rPr>
          <w:rFonts w:cs="Times New Roman" w:ascii="Times New Roman" w:hAnsi="Times New Roman"/>
        </w:rPr>
        <w:t>-</w:t>
        <w:tab/>
        <w:t>Christian Yoder/Steve Hall/Elizabeth Sager/Richard Sanders</w:t>
      </w:r>
    </w:p>
    <w:p>
      <w:pPr>
        <w:pStyle w:val="EndnoteText"/>
        <w:numPr>
          <w:ilvl w:val="1"/>
          <w:numId w:val="11"/>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Working to review/assess trading activities in California and to minimize exposures with California counterparties; preparing for possible trading activities in summer 2001</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NET WORKS</w:t>
      </w:r>
    </w:p>
    <w:p>
      <w:pPr>
        <w:pStyle w:val="BodyText"/>
        <w:widowControl/>
        <w:tabs>
          <w:tab w:val="clear" w:pos="720"/>
          <w:tab w:val="left" w:pos="1260" w:leader="none"/>
        </w:tabs>
        <w:spacing w:before="120" w:after="0"/>
        <w:ind w:hanging="360" w:start="1080" w:end="0"/>
        <w:rPr>
          <w:rFonts w:ascii="Times New Roman" w:hAnsi="Times New Roman" w:cs="Times New Roman"/>
        </w:rPr>
      </w:pPr>
      <w:r>
        <w:rPr>
          <w:rFonts w:cs="Times New Roman" w:ascii="Times New Roman" w:hAnsi="Times New Roman"/>
        </w:rPr>
        <w:t>1.</w:t>
        <w:tab/>
        <w:t>Enron Offline – Potential software sale or joint venture</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Greg Piper/Travis McCullough (Vinson &amp; Elkins)</w:t>
      </w:r>
    </w:p>
    <w:p>
      <w:pPr>
        <w:pStyle w:val="Normal"/>
        <w:widowControl/>
        <w:tabs>
          <w:tab w:val="clear" w:pos="720"/>
          <w:tab w:val="left" w:pos="1080" w:leader="none"/>
        </w:tabs>
        <w:ind w:hanging="360" w:start="1080" w:end="0"/>
        <w:jc w:val="both"/>
        <w:rPr>
          <w:rFonts w:ascii="Times New Roman" w:hAnsi="Times New Roman" w:cs="Times New Roman"/>
        </w:rPr>
      </w:pPr>
      <w:r>
        <w:rPr>
          <w:rFonts w:cs="Times New Roman" w:ascii="Times New Roman" w:hAnsi="Times New Roman"/>
        </w:rPr>
        <w:tab/>
        <w:t>- Update:</w:t>
        <w:tab/>
        <w:t>Various NDA’s negotiated</w:t>
      </w:r>
    </w:p>
    <w:p>
      <w:pPr>
        <w:pStyle w:val="BodyText"/>
        <w:widowControl/>
        <w:tabs>
          <w:tab w:val="clear" w:pos="720"/>
          <w:tab w:val="left" w:pos="1260" w:leader="none"/>
        </w:tabs>
        <w:spacing w:before="120" w:after="0"/>
        <w:ind w:hanging="360" w:start="1080" w:end="0"/>
        <w:rPr>
          <w:rFonts w:ascii="Times New Roman" w:hAnsi="Times New Roman" w:cs="Times New Roman"/>
        </w:rPr>
      </w:pPr>
      <w:r>
        <w:rPr>
          <w:rFonts w:cs="Times New Roman" w:ascii="Times New Roman" w:hAnsi="Times New Roman"/>
        </w:rPr>
        <w:t>2.</w:t>
        <w:tab/>
        <w:t>EC Outlook – Adding to our equity holdings in EC Outlook as part of a sale of our EDI Hub technology</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Robert George</w:t>
      </w:r>
    </w:p>
    <w:p>
      <w:pPr>
        <w:pStyle w:val="Normal"/>
        <w:widowControl/>
        <w:tabs>
          <w:tab w:val="clear" w:pos="720"/>
          <w:tab w:val="left" w:pos="1080" w:leader="none"/>
        </w:tabs>
        <w:ind w:hanging="360" w:start="1080" w:end="0"/>
        <w:jc w:val="both"/>
        <w:rPr>
          <w:rFonts w:ascii="Times New Roman" w:hAnsi="Times New Roman" w:cs="Times New Roman"/>
        </w:rPr>
      </w:pPr>
      <w:r>
        <w:rPr>
          <w:rFonts w:cs="Times New Roman" w:ascii="Times New Roman" w:hAnsi="Times New Roman"/>
        </w:rPr>
        <w:tab/>
        <w:t>- Update:</w:t>
        <w:tab/>
        <w:t>Closed 2/15/01</w:t>
      </w:r>
    </w:p>
    <w:p>
      <w:pPr>
        <w:pStyle w:val="Normal"/>
        <w:widowControl/>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3.</w:t>
        <w:tab/>
        <w:t>Commodity Logic</w:t>
      </w:r>
    </w:p>
    <w:p>
      <w:pPr>
        <w:pStyle w:val="Norma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Tom Gros/Mark Greenberg/Mark Taylor</w:t>
      </w:r>
    </w:p>
    <w:p>
      <w:pPr>
        <w:pStyle w:val="EndnoteText"/>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w:t>
        <w:tab/>
        <w:t>Update:</w:t>
        <w:tab/>
        <w:t>Preparation of agreements for various phases of an internet platform providing back office services to users</w:t>
      </w:r>
    </w:p>
    <w:p>
      <w:pPr>
        <w:pStyle w:val="Normal"/>
        <w:widowControl/>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4.</w:t>
        <w:tab/>
        <w:t>EnronOnline – North America</w:t>
      </w:r>
    </w:p>
    <w:p>
      <w:pPr>
        <w:pStyle w:val="Normal"/>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Andy Zipper/Mark Taylor/Mark Greenberg (Sullivan &amp; Cromwell)</w:t>
      </w:r>
    </w:p>
    <w:p>
      <w:pPr>
        <w:pStyle w:val="EndnoteText"/>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Preparation of agreements for broker access and posting products offered by non-Enron parties; negotiating exceptions to standard online forms and approving language and documentation for new products</w:t>
      </w:r>
    </w:p>
    <w:p>
      <w:pPr>
        <w:pStyle w:val="Normal"/>
        <w:widowControl/>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5.</w:t>
        <w:tab/>
        <w:t>Third Party Trading Platforms</w:t>
      </w:r>
    </w:p>
    <w:p>
      <w:pPr>
        <w:pStyle w:val="Normal"/>
        <w:numPr>
          <w:ilvl w:val="1"/>
          <w:numId w:val="11"/>
        </w:numPr>
        <w:tabs>
          <w:tab w:val="clear" w:pos="720"/>
          <w:tab w:val="left" w:pos="1260" w:leader="none"/>
        </w:tabs>
        <w:rPr>
          <w:rFonts w:ascii="Times New Roman" w:hAnsi="Times New Roman" w:cs="Times New Roman"/>
        </w:rPr>
      </w:pPr>
      <w:r>
        <w:rPr>
          <w:rFonts w:cs="Times New Roman" w:ascii="Times New Roman" w:hAnsi="Times New Roman"/>
        </w:rPr>
        <w:t>Travis McCullough/Mark Greenberg</w:t>
      </w:r>
    </w:p>
    <w:p>
      <w:pPr>
        <w:pStyle w:val="EndnoteText"/>
        <w:tabs>
          <w:tab w:val="clear" w:pos="720"/>
          <w:tab w:val="left" w:pos="1260" w:leader="none"/>
        </w:tabs>
        <w:ind w:hanging="1080" w:start="2160" w:end="0"/>
        <w:rPr>
          <w:rFonts w:ascii="Times New Roman" w:hAnsi="Times New Roman" w:cs="Times New Roman"/>
        </w:rPr>
      </w:pPr>
      <w:r>
        <w:rPr>
          <w:rFonts w:cs="Times New Roman" w:ascii="Times New Roman" w:hAnsi="Times New Roman"/>
        </w:rPr>
        <w:t>-</w:t>
        <w:tab/>
        <w:t>Update:</w:t>
        <w:tab/>
        <w:t>Legal and technical work associated with 1) Enron posting process on True Quote’s and Houston Streets electronic trading platforms and 2)Enron traders trading on third party platform for Enron’s account</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EAST ORIGINATION &amp; MEXICO</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New Jersey Natural Gas – Possible joint venture to develop fuel cell projects in NJNG service area</w:t>
      </w:r>
    </w:p>
    <w:p>
      <w:pPr>
        <w:pStyle w:val="BodyText"/>
        <w:widowControl/>
        <w:numPr>
          <w:ilvl w:val="1"/>
          <w:numId w:val="11"/>
        </w:numPr>
        <w:tabs>
          <w:tab w:val="clear" w:pos="720"/>
          <w:tab w:val="left" w:pos="1260" w:leader="none"/>
        </w:tabs>
        <w:rPr/>
      </w:pPr>
      <w:r>
        <w:rPr/>
        <w:t>Kay Mann</w:t>
      </w:r>
    </w:p>
    <w:p>
      <w:pPr>
        <w:pStyle w:val="BodyText"/>
        <w:widowControl/>
        <w:numPr>
          <w:ilvl w:val="1"/>
          <w:numId w:val="11"/>
        </w:numPr>
        <w:tabs>
          <w:tab w:val="clear" w:pos="720"/>
          <w:tab w:val="left" w:pos="1260" w:leader="none"/>
        </w:tabs>
        <w:rPr/>
      </w:pPr>
      <w:r>
        <w:rPr/>
        <w:t>Update:</w:t>
        <w:tab/>
        <w:t>Currently negotiating letter of intent</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Co Op City – Development of a small power generation facility for a housing complex in New York, with subsequent asset management responsibilities</w:t>
      </w:r>
    </w:p>
    <w:p>
      <w:pPr>
        <w:pStyle w:val="BodyText"/>
        <w:widowControl/>
        <w:numPr>
          <w:ilvl w:val="1"/>
          <w:numId w:val="11"/>
        </w:numPr>
        <w:tabs>
          <w:tab w:val="clear" w:pos="720"/>
          <w:tab w:val="left" w:pos="1260" w:leader="none"/>
        </w:tabs>
        <w:rPr/>
      </w:pPr>
      <w:r>
        <w:rPr/>
        <w:t>Kay Mann</w:t>
      </w:r>
    </w:p>
    <w:p>
      <w:pPr>
        <w:pStyle w:val="BodyText"/>
        <w:widowControl/>
        <w:numPr>
          <w:ilvl w:val="1"/>
          <w:numId w:val="11"/>
        </w:numPr>
        <w:tabs>
          <w:tab w:val="clear" w:pos="720"/>
          <w:tab w:val="left" w:pos="1260" w:leader="none"/>
        </w:tabs>
        <w:rPr/>
      </w:pPr>
      <w:r>
        <w:rPr/>
        <w:t>Update:</w:t>
        <w:tab/>
        <w:t>Currently negotiating term sheet</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PSEG – Sale of a development site in Illinois</w:t>
      </w:r>
    </w:p>
    <w:p>
      <w:pPr>
        <w:pStyle w:val="BodyText"/>
        <w:widowControl/>
        <w:numPr>
          <w:ilvl w:val="1"/>
          <w:numId w:val="11"/>
        </w:numPr>
        <w:tabs>
          <w:tab w:val="clear" w:pos="720"/>
          <w:tab w:val="left" w:pos="1260" w:leader="none"/>
        </w:tabs>
        <w:rPr/>
      </w:pPr>
      <w:r>
        <w:rPr/>
        <w:t>Carlos Solé</w:t>
      </w:r>
    </w:p>
    <w:p>
      <w:pPr>
        <w:pStyle w:val="BodyText"/>
        <w:widowControl/>
        <w:numPr>
          <w:ilvl w:val="1"/>
          <w:numId w:val="11"/>
        </w:numPr>
        <w:tabs>
          <w:tab w:val="clear" w:pos="720"/>
          <w:tab w:val="left" w:pos="1260" w:leader="none"/>
        </w:tabs>
        <w:rPr/>
      </w:pPr>
      <w:r>
        <w:rPr/>
        <w:t>Update:</w:t>
        <w:tab/>
        <w:t>Counterparty re-evaluating transaction; placed on hold</w:t>
      </w:r>
    </w:p>
    <w:p>
      <w:pPr>
        <w:pStyle w:val="Normal"/>
        <w:widowControl/>
        <w:numPr>
          <w:ilvl w:val="0"/>
          <w:numId w:val="5"/>
        </w:numPr>
        <w:tabs>
          <w:tab w:val="clear" w:pos="720"/>
          <w:tab w:val="left" w:pos="1080" w:leader="none"/>
        </w:tabs>
        <w:spacing w:before="120" w:after="0"/>
        <w:ind w:hanging="360" w:start="1080" w:end="0"/>
        <w:jc w:val="both"/>
        <w:rPr>
          <w:rFonts w:ascii="Times New Roman" w:hAnsi="Times New Roman" w:cs="Times New Roman"/>
        </w:rPr>
      </w:pPr>
      <w:r>
        <w:rPr>
          <w:rFonts w:cs="Times New Roman" w:ascii="Times New Roman" w:hAnsi="Times New Roman"/>
        </w:rPr>
        <w:t>Equity sell-down of 1999 and 2000 peakers power plants and 2001 development sites</w:t>
      </w:r>
    </w:p>
    <w:p>
      <w:pPr>
        <w:pStyle w:val="BodyText"/>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Stuart Zisman</w:t>
      </w:r>
    </w:p>
    <w:p>
      <w:pPr>
        <w:pStyle w:val="BodyText"/>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Purchase and sale Agreements for the peaker sales have been executed; closing anticipated for either end of Q1 or sometime in Q2</w:t>
      </w:r>
    </w:p>
    <w:p>
      <w:pPr>
        <w:pStyle w:val="Normal"/>
        <w:widowControl/>
        <w:numPr>
          <w:ilvl w:val="0"/>
          <w:numId w:val="5"/>
        </w:numPr>
        <w:tabs>
          <w:tab w:val="clear" w:pos="720"/>
          <w:tab w:val="left" w:pos="1080" w:leader="none"/>
        </w:tabs>
        <w:spacing w:before="120" w:after="0"/>
        <w:ind w:hanging="360" w:start="1080" w:end="0"/>
        <w:jc w:val="both"/>
        <w:rPr/>
      </w:pPr>
      <w:r>
        <w:rPr>
          <w:rFonts w:cs="Times New Roman" w:ascii="Times New Roman" w:hAnsi="Times New Roman"/>
        </w:rPr>
        <w:t>Fuel</w:t>
      </w:r>
      <w:r>
        <w:rPr/>
        <w:t xml:space="preserve"> Cell Joint Venture</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Kay Mann</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 xml:space="preserve">LOI with Connecticut Resource Recovery Authority in place; definitive agreements in progress; funding request submitted to State of Connecticut by CRRA </w:t>
      </w:r>
    </w:p>
    <w:p>
      <w:pPr>
        <w:pStyle w:val="Normal"/>
        <w:widowControl/>
        <w:tabs>
          <w:tab w:val="clear" w:pos="720"/>
          <w:tab w:val="left" w:pos="1080" w:leader="none"/>
        </w:tabs>
        <w:spacing w:before="120" w:after="0"/>
        <w:ind w:start="720" w:end="0"/>
        <w:jc w:val="both"/>
        <w:rPr>
          <w:rFonts w:ascii="Times New Roman" w:hAnsi="Times New Roman" w:cs="Times New Roman"/>
        </w:rPr>
      </w:pPr>
      <w:r>
        <w:rPr>
          <w:rFonts w:cs="Times New Roman" w:ascii="Times New Roman" w:hAnsi="Times New Roman"/>
        </w:rPr>
        <w:t>6.</w:t>
        <w:tab/>
        <w:t>Alamac – Disposition of two North Carolina 35W coal-fired power plants recently acquired (1/31/01) via equity purchase</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Steve Van Hooser/Stuart Zisman</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Currently in discussions with AIG</w:t>
      </w:r>
    </w:p>
    <w:p>
      <w:pPr>
        <w:pStyle w:val="BodyTextIndent"/>
        <w:spacing w:before="120" w:after="0"/>
        <w:rPr/>
      </w:pPr>
      <w:r>
        <w:rPr/>
        <w:t>7.</w:t>
        <w:tab/>
        <w:t>LIPA Power Barge Transaction – Sale of 66MW of capacity and power to Long Island Power Authority using the barge units</w:t>
      </w:r>
    </w:p>
    <w:p>
      <w:pPr>
        <w:pStyle w:val="BodyText"/>
        <w:widowControl/>
        <w:tabs>
          <w:tab w:val="clear" w:pos="720"/>
          <w:tab w:val="left" w:pos="450" w:leader="none"/>
          <w:tab w:val="left" w:pos="1260" w:leader="none"/>
        </w:tabs>
        <w:ind w:hanging="360" w:start="1440" w:end="0"/>
        <w:rPr>
          <w:rFonts w:ascii="Times New Roman" w:hAnsi="Times New Roman" w:cs="Times New Roman"/>
        </w:rPr>
      </w:pPr>
      <w:r>
        <w:rPr>
          <w:rFonts w:cs="Times New Roman" w:ascii="Times New Roman" w:hAnsi="Times New Roman"/>
        </w:rPr>
        <w:t>-</w:t>
        <w:tab/>
        <w:t>Steve Van Hooser</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Update:</w:t>
        <w:tab/>
        <w:t>Enron received threatening letter from LIPA Chairman in late February indicating disappointment with breakdown in PPA negotiations; discussions with LIPA ongoing for complete release in exchange for Enron’s withdrawing pending power development permit application on file with New York DEC</w:t>
      </w:r>
    </w:p>
    <w:p>
      <w:pPr>
        <w:pStyle w:val="Normal"/>
        <w:widowControl/>
        <w:tabs>
          <w:tab w:val="clear" w:pos="720"/>
          <w:tab w:val="left" w:pos="90" w:leader="none"/>
          <w:tab w:val="left" w:pos="1080" w:leader="none"/>
        </w:tabs>
        <w:spacing w:before="120" w:after="0"/>
        <w:ind w:start="720" w:end="0"/>
        <w:jc w:val="both"/>
        <w:rPr>
          <w:rFonts w:ascii="Times New Roman" w:hAnsi="Times New Roman" w:cs="Times New Roman"/>
        </w:rPr>
      </w:pPr>
      <w:r>
        <w:rPr>
          <w:rFonts w:cs="Times New Roman" w:ascii="Times New Roman" w:hAnsi="Times New Roman"/>
        </w:rPr>
        <w:t>8.</w:t>
        <w:tab/>
        <w:t>Delta Power-Sale of four GE turbines currently in Turbopark</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Carlos Solé /Kay Mann</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Executed initial definitive agreement with potential buyer and finalizing closing documents</w:t>
      </w:r>
    </w:p>
    <w:p>
      <w:pPr>
        <w:pStyle w:val="Normal"/>
        <w:widowControl/>
        <w:tabs>
          <w:tab w:val="clear" w:pos="720"/>
          <w:tab w:val="left" w:pos="1080" w:leader="none"/>
        </w:tabs>
        <w:spacing w:before="120" w:after="0"/>
        <w:ind w:start="720" w:end="0"/>
        <w:jc w:val="both"/>
        <w:rPr>
          <w:rFonts w:ascii="Times New Roman" w:hAnsi="Times New Roman" w:cs="Times New Roman"/>
        </w:rPr>
      </w:pPr>
      <w:r>
        <w:rPr>
          <w:rFonts w:cs="Times New Roman" w:ascii="Times New Roman" w:hAnsi="Times New Roman"/>
        </w:rPr>
        <w:t>9.</w:t>
        <w:tab/>
        <w:t>Onondaga-Sale of cash flow interest from cogeneration project</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Carlos Solé</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Identifying potential buyers and executing confidentiality agreements</w:t>
      </w:r>
    </w:p>
    <w:p>
      <w:pPr>
        <w:pStyle w:val="Normal"/>
        <w:widowControl/>
        <w:tabs>
          <w:tab w:val="clear" w:pos="720"/>
          <w:tab w:val="left" w:pos="1080" w:leader="none"/>
        </w:tabs>
        <w:spacing w:before="120" w:after="0"/>
        <w:ind w:start="720" w:end="0"/>
        <w:jc w:val="both"/>
        <w:rPr>
          <w:rFonts w:ascii="Times New Roman" w:hAnsi="Times New Roman" w:cs="Times New Roman"/>
        </w:rPr>
      </w:pPr>
      <w:r>
        <w:rPr>
          <w:rFonts w:cs="Times New Roman" w:ascii="Times New Roman" w:hAnsi="Times New Roman"/>
        </w:rPr>
        <w:t>10.</w:t>
        <w:tab/>
        <w:t xml:space="preserve">City of Clarksdale &amp; Yazoo City, Mississippi </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Kay Mann</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 xml:space="preserve">Asset management agreement circulated for negotiation </w:t>
      </w:r>
    </w:p>
    <w:p>
      <w:pPr>
        <w:pStyle w:val="Normal"/>
        <w:widowControl/>
        <w:tabs>
          <w:tab w:val="clear" w:pos="720"/>
          <w:tab w:val="left" w:pos="0" w:leader="none"/>
          <w:tab w:val="left" w:pos="1080" w:leader="none"/>
        </w:tabs>
        <w:spacing w:before="120" w:after="0"/>
        <w:ind w:start="720" w:end="0"/>
        <w:jc w:val="both"/>
        <w:rPr>
          <w:rFonts w:ascii="Times New Roman" w:hAnsi="Times New Roman" w:cs="Times New Roman"/>
        </w:rPr>
      </w:pPr>
      <w:r>
        <w:rPr>
          <w:rFonts w:cs="Times New Roman" w:ascii="Times New Roman" w:hAnsi="Times New Roman"/>
        </w:rPr>
        <w:t>11.</w:t>
        <w:tab/>
        <w:t>New Jersey Resources-project development agreements for fuel cell projects</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Kay Mann</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LOI signed</w:t>
      </w:r>
    </w:p>
    <w:p>
      <w:pPr>
        <w:pStyle w:val="Normal"/>
        <w:widowControl/>
        <w:tabs>
          <w:tab w:val="clear" w:pos="720"/>
          <w:tab w:val="left" w:pos="1080" w:leader="none"/>
        </w:tabs>
        <w:spacing w:before="120" w:after="0"/>
        <w:ind w:start="720" w:end="0"/>
        <w:jc w:val="both"/>
        <w:rPr>
          <w:rFonts w:ascii="Times New Roman" w:hAnsi="Times New Roman" w:cs="Times New Roman"/>
        </w:rPr>
      </w:pPr>
      <w:r>
        <w:rPr>
          <w:rFonts w:cs="Times New Roman" w:ascii="Times New Roman" w:hAnsi="Times New Roman"/>
        </w:rPr>
        <w:t>12.</w:t>
        <w:tab/>
        <w:t>TransAlta – Gas sales contract with Canadian entity for proposed generation facility in Chihuahua, Mexico</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Steve Van Hooser</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Executed documents and guarantees exchanged; awaiting award by Mexican Federal Electricity Commission, which is conditions precedent to parties performance under the gas supply agreement; notice of such award expected in Q2</w:t>
      </w:r>
    </w:p>
    <w:p>
      <w:pPr>
        <w:pStyle w:val="Normal"/>
        <w:widowControl/>
        <w:tabs>
          <w:tab w:val="clear" w:pos="720"/>
          <w:tab w:val="left" w:pos="1080" w:leader="none"/>
        </w:tabs>
        <w:spacing w:before="120" w:after="0"/>
        <w:ind w:start="720" w:end="0"/>
        <w:jc w:val="both"/>
        <w:rPr>
          <w:rFonts w:ascii="Times New Roman" w:hAnsi="Times New Roman" w:cs="Times New Roman"/>
        </w:rPr>
      </w:pPr>
      <w:r>
        <w:rPr>
          <w:rFonts w:cs="Times New Roman" w:ascii="Times New Roman" w:hAnsi="Times New Roman"/>
        </w:rPr>
        <w:t>13.</w:t>
        <w:tab/>
        <w:t>Northwestern – Sale of GE turbines in Turbopark</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Kay Mann</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Definitive documents being negotiated</w:t>
      </w:r>
    </w:p>
    <w:p>
      <w:pPr>
        <w:pStyle w:val="BodyText"/>
        <w:widowControl/>
        <w:tabs>
          <w:tab w:val="clear" w:pos="720"/>
          <w:tab w:val="left" w:pos="1260" w:leader="none"/>
        </w:tabs>
        <w:spacing w:before="120" w:after="0"/>
        <w:ind w:start="360" w:end="0"/>
        <w:rPr>
          <w:rFonts w:ascii="Times New Roman" w:hAnsi="Times New Roman" w:cs="Times New Roman"/>
          <w:b/>
          <w:bCs/>
          <w:u w:val="single"/>
        </w:rPr>
      </w:pPr>
      <w:r>
        <w:rPr>
          <w:rFonts w:cs="Times New Roman" w:ascii="Times New Roman" w:hAnsi="Times New Roman"/>
          <w:b/>
          <w:bCs/>
          <w:u w:val="single"/>
        </w:rPr>
        <w:t>Mexico</w:t>
      </w:r>
    </w:p>
    <w:p>
      <w:pPr>
        <w:pStyle w:val="Normal"/>
        <w:widowControl/>
        <w:numPr>
          <w:ilvl w:val="0"/>
          <w:numId w:val="13"/>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Vitro Power Generation Transaction</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Peggy Banczak</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Financial close with IDB occurred on 12/29/00; conditions precedent to first disbursement are currently being reviewed to assure satisfaction thereof prior to first disbursement which is anticipated to occur on April 30, 2001</w:t>
      </w:r>
    </w:p>
    <w:p>
      <w:pPr>
        <w:pStyle w:val="Normal"/>
        <w:widowControl/>
        <w:numPr>
          <w:ilvl w:val="0"/>
          <w:numId w:val="13"/>
        </w:numPr>
        <w:tabs>
          <w:tab w:val="clear" w:pos="720"/>
        </w:tabs>
        <w:spacing w:before="120" w:after="0"/>
        <w:ind w:hanging="360" w:start="1080" w:end="0"/>
        <w:jc w:val="both"/>
        <w:rPr>
          <w:rFonts w:ascii="Times New Roman" w:hAnsi="Times New Roman" w:cs="Times New Roman"/>
        </w:rPr>
      </w:pPr>
      <w:r>
        <w:rPr>
          <w:rFonts w:cs="Times New Roman" w:ascii="Times New Roman" w:hAnsi="Times New Roman"/>
        </w:rPr>
        <w:t>Project Stealth – Development of several small power generation facilities - to be packaged for sale by ENA</w:t>
      </w:r>
    </w:p>
    <w:p>
      <w:pPr>
        <w:pStyle w:val="BodyText"/>
        <w:widowControl/>
        <w:tabs>
          <w:tab w:val="clear" w:pos="720"/>
          <w:tab w:val="left" w:pos="1260" w:leader="none"/>
        </w:tabs>
        <w:ind w:hanging="270" w:start="1080" w:end="0"/>
        <w:rPr>
          <w:rFonts w:ascii="Times New Roman" w:hAnsi="Times New Roman" w:cs="Times New Roman"/>
        </w:rPr>
      </w:pPr>
      <w:r>
        <w:rPr>
          <w:rFonts w:cs="Times New Roman" w:ascii="Times New Roman" w:hAnsi="Times New Roman"/>
        </w:rPr>
        <w:tab/>
        <w:t>-</w:t>
        <w:tab/>
        <w:t>Peggy Banczak</w:t>
      </w:r>
    </w:p>
    <w:p>
      <w:pPr>
        <w:pStyle w:val="BodyText"/>
        <w:widowControl/>
        <w:numPr>
          <w:ilvl w:val="0"/>
          <w:numId w:val="7"/>
        </w:numPr>
        <w:tabs>
          <w:tab w:val="clear" w:pos="720"/>
          <w:tab w:val="left" w:pos="1260" w:leader="none"/>
        </w:tabs>
        <w:ind w:hanging="990" w:start="2070" w:end="0"/>
        <w:rPr>
          <w:rFonts w:ascii="Times New Roman" w:hAnsi="Times New Roman" w:cs="Times New Roman"/>
        </w:rPr>
      </w:pPr>
      <w:r>
        <w:rPr>
          <w:rFonts w:cs="Times New Roman" w:ascii="Times New Roman" w:hAnsi="Times New Roman"/>
        </w:rPr>
        <w:t>Update:</w:t>
        <w:tab/>
        <w:t xml:space="preserve">PPA was presented to FAPSA and FAPSA’s comments are anticipated soon; discussions with Fersinsa on terms of PPA are ongoing but PPA format has not yet been given to Fersinsa; discussions are ongoing with Aroucia Corn Products, Hilaturas Parras and Parras de la Laguna </w:t>
      </w:r>
    </w:p>
    <w:p>
      <w:pPr>
        <w:pStyle w:val="Normal"/>
        <w:widowControl/>
        <w:tabs>
          <w:tab w:val="clear" w:pos="720"/>
          <w:tab w:val="left" w:pos="1344" w:leader="none"/>
          <w:tab w:val="left" w:pos="5106" w:leader="none"/>
          <w:tab w:val="left" w:pos="7254" w:leader="none"/>
        </w:tabs>
        <w:spacing w:before="240" w:after="0"/>
        <w:rPr>
          <w:rFonts w:ascii="Arial Rounded MT Bold" w:hAnsi="Arial Rounded MT Bold" w:cs="Arial Rounded MT Bold"/>
          <w:sz w:val="22"/>
        </w:rPr>
      </w:pPr>
      <w:r>
        <w:rPr>
          <w:rFonts w:cs="Arial Rounded MT Bold" w:ascii="Arial Rounded MT Bold" w:hAnsi="Arial Rounded MT Bold"/>
          <w:sz w:val="22"/>
        </w:rPr>
        <w:t>WEST ORIGINATION</w:t>
      </w:r>
    </w:p>
    <w:p>
      <w:pPr>
        <w:pStyle w:val="Normal"/>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expansion of LV Cogen II, tolling agreement and equity sell-down of LV Cogen I and LV Cogen II</w:t>
      </w:r>
    </w:p>
    <w:p>
      <w:pPr>
        <w:pStyle w:val="Normal"/>
        <w:widowControl/>
        <w:tabs>
          <w:tab w:val="clear" w:pos="720"/>
          <w:tab w:val="left" w:pos="1260" w:leader="none"/>
        </w:tabs>
        <w:ind w:hanging="360" w:start="1440" w:end="0"/>
        <w:jc w:val="both"/>
        <w:rPr>
          <w:rFonts w:ascii="Times New Roman" w:hAnsi="Times New Roman" w:cs="Times New Roman"/>
        </w:rPr>
      </w:pPr>
      <w:r>
        <w:rPr>
          <w:rFonts w:cs="Times New Roman" w:ascii="Times New Roman" w:hAnsi="Times New Roman"/>
        </w:rPr>
        <w:t>-</w:t>
        <w:tab/>
        <w:t>Dale Rasmussen</w:t>
      </w:r>
    </w:p>
    <w:p>
      <w:pPr>
        <w:pStyle w:val="Normal"/>
        <w:widowControl/>
        <w:numPr>
          <w:ilvl w:val="0"/>
          <w:numId w:val="7"/>
        </w:numPr>
        <w:tabs>
          <w:tab w:val="clear" w:pos="720"/>
          <w:tab w:val="left" w:pos="1260" w:leader="none"/>
        </w:tabs>
        <w:ind w:hanging="1080" w:start="2160" w:end="0"/>
        <w:jc w:val="both"/>
        <w:rPr>
          <w:rFonts w:ascii="Times New Roman" w:hAnsi="Times New Roman" w:cs="Times New Roman"/>
        </w:rPr>
      </w:pPr>
      <w:r>
        <w:rPr>
          <w:rFonts w:cs="Times New Roman" w:ascii="Times New Roman" w:hAnsi="Times New Roman"/>
        </w:rPr>
        <w:t>Update:</w:t>
        <w:tab/>
        <w:t>Negotiating a tolling agreement for LV Cogen’s expansion</w:t>
      </w:r>
    </w:p>
    <w:p>
      <w:pPr>
        <w:pStyle w:val="Normal"/>
        <w:widowControl/>
        <w:numPr>
          <w:ilvl w:val="0"/>
          <w:numId w:val="2"/>
        </w:numPr>
        <w:tabs>
          <w:tab w:val="clear" w:pos="720"/>
          <w:tab w:val="left" w:pos="1260" w:leader="none"/>
        </w:tabs>
        <w:spacing w:before="120" w:after="0"/>
        <w:jc w:val="both"/>
        <w:rPr>
          <w:rFonts w:ascii="Times New Roman" w:hAnsi="Times New Roman" w:cs="Times New Roman"/>
        </w:rPr>
      </w:pPr>
      <w:r>
        <w:rPr>
          <w:rFonts w:cs="Times New Roman" w:ascii="Times New Roman" w:hAnsi="Times New Roman"/>
        </w:rPr>
        <w:t>Development of combined cycle plant at Roseville, CA</w:t>
      </w:r>
    </w:p>
    <w:p>
      <w:pPr>
        <w:pStyle w:val="BodyText"/>
        <w:widowControl/>
        <w:numPr>
          <w:ilvl w:val="0"/>
          <w:numId w:val="7"/>
        </w:numPr>
        <w:tabs>
          <w:tab w:val="clear" w:pos="720"/>
          <w:tab w:val="left" w:pos="1260" w:leader="none"/>
        </w:tabs>
        <w:rPr>
          <w:rFonts w:ascii="Times New Roman" w:hAnsi="Times New Roman" w:cs="Times New Roman"/>
        </w:rPr>
      </w:pPr>
      <w:r>
        <w:rPr>
          <w:rFonts w:cs="Times New Roman" w:ascii="Times New Roman" w:hAnsi="Times New Roman"/>
        </w:rPr>
        <w:t>Bob Carter</w:t>
      </w:r>
    </w:p>
    <w:p>
      <w:pPr>
        <w:pStyle w:val="BodyText"/>
        <w:widowControl/>
        <w:numPr>
          <w:ilvl w:val="0"/>
          <w:numId w:val="7"/>
        </w:numPr>
        <w:tabs>
          <w:tab w:val="clear" w:pos="720"/>
          <w:tab w:val="left" w:pos="1260" w:leader="none"/>
        </w:tabs>
        <w:ind w:hanging="1080" w:start="2160" w:end="0"/>
        <w:rPr>
          <w:rFonts w:ascii="Times New Roman" w:hAnsi="Times New Roman" w:cs="Times New Roman"/>
        </w:rPr>
      </w:pPr>
      <w:r>
        <w:rPr>
          <w:rFonts w:cs="Times New Roman" w:ascii="Times New Roman" w:hAnsi="Times New Roman"/>
        </w:rPr>
        <w:t>Update:</w:t>
        <w:tab/>
        <w:t>Acquiring site and equipment</w:t>
      </w:r>
    </w:p>
    <w:p>
      <w:pPr>
        <w:pStyle w:val="Normal"/>
        <w:widowControl/>
        <w:numPr>
          <w:ilvl w:val="0"/>
          <w:numId w:val="2"/>
        </w:numPr>
        <w:tabs>
          <w:tab w:val="clear" w:pos="720"/>
          <w:tab w:val="left" w:pos="1260" w:leader="none"/>
        </w:tabs>
        <w:spacing w:lineRule="exact" w:line="220" w:before="120" w:after="0"/>
        <w:jc w:val="both"/>
        <w:rPr>
          <w:rFonts w:ascii="Times New Roman" w:hAnsi="Times New Roman" w:cs="Times New Roman"/>
        </w:rPr>
      </w:pPr>
      <w:r>
        <w:rPr>
          <w:rFonts w:cs="Times New Roman" w:ascii="Times New Roman" w:hAnsi="Times New Roman"/>
        </w:rPr>
        <w:t>Development of combined cycle plant at Port of Longview, Washington and sale</w:t>
      </w:r>
    </w:p>
    <w:p>
      <w:pPr>
        <w:pStyle w:val="BodyText"/>
        <w:widowControl/>
        <w:numPr>
          <w:ilvl w:val="0"/>
          <w:numId w:val="7"/>
        </w:numPr>
        <w:tabs>
          <w:tab w:val="clear" w:pos="720"/>
          <w:tab w:val="left" w:pos="1080" w:leader="none"/>
          <w:tab w:val="left" w:pos="1260" w:leader="none"/>
        </w:tabs>
        <w:spacing w:lineRule="exact" w:line="220"/>
        <w:rPr>
          <w:rFonts w:ascii="Times New Roman" w:hAnsi="Times New Roman" w:cs="Times New Roman"/>
        </w:rPr>
      </w:pPr>
      <w:r>
        <w:rPr>
          <w:rFonts w:cs="Times New Roman" w:ascii="Times New Roman" w:hAnsi="Times New Roman"/>
        </w:rPr>
        <w:t>Dale Rasmussen/Sheila Tweed</w:t>
      </w:r>
    </w:p>
    <w:p>
      <w:pPr>
        <w:pStyle w:val="BodyText"/>
        <w:widowControl/>
        <w:numPr>
          <w:ilvl w:val="0"/>
          <w:numId w:val="7"/>
        </w:numPr>
        <w:tabs>
          <w:tab w:val="clear" w:pos="720"/>
          <w:tab w:val="left" w:pos="1260" w:leader="none"/>
        </w:tabs>
        <w:spacing w:lineRule="exact" w:line="220"/>
        <w:ind w:hanging="1080" w:start="2160" w:end="0"/>
        <w:rPr>
          <w:rFonts w:ascii="Times New Roman" w:hAnsi="Times New Roman" w:cs="Times New Roman"/>
        </w:rPr>
      </w:pPr>
      <w:r>
        <w:rPr>
          <w:rFonts w:cs="Times New Roman" w:ascii="Times New Roman" w:hAnsi="Times New Roman"/>
        </w:rPr>
        <w:t>Update:</w:t>
        <w:tab/>
        <w:t>Permitting site and acquiring equipment</w:t>
      </w:r>
    </w:p>
    <w:p>
      <w:pPr>
        <w:pStyle w:val="Normal"/>
        <w:widowControl/>
        <w:numPr>
          <w:ilvl w:val="0"/>
          <w:numId w:val="2"/>
        </w:numPr>
        <w:tabs>
          <w:tab w:val="clear" w:pos="720"/>
          <w:tab w:val="left" w:pos="1260" w:leader="none"/>
        </w:tabs>
        <w:spacing w:lineRule="exact" w:line="220" w:before="120" w:after="0"/>
        <w:jc w:val="both"/>
        <w:rPr>
          <w:rFonts w:ascii="Times New Roman" w:hAnsi="Times New Roman" w:cs="Times New Roman"/>
        </w:rPr>
      </w:pPr>
      <w:r>
        <w:rPr>
          <w:rFonts w:cs="Times New Roman" w:ascii="Times New Roman" w:hAnsi="Times New Roman"/>
        </w:rPr>
        <w:t>Sale of power plant development in Colorado (Fountain Valley Power) and California (Pastoria)</w:t>
      </w:r>
    </w:p>
    <w:p>
      <w:pPr>
        <w:pStyle w:val="BodyText"/>
        <w:widowControl/>
        <w:tabs>
          <w:tab w:val="clear" w:pos="720"/>
          <w:tab w:val="left" w:pos="1260" w:leader="none"/>
        </w:tabs>
        <w:spacing w:lineRule="exact" w:line="220"/>
        <w:ind w:hanging="270" w:start="1080" w:end="0"/>
        <w:rPr>
          <w:rFonts w:ascii="Times New Roman" w:hAnsi="Times New Roman" w:cs="Times New Roman"/>
        </w:rPr>
      </w:pPr>
      <w:r>
        <w:rPr>
          <w:rFonts w:cs="Times New Roman" w:ascii="Times New Roman" w:hAnsi="Times New Roman"/>
        </w:rPr>
        <w:tab/>
        <w:t>-</w:t>
        <w:tab/>
        <w:t>Sheila Tweed/Karen Jones</w:t>
      </w:r>
    </w:p>
    <w:p>
      <w:pPr>
        <w:pStyle w:val="BodyText"/>
        <w:widowControl/>
        <w:numPr>
          <w:ilvl w:val="0"/>
          <w:numId w:val="7"/>
        </w:numPr>
        <w:tabs>
          <w:tab w:val="clear" w:pos="720"/>
          <w:tab w:val="left" w:pos="1260" w:leader="none"/>
        </w:tabs>
        <w:spacing w:lineRule="exact" w:line="220"/>
        <w:ind w:hanging="1080" w:start="2160" w:end="0"/>
        <w:rPr>
          <w:rFonts w:ascii="Times New Roman" w:hAnsi="Times New Roman" w:cs="Times New Roman"/>
        </w:rPr>
      </w:pPr>
      <w:r>
        <w:rPr>
          <w:rFonts w:cs="Times New Roman" w:ascii="Times New Roman" w:hAnsi="Times New Roman"/>
        </w:rPr>
        <w:t>Update:</w:t>
        <w:tab/>
        <w:t>Sale of this project closed 4/11/01</w:t>
      </w:r>
    </w:p>
    <w:p>
      <w:pPr>
        <w:pStyle w:val="Normal"/>
        <w:widowControl/>
        <w:numPr>
          <w:ilvl w:val="0"/>
          <w:numId w:val="2"/>
        </w:numPr>
        <w:tabs>
          <w:tab w:val="clear" w:pos="720"/>
          <w:tab w:val="left" w:pos="1260" w:leader="none"/>
        </w:tabs>
        <w:spacing w:lineRule="exact" w:line="220" w:before="120" w:after="0"/>
        <w:jc w:val="both"/>
        <w:rPr>
          <w:rFonts w:ascii="Times New Roman" w:hAnsi="Times New Roman" w:cs="Times New Roman"/>
        </w:rPr>
      </w:pPr>
      <w:r>
        <w:rPr>
          <w:rFonts w:cs="Times New Roman" w:ascii="Times New Roman" w:hAnsi="Times New Roman"/>
        </w:rPr>
        <w:t>Joint power plant development with Hansen Cement</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rFonts w:cs="Times New Roman" w:ascii="Times New Roman" w:hAnsi="Times New Roman"/>
        </w:rPr>
        <w:t>Karen Jones</w:t>
      </w:r>
    </w:p>
    <w:p>
      <w:pPr>
        <w:pStyle w:val="BodyText"/>
        <w:widowControl/>
        <w:numPr>
          <w:ilvl w:val="0"/>
          <w:numId w:val="7"/>
        </w:numPr>
        <w:tabs>
          <w:tab w:val="clear" w:pos="720"/>
          <w:tab w:val="left" w:pos="1260" w:leader="none"/>
        </w:tabs>
        <w:spacing w:lineRule="exact" w:line="220"/>
        <w:ind w:hanging="1080" w:start="2160" w:end="0"/>
        <w:rPr>
          <w:rFonts w:ascii="Times New Roman" w:hAnsi="Times New Roman" w:cs="Times New Roman"/>
        </w:rPr>
      </w:pPr>
      <w:r>
        <w:rPr>
          <w:rFonts w:cs="Times New Roman" w:ascii="Times New Roman" w:hAnsi="Times New Roman"/>
        </w:rPr>
        <w:t>Update:</w:t>
        <w:tab/>
        <w:t>Negotiating definitive agreements</w:t>
      </w:r>
      <w:r>
        <w:br w:type="page"/>
      </w:r>
    </w:p>
    <w:p>
      <w:pPr>
        <w:pStyle w:val="Normal"/>
        <w:widowControl/>
        <w:tabs>
          <w:tab w:val="clear" w:pos="720"/>
          <w:tab w:val="left" w:pos="1344" w:leader="none"/>
          <w:tab w:val="left" w:pos="5106" w:leader="none"/>
          <w:tab w:val="left" w:pos="7254" w:leader="none"/>
        </w:tabs>
        <w:spacing w:lineRule="exact" w:line="220" w:before="240" w:after="0"/>
        <w:rPr>
          <w:rFonts w:ascii="Arial Rounded MT Bold" w:hAnsi="Arial Rounded MT Bold" w:cs="Arial Rounded MT Bold"/>
          <w:sz w:val="22"/>
        </w:rPr>
      </w:pPr>
      <w:r>
        <w:rPr>
          <w:rFonts w:cs="Arial Rounded MT Bold" w:ascii="Arial Rounded MT Bold" w:hAnsi="Arial Rounded MT Bold"/>
          <w:sz w:val="22"/>
        </w:rPr>
        <w:t>UPSTREAM ORIGINATION AND HPL</w:t>
      </w:r>
    </w:p>
    <w:p>
      <w:pPr>
        <w:pStyle w:val="Normal"/>
        <w:widowControl/>
        <w:numPr>
          <w:ilvl w:val="0"/>
          <w:numId w:val="9"/>
        </w:numPr>
        <w:tabs>
          <w:tab w:val="clear" w:pos="720"/>
          <w:tab w:val="left" w:pos="1260" w:leader="none"/>
        </w:tabs>
        <w:spacing w:lineRule="exact" w:line="220" w:before="120" w:after="0"/>
        <w:jc w:val="both"/>
        <w:rPr>
          <w:rFonts w:ascii="Times New Roman" w:hAnsi="Times New Roman" w:cs="Times New Roman"/>
        </w:rPr>
      </w:pPr>
      <w:r>
        <w:rPr>
          <w:rFonts w:cs="Times New Roman" w:ascii="Times New Roman" w:hAnsi="Times New Roman"/>
        </w:rPr>
        <w:t>Project Triple Lutz – Sale of HPL and related assets</w:t>
      </w:r>
    </w:p>
    <w:p>
      <w:pPr>
        <w:pStyle w:val="BodyText"/>
        <w:widowControl/>
        <w:tabs>
          <w:tab w:val="clear" w:pos="720"/>
          <w:tab w:val="left" w:pos="0" w:leader="none"/>
          <w:tab w:val="left" w:pos="450" w:leader="none"/>
          <w:tab w:val="left" w:pos="1260" w:leader="none"/>
        </w:tabs>
        <w:spacing w:lineRule="exact" w:line="220"/>
        <w:ind w:hanging="360" w:start="1080" w:end="0"/>
        <w:rPr>
          <w:rFonts w:ascii="Times New Roman" w:hAnsi="Times New Roman" w:cs="Times New Roman"/>
        </w:rPr>
      </w:pPr>
      <w:r>
        <w:rPr>
          <w:rFonts w:cs="Times New Roman" w:ascii="Times New Roman" w:hAnsi="Times New Roman"/>
        </w:rPr>
        <w:tab/>
        <w:t>-</w:t>
        <w:tab/>
        <w:t>Barbara Gray/Anne Koehler</w:t>
      </w:r>
    </w:p>
    <w:p>
      <w:pPr>
        <w:pStyle w:val="BodyText"/>
        <w:widowControl/>
        <w:tabs>
          <w:tab w:val="clear" w:pos="720"/>
          <w:tab w:val="left" w:pos="1260" w:leader="none"/>
        </w:tabs>
        <w:spacing w:lineRule="exact" w:line="220"/>
        <w:ind w:hanging="1080" w:start="2160" w:end="0"/>
        <w:rPr>
          <w:rFonts w:ascii="Times New Roman" w:hAnsi="Times New Roman" w:cs="Times New Roman"/>
        </w:rPr>
      </w:pPr>
      <w:r>
        <w:rPr>
          <w:rFonts w:cs="Times New Roman" w:ascii="Times New Roman" w:hAnsi="Times New Roman"/>
        </w:rPr>
        <w:t>-</w:t>
        <w:tab/>
        <w:t>Update:</w:t>
        <w:tab/>
        <w:t>Executed definitive agreement on 1/11/01 with AEP; closing likely in Q2, 2001</w:t>
      </w:r>
    </w:p>
    <w:p>
      <w:pPr>
        <w:pStyle w:val="Normal"/>
        <w:widowControl/>
        <w:numPr>
          <w:ilvl w:val="0"/>
          <w:numId w:val="9"/>
        </w:numPr>
        <w:tabs>
          <w:tab w:val="clear" w:pos="720"/>
          <w:tab w:val="left" w:pos="1260" w:leader="none"/>
        </w:tabs>
        <w:spacing w:lineRule="exact" w:line="220" w:before="120" w:after="0"/>
        <w:jc w:val="both"/>
        <w:rPr>
          <w:rFonts w:ascii="Times New Roman" w:hAnsi="Times New Roman" w:cs="Times New Roman"/>
        </w:rPr>
      </w:pPr>
      <w:r>
        <w:rPr>
          <w:rFonts w:cs="Times New Roman" w:ascii="Times New Roman" w:hAnsi="Times New Roman"/>
        </w:rPr>
        <w:t>Project 20/20 - Sale of Wyoming gathering assets/entities to Northern Border</w:t>
      </w:r>
    </w:p>
    <w:p>
      <w:pPr>
        <w:pStyle w:val="BodyText"/>
        <w:widowControl/>
        <w:tabs>
          <w:tab w:val="clear" w:pos="720"/>
          <w:tab w:val="left" w:pos="0" w:leader="none"/>
          <w:tab w:val="left" w:pos="450" w:leader="none"/>
          <w:tab w:val="left" w:pos="1260" w:leader="none"/>
        </w:tabs>
        <w:spacing w:lineRule="exact" w:line="220"/>
        <w:ind w:hanging="360" w:start="1080" w:end="0"/>
        <w:rPr>
          <w:rFonts w:ascii="Times New Roman" w:hAnsi="Times New Roman" w:cs="Times New Roman"/>
        </w:rPr>
      </w:pPr>
      <w:r>
        <w:rPr>
          <w:rFonts w:cs="Times New Roman" w:ascii="Times New Roman" w:hAnsi="Times New Roman"/>
        </w:rPr>
        <w:tab/>
        <w:t>-</w:t>
        <w:tab/>
        <w:t>Barbara Gray</w:t>
      </w:r>
    </w:p>
    <w:p>
      <w:pPr>
        <w:pStyle w:val="BodyText"/>
        <w:widowControl/>
        <w:tabs>
          <w:tab w:val="clear" w:pos="720"/>
          <w:tab w:val="left" w:pos="1260" w:leader="none"/>
        </w:tabs>
        <w:spacing w:lineRule="exact" w:line="220"/>
        <w:ind w:hanging="1080" w:start="2160" w:end="0"/>
        <w:rPr/>
      </w:pPr>
      <w:r>
        <w:rPr>
          <w:rFonts w:cs="Times New Roman" w:ascii="Times New Roman" w:hAnsi="Times New Roman"/>
        </w:rPr>
        <w:t>-</w:t>
        <w:tab/>
        <w:t>Update:</w:t>
        <w:tab/>
        <w:t>Project closed 3</w:t>
      </w:r>
      <w:r>
        <w:rPr>
          <w:rFonts w:cs="Times New Roman" w:ascii="Times New Roman" w:hAnsi="Times New Roman"/>
          <w:vertAlign w:val="superscript"/>
        </w:rPr>
        <w:t>rd</w:t>
      </w:r>
      <w:r>
        <w:rPr>
          <w:rFonts w:cs="Times New Roman" w:ascii="Times New Roman" w:hAnsi="Times New Roman"/>
        </w:rPr>
        <w:t xml:space="preserve"> Qtr;  post-closing obligations still underway</w:t>
      </w:r>
    </w:p>
    <w:p>
      <w:pPr>
        <w:pStyle w:val="Normal"/>
        <w:widowControl/>
        <w:numPr>
          <w:ilvl w:val="0"/>
          <w:numId w:val="9"/>
        </w:numPr>
        <w:tabs>
          <w:tab w:val="clear" w:pos="720"/>
          <w:tab w:val="left" w:pos="1260" w:leader="none"/>
        </w:tabs>
        <w:spacing w:lineRule="exact" w:line="220" w:before="120" w:after="0"/>
        <w:jc w:val="both"/>
        <w:rPr>
          <w:rFonts w:ascii="Times New Roman" w:hAnsi="Times New Roman" w:cs="Times New Roman"/>
        </w:rPr>
      </w:pPr>
      <w:r>
        <w:rPr>
          <w:rFonts w:cs="Times New Roman" w:ascii="Times New Roman" w:hAnsi="Times New Roman"/>
        </w:rPr>
        <w:t>Routine RRC Audit of Annual Report and payment of Gross Receipts Taxes (mid 1997 – 1999)</w:t>
      </w:r>
    </w:p>
    <w:p>
      <w:pPr>
        <w:pStyle w:val="Normal"/>
        <w:widowControl/>
        <w:tabs>
          <w:tab w:val="clear" w:pos="720"/>
          <w:tab w:val="left" w:pos="-90" w:leader="none"/>
          <w:tab w:val="left" w:pos="90" w:leader="none"/>
          <w:tab w:val="left" w:pos="1080" w:leader="none"/>
          <w:tab w:val="left" w:pos="1260" w:leader="none"/>
        </w:tabs>
        <w:spacing w:lineRule="exact" w:line="220"/>
        <w:ind w:start="1080" w:end="0"/>
        <w:jc w:val="both"/>
        <w:rPr>
          <w:rFonts w:ascii="Times New Roman" w:hAnsi="Times New Roman" w:cs="Times New Roman"/>
        </w:rPr>
      </w:pPr>
      <w:r>
        <w:rPr>
          <w:rFonts w:cs="Times New Roman" w:ascii="Times New Roman" w:hAnsi="Times New Roman"/>
        </w:rPr>
        <w:t>-</w:t>
        <w:tab/>
        <w:t>HPL Accounting Department</w:t>
      </w:r>
    </w:p>
    <w:p>
      <w:pPr>
        <w:pStyle w:val="EndnoteText"/>
        <w:tabs>
          <w:tab w:val="clear" w:pos="720"/>
          <w:tab w:val="left" w:pos="1260" w:leader="none"/>
          <w:tab w:val="left" w:pos="1800" w:leader="none"/>
        </w:tabs>
        <w:spacing w:lineRule="exact" w:line="220"/>
        <w:ind w:hanging="1080" w:start="2160" w:end="0"/>
        <w:jc w:val="both"/>
        <w:rPr>
          <w:rFonts w:ascii="Times New Roman" w:hAnsi="Times New Roman" w:cs="Times New Roman"/>
        </w:rPr>
      </w:pPr>
      <w:r>
        <w:rPr>
          <w:rFonts w:cs="Times New Roman" w:ascii="Times New Roman" w:hAnsi="Times New Roman"/>
        </w:rPr>
        <w:t>-</w:t>
        <w:tab/>
        <w:t>Update:</w:t>
        <w:tab/>
        <w:t>HPL has decided to pay certain taxes relating to a monetization of the gas in the Bammel Storage Facility</w:t>
      </w:r>
    </w:p>
    <w:p>
      <w:pPr>
        <w:pStyle w:val="Normal"/>
        <w:widowControl/>
        <w:numPr>
          <w:ilvl w:val="0"/>
          <w:numId w:val="9"/>
        </w:numPr>
        <w:tabs>
          <w:tab w:val="clear" w:pos="720"/>
          <w:tab w:val="left" w:pos="1260" w:leader="none"/>
        </w:tabs>
        <w:spacing w:lineRule="exact" w:line="220" w:before="120" w:after="0"/>
        <w:jc w:val="both"/>
        <w:rPr>
          <w:rFonts w:ascii="Times New Roman" w:hAnsi="Times New Roman" w:cs="Times New Roman"/>
        </w:rPr>
      </w:pPr>
      <w:r>
        <w:rPr>
          <w:rFonts w:cs="Times New Roman" w:ascii="Times New Roman" w:hAnsi="Times New Roman"/>
        </w:rPr>
        <w:t>A/S Pipeline Blowout – HPL owns 50% of this line; El Paso the other 50%; El Paso is the operator; TXRRC is requiring the “pigging” of this line at a cost in excess of $1 million; no personal injuries</w:t>
      </w:r>
    </w:p>
    <w:p>
      <w:pPr>
        <w:pStyle w:val="Normal"/>
        <w:widowControl/>
        <w:tabs>
          <w:tab w:val="clear" w:pos="720"/>
          <w:tab w:val="left" w:pos="-90" w:leader="none"/>
          <w:tab w:val="left" w:pos="90" w:leader="none"/>
          <w:tab w:val="left" w:pos="1080" w:leader="none"/>
          <w:tab w:val="left" w:pos="1260" w:leader="none"/>
        </w:tabs>
        <w:spacing w:lineRule="exact" w:line="220"/>
        <w:ind w:start="1080" w:end="0"/>
        <w:jc w:val="both"/>
        <w:rPr>
          <w:rFonts w:ascii="Times New Roman" w:hAnsi="Times New Roman" w:cs="Times New Roman"/>
        </w:rPr>
      </w:pPr>
      <w:r>
        <w:rPr>
          <w:rFonts w:cs="Times New Roman" w:ascii="Times New Roman" w:hAnsi="Times New Roman"/>
        </w:rPr>
        <w:t>-</w:t>
        <w:tab/>
        <w:t>Barbara Gray/Eileen Kisluk</w:t>
      </w:r>
    </w:p>
    <w:p>
      <w:pPr>
        <w:pStyle w:val="EndnoteText"/>
        <w:tabs>
          <w:tab w:val="clear" w:pos="720"/>
          <w:tab w:val="left" w:pos="1260" w:leader="none"/>
          <w:tab w:val="left" w:pos="1800" w:leader="none"/>
        </w:tabs>
        <w:spacing w:lineRule="exact" w:line="220"/>
        <w:ind w:hanging="1080" w:start="2160" w:end="0"/>
        <w:jc w:val="both"/>
        <w:rPr>
          <w:rFonts w:ascii="Times New Roman" w:hAnsi="Times New Roman" w:cs="Times New Roman"/>
        </w:rPr>
      </w:pPr>
      <w:r>
        <w:rPr>
          <w:rFonts w:cs="Times New Roman" w:ascii="Times New Roman" w:hAnsi="Times New Roman"/>
        </w:rPr>
        <w:t>-</w:t>
        <w:tab/>
        <w:t>Update:</w:t>
        <w:tab/>
        <w:t>Initial stage of monitoring legal representation of Mark Wawro, hired by El Paso</w:t>
      </w:r>
    </w:p>
    <w:p>
      <w:pPr>
        <w:pStyle w:val="Normal"/>
        <w:widowControl/>
        <w:tabs>
          <w:tab w:val="clear" w:pos="720"/>
          <w:tab w:val="left" w:pos="1344" w:leader="none"/>
          <w:tab w:val="left" w:pos="5106" w:leader="none"/>
          <w:tab w:val="left" w:pos="7254" w:leader="none"/>
        </w:tabs>
        <w:spacing w:lineRule="exact" w:line="220" w:before="240" w:after="0"/>
        <w:rPr>
          <w:rFonts w:ascii="Arial Rounded MT Bold" w:hAnsi="Arial Rounded MT Bold" w:cs="Arial Rounded MT Bold"/>
          <w:sz w:val="22"/>
        </w:rPr>
      </w:pPr>
      <w:r>
        <w:rPr>
          <w:rFonts w:cs="Arial Rounded MT Bold" w:ascii="Arial Rounded MT Bold" w:hAnsi="Arial Rounded MT Bold"/>
          <w:sz w:val="22"/>
        </w:rPr>
        <w:t>FINANCE/M&amp;A/ENERGY INVESTMENTS</w:t>
      </w:r>
    </w:p>
    <w:p>
      <w:pPr>
        <w:pStyle w:val="Normal"/>
        <w:widowControl/>
        <w:numPr>
          <w:ilvl w:val="0"/>
          <w:numId w:val="3"/>
        </w:numPr>
        <w:tabs>
          <w:tab w:val="clear" w:pos="720"/>
          <w:tab w:val="left" w:pos="1260" w:leader="none"/>
        </w:tabs>
        <w:spacing w:lineRule="exact" w:line="220" w:before="120" w:after="0"/>
        <w:jc w:val="both"/>
        <w:rPr>
          <w:rFonts w:ascii="Times New Roman" w:hAnsi="Times New Roman" w:cs="Times New Roman"/>
        </w:rPr>
      </w:pPr>
      <w:r>
        <w:rPr>
          <w:rFonts w:cs="Times New Roman" w:ascii="Times New Roman" w:hAnsi="Times New Roman"/>
        </w:rPr>
        <w:t>Brooklyn Navy Yard – Possible purchase of equity interests in partnership owning 50% of Brooklyn Navy Yard; commencement  of discussions with owner of remaining 50% interest</w:t>
      </w:r>
    </w:p>
    <w:p>
      <w:pPr>
        <w:pStyle w:val="Normal"/>
        <w:widowControl/>
        <w:tabs>
          <w:tab w:val="clear" w:pos="720"/>
          <w:tab w:val="left" w:pos="1080" w:leader="none"/>
          <w:tab w:val="left" w:pos="1260" w:leader="none"/>
        </w:tabs>
        <w:spacing w:lineRule="exact" w:line="220"/>
        <w:ind w:start="720" w:end="0"/>
        <w:jc w:val="both"/>
        <w:rPr>
          <w:rFonts w:ascii="Times New Roman" w:hAnsi="Times New Roman" w:cs="Times New Roman"/>
        </w:rPr>
      </w:pPr>
      <w:r>
        <w:rPr>
          <w:rFonts w:cs="Times New Roman" w:ascii="Times New Roman" w:hAnsi="Times New Roman"/>
        </w:rPr>
        <w:tab/>
        <w:t>-</w:t>
        <w:tab/>
        <w:t>Lisa Mellencamp/Angela Davis</w:t>
      </w:r>
    </w:p>
    <w:p>
      <w:pPr>
        <w:pStyle w:val="Normal"/>
        <w:widowControl/>
        <w:tabs>
          <w:tab w:val="clear" w:pos="720"/>
          <w:tab w:val="left" w:pos="1080" w:leader="none"/>
          <w:tab w:val="left" w:pos="1260" w:leader="none"/>
        </w:tabs>
        <w:spacing w:lineRule="exact" w:line="220"/>
        <w:ind w:hanging="1440" w:start="2160" w:end="0"/>
        <w:jc w:val="both"/>
        <w:rPr>
          <w:rFonts w:ascii="Times New Roman" w:hAnsi="Times New Roman" w:cs="Times New Roman"/>
        </w:rPr>
      </w:pPr>
      <w:r>
        <w:rPr>
          <w:rFonts w:cs="Times New Roman" w:ascii="Times New Roman" w:hAnsi="Times New Roman"/>
        </w:rPr>
        <w:tab/>
        <w:t>-</w:t>
        <w:tab/>
        <w:t>Update:  Agreements under negotiation</w:t>
      </w:r>
    </w:p>
    <w:p>
      <w:pPr>
        <w:pStyle w:val="Normal"/>
        <w:widowControl/>
        <w:numPr>
          <w:ilvl w:val="0"/>
          <w:numId w:val="3"/>
        </w:numPr>
        <w:tabs>
          <w:tab w:val="clear" w:pos="720"/>
          <w:tab w:val="left" w:pos="1260" w:leader="none"/>
        </w:tabs>
        <w:spacing w:lineRule="exact" w:line="220" w:before="120" w:after="0"/>
        <w:jc w:val="both"/>
        <w:rPr>
          <w:rFonts w:ascii="Times New Roman" w:hAnsi="Times New Roman" w:cs="Times New Roman"/>
        </w:rPr>
      </w:pPr>
      <w:r>
        <w:rPr>
          <w:rFonts w:cs="Times New Roman" w:ascii="Times New Roman" w:hAnsi="Times New Roman"/>
        </w:rPr>
        <w:t>Acquisition and Disposition Transactions</w:t>
      </w:r>
    </w:p>
    <w:p>
      <w:pPr>
        <w:pStyle w:val="BodyText"/>
        <w:widowControl/>
        <w:tabs>
          <w:tab w:val="clear" w:pos="720"/>
          <w:tab w:val="left" w:pos="1260" w:leader="none"/>
        </w:tabs>
        <w:spacing w:lineRule="exact" w:line="220" w:before="120" w:after="0"/>
        <w:ind w:hanging="360" w:start="1080" w:end="0"/>
        <w:rPr>
          <w:rFonts w:ascii="Times New Roman" w:hAnsi="Times New Roman" w:cs="Times New Roman"/>
        </w:rPr>
      </w:pPr>
      <w:r>
        <w:rPr>
          <w:rFonts w:cs="Times New Roman" w:ascii="Times New Roman" w:hAnsi="Times New Roman"/>
        </w:rPr>
        <w:tab/>
        <w:t>Utiliquest - $70MM sale of company in which Enron/JEDI II own 75% interest</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rFonts w:cs="Times New Roman" w:ascii="Times New Roman" w:hAnsi="Times New Roman"/>
        </w:rPr>
        <w:t>Travis McCullough</w:t>
      </w:r>
    </w:p>
    <w:p>
      <w:pPr>
        <w:pStyle w:val="BodyText"/>
        <w:widowControl/>
        <w:tabs>
          <w:tab w:val="clear" w:pos="720"/>
          <w:tab w:val="left" w:pos="1080" w:leader="none"/>
          <w:tab w:val="left" w:pos="1260" w:leader="none"/>
        </w:tabs>
        <w:spacing w:lineRule="exact" w:line="220" w:before="120" w:after="0"/>
        <w:ind w:start="1080" w:end="0"/>
        <w:rPr>
          <w:rFonts w:ascii="Times New Roman" w:hAnsi="Times New Roman" w:cs="Times New Roman"/>
        </w:rPr>
      </w:pPr>
      <w:r>
        <w:rPr>
          <w:rFonts w:cs="Times New Roman" w:ascii="Times New Roman" w:hAnsi="Times New Roman"/>
        </w:rPr>
        <w:t>Variety of transactions in term sheet or due diligence stage</w:t>
      </w:r>
    </w:p>
    <w:p>
      <w:pPr>
        <w:pStyle w:val="BodyText"/>
        <w:widowControl/>
        <w:numPr>
          <w:ilvl w:val="0"/>
          <w:numId w:val="3"/>
        </w:numPr>
        <w:tabs>
          <w:tab w:val="clear" w:pos="720"/>
          <w:tab w:val="left" w:pos="1260" w:leader="none"/>
        </w:tabs>
        <w:spacing w:lineRule="exact" w:line="220" w:before="120" w:after="0"/>
        <w:rPr>
          <w:rFonts w:ascii="Times New Roman" w:hAnsi="Times New Roman" w:cs="Times New Roman"/>
        </w:rPr>
      </w:pPr>
      <w:r>
        <w:rPr>
          <w:rFonts w:cs="Times New Roman" w:ascii="Times New Roman" w:hAnsi="Times New Roman"/>
        </w:rPr>
        <w:t>HEOF II Matters –Investments in minority-owned businesses; ongoing maintenance</w:t>
      </w:r>
    </w:p>
    <w:p>
      <w:pPr>
        <w:pStyle w:val="Normal"/>
        <w:widowControl/>
        <w:tabs>
          <w:tab w:val="clear" w:pos="720"/>
          <w:tab w:val="left" w:pos="1260" w:leader="none"/>
        </w:tabs>
        <w:spacing w:lineRule="exact" w:line="220" w:before="120" w:after="0"/>
        <w:ind w:hanging="360" w:start="1080" w:end="0"/>
        <w:jc w:val="both"/>
        <w:rPr>
          <w:rFonts w:ascii="Times New Roman" w:hAnsi="Times New Roman" w:cs="Times New Roman"/>
        </w:rPr>
      </w:pPr>
      <w:r>
        <w:rPr>
          <w:rFonts w:cs="Times New Roman" w:ascii="Times New Roman" w:hAnsi="Times New Roman"/>
        </w:rPr>
        <w:t>4.</w:t>
        <w:tab/>
        <w:t>Production Payments – Variety of transactions involving production payments including:</w:t>
      </w:r>
    </w:p>
    <w:p>
      <w:pPr>
        <w:pStyle w:val="BodyText"/>
        <w:widowControl/>
        <w:tabs>
          <w:tab w:val="clear" w:pos="720"/>
          <w:tab w:val="left" w:pos="1260" w:leader="none"/>
        </w:tabs>
        <w:spacing w:lineRule="exact" w:line="220" w:before="120" w:after="0"/>
        <w:ind w:start="1080" w:end="0"/>
        <w:rPr>
          <w:rFonts w:ascii="Times New Roman" w:hAnsi="Times New Roman" w:cs="Times New Roman"/>
        </w:rPr>
      </w:pPr>
      <w:r>
        <w:rPr>
          <w:rFonts w:cs="Times New Roman" w:ascii="Times New Roman" w:hAnsi="Times New Roman"/>
        </w:rPr>
        <w:t>KCS Energy – Purchase of $174 MM production payment</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rFonts w:cs="Times New Roman" w:ascii="Times New Roman" w:hAnsi="Times New Roman"/>
        </w:rPr>
        <w:t>Teresa Bushman</w:t>
      </w:r>
    </w:p>
    <w:p>
      <w:pPr>
        <w:pStyle w:val="BodyText"/>
        <w:widowControl/>
        <w:tabs>
          <w:tab w:val="clear" w:pos="720"/>
          <w:tab w:val="left" w:pos="1260" w:leader="none"/>
        </w:tabs>
        <w:spacing w:lineRule="exact" w:line="220"/>
        <w:ind w:hanging="1080" w:start="2160" w:end="0"/>
        <w:rPr>
          <w:rFonts w:ascii="Times New Roman" w:hAnsi="Times New Roman" w:cs="Times New Roman"/>
        </w:rPr>
      </w:pPr>
      <w:r>
        <w:rPr>
          <w:rFonts w:cs="Times New Roman" w:ascii="Times New Roman" w:hAnsi="Times New Roman"/>
        </w:rPr>
        <w:t>-</w:t>
        <w:tab/>
        <w:t>Update:</w:t>
        <w:tab/>
        <w:t>Closed; efforts to move off balance sheet underway</w:t>
      </w:r>
    </w:p>
    <w:p>
      <w:pPr>
        <w:pStyle w:val="BodyText"/>
        <w:widowControl/>
        <w:tabs>
          <w:tab w:val="clear" w:pos="720"/>
          <w:tab w:val="left" w:pos="1260" w:leader="none"/>
        </w:tabs>
        <w:spacing w:lineRule="exact" w:line="220" w:before="120" w:after="0"/>
        <w:ind w:hanging="1080" w:start="2160" w:end="0"/>
        <w:rPr>
          <w:rFonts w:ascii="Times New Roman" w:hAnsi="Times New Roman" w:cs="Times New Roman"/>
        </w:rPr>
      </w:pPr>
      <w:r>
        <w:rPr>
          <w:rFonts w:cs="Times New Roman" w:ascii="Times New Roman" w:hAnsi="Times New Roman"/>
        </w:rPr>
        <w:t>Tri-Union – Purchase of $100 MM production payment; $10MM equity investment</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rFonts w:cs="Times New Roman" w:ascii="Times New Roman" w:hAnsi="Times New Roman"/>
        </w:rPr>
        <w:t>Teresa Bushman</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rFonts w:cs="Times New Roman" w:ascii="Times New Roman" w:hAnsi="Times New Roman"/>
        </w:rPr>
        <w:t>Update:</w:t>
        <w:tab/>
        <w:t>Negotiations on LOU underway</w:t>
      </w:r>
    </w:p>
    <w:p>
      <w:pPr>
        <w:pStyle w:val="BodyText"/>
        <w:widowControl/>
        <w:tabs>
          <w:tab w:val="clear" w:pos="720"/>
          <w:tab w:val="left" w:pos="1260" w:leader="none"/>
        </w:tabs>
        <w:spacing w:lineRule="exact" w:line="220" w:before="120" w:after="0"/>
        <w:ind w:start="1080" w:end="0"/>
        <w:rPr>
          <w:rFonts w:ascii="Times New Roman" w:hAnsi="Times New Roman" w:cs="Times New Roman"/>
        </w:rPr>
      </w:pPr>
      <w:r>
        <w:rPr>
          <w:rFonts w:cs="Times New Roman" w:ascii="Times New Roman" w:hAnsi="Times New Roman"/>
        </w:rPr>
        <w:t>Brazos VPP LP– $202 MM funding vehicle for production payments</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rFonts w:cs="Times New Roman" w:ascii="Times New Roman" w:hAnsi="Times New Roman"/>
        </w:rPr>
        <w:t>Teresa Bushman</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rFonts w:cs="Times New Roman" w:ascii="Times New Roman" w:hAnsi="Times New Roman"/>
        </w:rPr>
        <w:t>Update:</w:t>
        <w:tab/>
        <w:t>Closed; amendments underway</w:t>
      </w:r>
    </w:p>
    <w:p>
      <w:pPr>
        <w:pStyle w:val="BodyText"/>
        <w:widowControl/>
        <w:tabs>
          <w:tab w:val="clear" w:pos="720"/>
          <w:tab w:val="left" w:pos="1260" w:leader="none"/>
        </w:tabs>
        <w:spacing w:lineRule="exact" w:line="220" w:before="120" w:after="0"/>
        <w:ind w:start="1080" w:end="0"/>
        <w:rPr>
          <w:rFonts w:ascii="Times New Roman" w:hAnsi="Times New Roman" w:cs="Times New Roman"/>
        </w:rPr>
      </w:pPr>
      <w:r>
        <w:rPr>
          <w:rFonts w:cs="Times New Roman" w:ascii="Times New Roman" w:hAnsi="Times New Roman"/>
        </w:rPr>
        <w:t>Brazos II – Structuring of new funding vehicle for production payments underway</w:t>
      </w:r>
    </w:p>
    <w:p>
      <w:pPr>
        <w:pStyle w:val="BodyText"/>
        <w:widowControl/>
        <w:numPr>
          <w:ilvl w:val="0"/>
          <w:numId w:val="7"/>
        </w:numPr>
        <w:tabs>
          <w:tab w:val="clear" w:pos="720"/>
          <w:tab w:val="left" w:pos="1260" w:leader="none"/>
        </w:tabs>
        <w:spacing w:lineRule="exact" w:line="220"/>
        <w:rPr>
          <w:rFonts w:ascii="Times New Roman" w:hAnsi="Times New Roman" w:cs="Times New Roman"/>
        </w:rPr>
      </w:pPr>
      <w:r>
        <w:rPr>
          <w:rFonts w:cs="Times New Roman" w:ascii="Times New Roman" w:hAnsi="Times New Roman"/>
        </w:rPr>
        <w:t>Teresa Bushman</w:t>
      </w:r>
    </w:p>
    <w:p>
      <w:pPr>
        <w:pStyle w:val="Normal"/>
        <w:widowControl/>
        <w:tabs>
          <w:tab w:val="clear" w:pos="720"/>
          <w:tab w:val="left" w:pos="1260" w:leader="none"/>
        </w:tabs>
        <w:spacing w:lineRule="exact" w:line="220" w:before="120" w:after="0"/>
        <w:ind w:hanging="360" w:start="1080" w:end="0"/>
        <w:jc w:val="both"/>
        <w:rPr/>
      </w:pPr>
      <w:r>
        <w:rPr/>
        <w:t>5.</w:t>
        <w:tab/>
      </w:r>
      <w:r>
        <w:rPr>
          <w:rFonts w:cs="Times New Roman" w:ascii="Times New Roman" w:hAnsi="Times New Roman"/>
        </w:rPr>
        <w:t>Merchant</w:t>
      </w:r>
      <w:r>
        <w:rPr/>
        <w:t xml:space="preserve"> Portfolio Matters – Continued dispositions and monetizations of the ENA merchant portfolio including transfers of assets to Condor vehicle (Project Velocity), and sales/restructurings of numerous merchant investments</w:t>
      </w:r>
    </w:p>
    <w:p>
      <w:pPr>
        <w:pStyle w:val="Normal"/>
        <w:widowControl/>
        <w:tabs>
          <w:tab w:val="clear" w:pos="720"/>
          <w:tab w:val="left" w:pos="1080" w:leader="none"/>
          <w:tab w:val="left" w:pos="1260" w:leader="none"/>
        </w:tabs>
        <w:spacing w:lineRule="exact" w:line="220"/>
        <w:ind w:start="1080" w:end="0"/>
        <w:jc w:val="both"/>
        <w:rPr/>
      </w:pPr>
      <w:r>
        <w:rPr/>
        <w:t>-</w:t>
        <w:tab/>
        <w:t>Travis McCullough/Lisa Mellencamp/Angela Davis/Eddy/Daniels/Robert George</w:t>
      </w:r>
    </w:p>
    <w:p>
      <w:pPr>
        <w:pStyle w:val="Normal"/>
        <w:widowControl/>
        <w:tabs>
          <w:tab w:val="clear" w:pos="720"/>
          <w:tab w:val="left" w:pos="1260" w:leader="none"/>
        </w:tabs>
        <w:spacing w:lineRule="exact" w:line="220" w:before="120" w:after="0"/>
        <w:ind w:hanging="360" w:start="1080" w:end="0"/>
        <w:jc w:val="both"/>
        <w:rPr>
          <w:rFonts w:ascii="Times New Roman" w:hAnsi="Times New Roman" w:cs="Times New Roman"/>
        </w:rPr>
      </w:pPr>
      <w:r>
        <w:rPr>
          <w:rFonts w:cs="Times New Roman" w:ascii="Times New Roman" w:hAnsi="Times New Roman"/>
        </w:rPr>
        <w:t>6.</w:t>
        <w:tab/>
        <w:t>East Coast Power – Sale of power generation assets to El Paso Energy</w:t>
      </w:r>
    </w:p>
    <w:p>
      <w:pPr>
        <w:pStyle w:val="BodyText"/>
        <w:widowControl/>
        <w:numPr>
          <w:ilvl w:val="0"/>
          <w:numId w:val="7"/>
        </w:numPr>
        <w:tabs>
          <w:tab w:val="clear" w:pos="720"/>
          <w:tab w:val="left" w:pos="1080" w:leader="none"/>
          <w:tab w:val="left" w:pos="1260" w:leader="none"/>
        </w:tabs>
        <w:spacing w:lineRule="exact" w:line="220"/>
        <w:rPr>
          <w:rFonts w:ascii="Times New Roman" w:hAnsi="Times New Roman" w:cs="Times New Roman"/>
        </w:rPr>
      </w:pPr>
      <w:r>
        <w:rPr>
          <w:rFonts w:cs="Times New Roman" w:ascii="Times New Roman" w:hAnsi="Times New Roman"/>
        </w:rPr>
        <w:t>Lisa Mellencamp</w:t>
      </w:r>
    </w:p>
    <w:p>
      <w:pPr>
        <w:pStyle w:val="BodyText"/>
        <w:widowControl/>
        <w:numPr>
          <w:ilvl w:val="0"/>
          <w:numId w:val="7"/>
        </w:numPr>
        <w:tabs>
          <w:tab w:val="clear" w:pos="720"/>
          <w:tab w:val="left" w:pos="1080" w:leader="none"/>
          <w:tab w:val="left" w:pos="1260" w:leader="none"/>
        </w:tabs>
        <w:spacing w:lineRule="exact" w:line="220"/>
        <w:rPr>
          <w:rFonts w:ascii="Times New Roman" w:hAnsi="Times New Roman" w:cs="Times New Roman"/>
        </w:rPr>
      </w:pPr>
      <w:r>
        <w:rPr>
          <w:rFonts w:cs="Times New Roman" w:ascii="Times New Roman" w:hAnsi="Times New Roman"/>
        </w:rPr>
        <w:t>Update:  Sale closed 2/23/01; efforts underway to monetize contractual cash flows received in sale</w:t>
      </w:r>
    </w:p>
    <w:p>
      <w:pPr>
        <w:pStyle w:val="Normal"/>
        <w:widowControl/>
        <w:tabs>
          <w:tab w:val="clear" w:pos="720"/>
          <w:tab w:val="left" w:pos="1260" w:leader="none"/>
        </w:tabs>
        <w:spacing w:lineRule="exact" w:line="220" w:before="120" w:after="0"/>
        <w:ind w:hanging="360" w:start="1080" w:end="0"/>
        <w:jc w:val="both"/>
        <w:rPr>
          <w:rFonts w:ascii="Times New Roman" w:hAnsi="Times New Roman" w:cs="Times New Roman"/>
        </w:rPr>
      </w:pPr>
      <w:r>
        <w:rPr>
          <w:rFonts w:cs="Times New Roman" w:ascii="Times New Roman" w:hAnsi="Times New Roman"/>
        </w:rPr>
        <w:t>7.</w:t>
        <w:tab/>
        <w:t>Project Merlin – Evaluating additional Enron credit support for portfolio and other alternatives</w:t>
      </w:r>
    </w:p>
    <w:p>
      <w:pPr>
        <w:pStyle w:val="BodyText"/>
        <w:widowControl/>
        <w:numPr>
          <w:ilvl w:val="0"/>
          <w:numId w:val="7"/>
        </w:numPr>
        <w:tabs>
          <w:tab w:val="clear" w:pos="720"/>
          <w:tab w:val="left" w:pos="1080" w:leader="none"/>
          <w:tab w:val="left" w:pos="1260" w:leader="none"/>
        </w:tabs>
        <w:spacing w:lineRule="exact" w:line="220"/>
        <w:rPr>
          <w:rFonts w:ascii="Times New Roman" w:hAnsi="Times New Roman" w:cs="Times New Roman"/>
        </w:rPr>
      </w:pPr>
      <w:r>
        <w:rPr>
          <w:rFonts w:cs="Times New Roman" w:ascii="Times New Roman" w:hAnsi="Times New Roman"/>
        </w:rPr>
        <w:t>Travis McCullough/Anne Koehler</w:t>
      </w:r>
      <w:r>
        <w:br w:type="page"/>
      </w:r>
    </w:p>
    <w:p>
      <w:pPr>
        <w:pStyle w:val="Normal"/>
        <w:widowControl/>
        <w:tabs>
          <w:tab w:val="clear" w:pos="720"/>
          <w:tab w:val="left" w:pos="1344" w:leader="none"/>
          <w:tab w:val="left" w:pos="5106" w:leader="none"/>
          <w:tab w:val="left" w:pos="7254" w:leader="none"/>
        </w:tabs>
        <w:spacing w:lineRule="exact" w:line="220" w:before="240" w:after="0"/>
        <w:rPr>
          <w:rFonts w:ascii="Arial Rounded MT Bold" w:hAnsi="Arial Rounded MT Bold" w:cs="Arial Rounded MT Bold"/>
          <w:sz w:val="22"/>
        </w:rPr>
      </w:pPr>
      <w:r>
        <w:rPr>
          <w:rFonts w:cs="Arial Rounded MT Bold" w:ascii="Arial Rounded MT Bold" w:hAnsi="Arial Rounded MT Bold"/>
          <w:sz w:val="22"/>
        </w:rPr>
        <w:t>LITIGATION</w:t>
      </w:r>
    </w:p>
    <w:p>
      <w:pPr>
        <w:pStyle w:val="Body"/>
        <w:ind w:start="0" w:end="0"/>
        <w:rPr>
          <w:rFonts w:ascii="Arial Rounded MT Bold" w:hAnsi="Arial Rounded MT Bold" w:cs="Arial Rounded MT Bold"/>
          <w:b/>
          <w:sz w:val="22"/>
        </w:rPr>
      </w:pPr>
      <w:r>
        <w:rPr>
          <w:rFonts w:cs="Arial Rounded MT Bold" w:ascii="Arial Rounded MT Bold" w:hAnsi="Arial Rounded MT Bold"/>
          <w:b/>
          <w:sz w:val="22"/>
        </w:rPr>
      </w:r>
    </w:p>
    <w:p>
      <w:pPr>
        <w:pStyle w:val="Body"/>
        <w:ind w:start="0" w:end="0"/>
        <w:rPr>
          <w:b/>
          <w:sz w:val="22"/>
        </w:rPr>
      </w:pPr>
      <w:r>
        <w:rPr>
          <w:b/>
          <w:sz w:val="22"/>
        </w:rPr>
        <w:t>ACTIVE LITIGATION</w:t>
      </w:r>
    </w:p>
    <w:p>
      <w:pPr>
        <w:pStyle w:val="Body"/>
        <w:ind w:start="0" w:end="0"/>
        <w:rPr>
          <w:b/>
          <w:sz w:val="22"/>
          <w:u w:val="single"/>
        </w:rPr>
      </w:pPr>
      <w:r>
        <w:rPr>
          <w:b/>
          <w:sz w:val="22"/>
          <w:u w:val="single"/>
        </w:rPr>
      </w:r>
    </w:p>
    <w:p>
      <w:pPr>
        <w:pStyle w:val="Heading7"/>
        <w:ind w:hanging="0" w:start="0"/>
        <w:rPr/>
      </w:pPr>
      <w:r>
        <w:rPr/>
        <w:t>Berry Group, Ltd v. Enron North America</w:t>
      </w:r>
    </w:p>
    <w:p>
      <w:pPr>
        <w:pStyle w:val="Body"/>
        <w:ind w:start="0" w:end="0"/>
        <w:rPr>
          <w:rFonts w:ascii="Times New Roman" w:hAnsi="Times New Roman" w:cs="Times New Roman"/>
          <w:bCs/>
          <w:color w:val="000000"/>
        </w:rPr>
      </w:pPr>
      <w:r>
        <w:rPr>
          <w:rFonts w:cs="Times New Roman" w:ascii="Times New Roman" w:hAnsi="Times New Roman"/>
          <w:bCs/>
          <w:color w:val="000000"/>
        </w:rPr>
        <w:t>(Corpus Christi State District Court) (Bracewell &amp; Patterson/Cliff Gunter)</w:t>
      </w:r>
    </w:p>
    <w:p>
      <w:pPr>
        <w:pStyle w:val="Body"/>
        <w:ind w:start="0" w:end="0"/>
        <w:rPr>
          <w:rFonts w:ascii="Times New Roman" w:hAnsi="Times New Roman" w:cs="Times New Roman"/>
          <w:bCs/>
          <w:color w:val="000000"/>
          <w:u w:val="single"/>
        </w:rPr>
      </w:pPr>
      <w:r>
        <w:rPr>
          <w:rFonts w:cs="Times New Roman" w:ascii="Times New Roman" w:hAnsi="Times New Roman"/>
          <w:bCs/>
          <w:color w:val="000000"/>
          <w:u w:val="single"/>
        </w:rPr>
      </w:r>
    </w:p>
    <w:p>
      <w:pPr>
        <w:pStyle w:val="Normal"/>
        <w:numPr>
          <w:ilvl w:val="0"/>
          <w:numId w:val="14"/>
        </w:numPr>
        <w:ind w:hanging="360" w:start="720" w:end="0"/>
        <w:jc w:val="both"/>
        <w:rPr>
          <w:bCs/>
        </w:rPr>
      </w:pPr>
      <w:r>
        <w:rPr>
          <w:bCs/>
        </w:rPr>
        <w:t>Berry Group is a Corpus Christi based company that lost over $6 million in the Qualitech bankruptcy.</w:t>
      </w:r>
    </w:p>
    <w:p>
      <w:pPr>
        <w:pStyle w:val="Normal"/>
        <w:numPr>
          <w:ilvl w:val="0"/>
          <w:numId w:val="14"/>
        </w:numPr>
        <w:ind w:hanging="360" w:start="720" w:end="0"/>
        <w:jc w:val="both"/>
        <w:rPr>
          <w:bCs/>
        </w:rPr>
      </w:pPr>
      <w:r>
        <w:rPr>
          <w:bCs/>
        </w:rPr>
        <w:t>Berry alleges that Enron, through Kevin McConville, represented to the Berrys that Enron would pay for any losses the Berry’s incurred as a result of Qualitech bankruptcy.</w:t>
      </w:r>
    </w:p>
    <w:p>
      <w:pPr>
        <w:pStyle w:val="Normal"/>
        <w:numPr>
          <w:ilvl w:val="0"/>
          <w:numId w:val="14"/>
        </w:numPr>
        <w:ind w:hanging="360" w:start="720" w:end="0"/>
        <w:jc w:val="both"/>
        <w:rPr>
          <w:bCs/>
        </w:rPr>
      </w:pPr>
      <w:r>
        <w:rPr>
          <w:bCs/>
        </w:rPr>
        <w:t>Kevin McConville’s deposition took place on January 11, 2001.  His testimony was favorable to Enron.</w:t>
      </w:r>
    </w:p>
    <w:p>
      <w:pPr>
        <w:pStyle w:val="Normal"/>
        <w:numPr>
          <w:ilvl w:val="0"/>
          <w:numId w:val="14"/>
        </w:numPr>
        <w:ind w:hanging="360" w:start="720" w:end="0"/>
        <w:jc w:val="both"/>
        <w:rPr>
          <w:b/>
        </w:rPr>
      </w:pPr>
      <w:r>
        <w:rPr>
          <w:b/>
        </w:rPr>
        <w:t>Discovery is proceeding.</w:t>
      </w:r>
    </w:p>
    <w:p>
      <w:pPr>
        <w:pStyle w:val="Normal"/>
        <w:ind w:start="450" w:end="0"/>
        <w:jc w:val="both"/>
        <w:rPr>
          <w:b/>
          <w:i/>
          <w:i/>
          <w:u w:val="single"/>
        </w:rPr>
      </w:pPr>
      <w:r>
        <w:rPr>
          <w:b/>
          <w:i/>
          <w:u w:val="single"/>
        </w:rPr>
      </w:r>
    </w:p>
    <w:p>
      <w:pPr>
        <w:pStyle w:val="Heading7"/>
        <w:ind w:hanging="0" w:start="0"/>
        <w:rPr/>
      </w:pPr>
      <w:r>
        <w:rPr/>
        <w:t>Citrus v. Duke LNG Sales Dispute</w:t>
      </w:r>
    </w:p>
    <w:p>
      <w:pPr>
        <w:pStyle w:val="Normal"/>
        <w:jc w:val="both"/>
        <w:rPr>
          <w:bCs/>
        </w:rPr>
      </w:pPr>
      <w:r>
        <w:rPr>
          <w:bCs/>
        </w:rPr>
        <w:t>(AAA Arbitration) (Susman Godfrey/Neal Manne)</w:t>
      </w:r>
    </w:p>
    <w:p>
      <w:pPr>
        <w:pStyle w:val="Normal"/>
        <w:jc w:val="both"/>
        <w:rPr>
          <w:bCs/>
        </w:rPr>
      </w:pPr>
      <w:r>
        <w:rPr>
          <w:bCs/>
        </w:rPr>
      </w:r>
    </w:p>
    <w:p>
      <w:pPr>
        <w:pStyle w:val="Normal"/>
        <w:numPr>
          <w:ilvl w:val="0"/>
          <w:numId w:val="14"/>
        </w:numPr>
        <w:ind w:hanging="360" w:start="720" w:end="0"/>
        <w:jc w:val="both"/>
        <w:rPr>
          <w:bCs/>
        </w:rPr>
      </w:pPr>
      <w:r>
        <w:rPr>
          <w:bCs/>
        </w:rPr>
        <w:t>Duke has initiated the price renegotiation provision of the long term LNG sales agreement between Duke and Citrus.  Because the parties could not agree on a new price under the contract, the new price will be decided by a three-person arbitration panel.</w:t>
      </w:r>
    </w:p>
    <w:p>
      <w:pPr>
        <w:pStyle w:val="Normal"/>
        <w:numPr>
          <w:ilvl w:val="0"/>
          <w:numId w:val="14"/>
        </w:numPr>
        <w:ind w:hanging="360" w:start="720" w:end="0"/>
        <w:jc w:val="both"/>
        <w:rPr>
          <w:b/>
        </w:rPr>
      </w:pPr>
      <w:r>
        <w:rPr>
          <w:bCs/>
        </w:rPr>
        <w:t xml:space="preserve">Duke’s position in arbitration is that the price cap provisions in the contract are void and that Duke is entitled to either receive a market price or cancel the contract.  </w:t>
      </w:r>
      <w:r>
        <w:rPr>
          <w:b/>
        </w:rPr>
        <w:t>Citrus filed a motion in the arbitration arguing that Duke’s position was not within the jurisdiction of the arbitration panel and should be struck.  The arbitration panel deferred its decision on Citrus’ motion until after the arbitration.</w:t>
      </w:r>
    </w:p>
    <w:p>
      <w:pPr>
        <w:pStyle w:val="Normal"/>
        <w:numPr>
          <w:ilvl w:val="0"/>
          <w:numId w:val="14"/>
        </w:numPr>
        <w:ind w:hanging="360" w:start="720" w:end="0"/>
        <w:jc w:val="both"/>
        <w:rPr>
          <w:bCs/>
        </w:rPr>
      </w:pPr>
      <w:r>
        <w:rPr>
          <w:bCs/>
        </w:rPr>
        <w:t>The market-to-market value to Enron is over $250 million.</w:t>
      </w:r>
    </w:p>
    <w:p>
      <w:pPr>
        <w:pStyle w:val="Normal"/>
        <w:numPr>
          <w:ilvl w:val="0"/>
          <w:numId w:val="14"/>
        </w:numPr>
        <w:ind w:hanging="360" w:start="720" w:end="0"/>
        <w:jc w:val="both"/>
        <w:rPr>
          <w:bCs/>
        </w:rPr>
      </w:pPr>
      <w:r>
        <w:rPr>
          <w:bCs/>
        </w:rPr>
        <w:t>Both sides have chosen arbitrators.  Enron chose Mike Beatty.  The neutral arbitrator is Joe Morris, former Federal District Judge and General Counsel of Shell.</w:t>
      </w:r>
    </w:p>
    <w:p>
      <w:pPr>
        <w:pStyle w:val="Normal"/>
        <w:numPr>
          <w:ilvl w:val="0"/>
          <w:numId w:val="14"/>
        </w:numPr>
        <w:ind w:hanging="360" w:start="720" w:end="0"/>
        <w:jc w:val="both"/>
        <w:rPr>
          <w:b/>
        </w:rPr>
      </w:pPr>
      <w:r>
        <w:rPr>
          <w:b/>
        </w:rPr>
        <w:t>The arbitration is scheduled in August 2001.</w:t>
      </w:r>
    </w:p>
    <w:p>
      <w:pPr>
        <w:pStyle w:val="EndnoteText"/>
        <w:rPr>
          <w:b/>
        </w:rPr>
      </w:pPr>
      <w:r>
        <w:rPr>
          <w:b/>
        </w:rPr>
      </w:r>
    </w:p>
    <w:p>
      <w:pPr>
        <w:pStyle w:val="Heading7"/>
        <w:ind w:hanging="0" w:start="0"/>
        <w:rPr>
          <w:i w:val="false"/>
          <w:i w:val="false"/>
          <w:iCs/>
          <w:u w:val="none"/>
        </w:rPr>
      </w:pPr>
      <w:r>
        <w:rPr/>
        <w:t>Citrus v. Duke New Smyrna Beach</w:t>
      </w:r>
    </w:p>
    <w:p>
      <w:pPr>
        <w:pStyle w:val="Normal"/>
        <w:rPr/>
      </w:pPr>
      <w:r>
        <w:rPr/>
        <w:t>(Self-Administered Arbitration) (Susman Godfrey/Steve Susman)</w:t>
      </w:r>
    </w:p>
    <w:p>
      <w:pPr>
        <w:pStyle w:val="Footer"/>
        <w:tabs>
          <w:tab w:val="clear" w:pos="4320"/>
          <w:tab w:val="clear" w:pos="8640"/>
          <w:tab w:val="left" w:pos="540" w:leader="none"/>
        </w:tabs>
        <w:rPr/>
      </w:pPr>
      <w:r>
        <w:rPr/>
      </w:r>
    </w:p>
    <w:p>
      <w:pPr>
        <w:pStyle w:val="Normal"/>
        <w:numPr>
          <w:ilvl w:val="0"/>
          <w:numId w:val="14"/>
        </w:numPr>
        <w:ind w:hanging="360" w:start="720" w:end="0"/>
        <w:jc w:val="both"/>
        <w:rPr>
          <w:bCs/>
        </w:rPr>
      </w:pPr>
      <w:r>
        <w:rPr>
          <w:bCs/>
        </w:rPr>
        <w:t>Citrus and Duke entered into a contract in January 1998 for the supply of gas to Duke’s proposed power projects in Florida.  A number of contractual disputes have arisen, and Duke has initiated arbitration proceedings.</w:t>
      </w:r>
    </w:p>
    <w:p>
      <w:pPr>
        <w:pStyle w:val="Normal"/>
        <w:numPr>
          <w:ilvl w:val="0"/>
          <w:numId w:val="14"/>
        </w:numPr>
        <w:ind w:hanging="360" w:start="720" w:end="0"/>
        <w:jc w:val="both"/>
        <w:rPr>
          <w:bCs/>
        </w:rPr>
      </w:pPr>
      <w:r>
        <w:rPr>
          <w:bCs/>
        </w:rPr>
        <w:t>Duke had planned to build a power plant in New Smyrna Beach by, at latest, June 2001.  The project has been delayed, but Duke is continuing to develop the project.  Duke contends Citrus should respect the contract’s original pricing terms.  Citrus, on the other hand, claims that the contract provides that the price should be changed to reflect changes in the “location, commencement or configuration “ of the New Smyrna Beach plant.</w:t>
      </w:r>
    </w:p>
    <w:p>
      <w:pPr>
        <w:pStyle w:val="Normal"/>
        <w:numPr>
          <w:ilvl w:val="0"/>
          <w:numId w:val="14"/>
        </w:numPr>
        <w:ind w:hanging="360" w:start="720" w:end="0"/>
        <w:jc w:val="both"/>
        <w:rPr>
          <w:bCs/>
        </w:rPr>
      </w:pPr>
      <w:r>
        <w:rPr>
          <w:bCs/>
        </w:rPr>
        <w:t>Duke is planning on building several peaker plants in Florida.  A key dispute is whether the peaker plants must purchase gas from Citrus under the contract.  If so, the arbitration panel is empowered to determine what the new contract price should be.</w:t>
      </w:r>
    </w:p>
    <w:p>
      <w:pPr>
        <w:pStyle w:val="Normal"/>
        <w:numPr>
          <w:ilvl w:val="0"/>
          <w:numId w:val="14"/>
        </w:numPr>
        <w:ind w:hanging="360" w:start="720" w:end="0"/>
        <w:jc w:val="both"/>
        <w:rPr>
          <w:bCs/>
        </w:rPr>
      </w:pPr>
      <w:r>
        <w:rPr/>
        <w:t xml:space="preserve">Former </w:t>
      </w:r>
      <w:r>
        <w:rPr>
          <w:bCs/>
        </w:rPr>
        <w:t>United States District Judge John Singleton has been selected as Citrus’ party-arbitrator. Duke chose New Orleans lawyer John M. McCollan.  The neutral arbitrator has yet to be appointed.</w:t>
      </w:r>
    </w:p>
    <w:p>
      <w:pPr>
        <w:pStyle w:val="Normal"/>
        <w:numPr>
          <w:ilvl w:val="0"/>
          <w:numId w:val="14"/>
        </w:numPr>
        <w:ind w:hanging="360" w:start="720" w:end="0"/>
        <w:jc w:val="both"/>
        <w:rPr/>
      </w:pPr>
      <w:r>
        <w:rPr>
          <w:bCs/>
        </w:rPr>
        <w:t>This matter</w:t>
      </w:r>
      <w:r>
        <w:rPr/>
        <w:t xml:space="preserve"> has settled.  Both parties agreed to tear up the Citrus/Duke Contract.</w:t>
      </w:r>
    </w:p>
    <w:p>
      <w:pPr>
        <w:pStyle w:val="Heading1"/>
        <w:rPr>
          <w:sz w:val="20"/>
        </w:rPr>
      </w:pPr>
      <w:r>
        <w:rPr>
          <w:sz w:val="20"/>
        </w:rPr>
      </w:r>
    </w:p>
    <w:p>
      <w:pPr>
        <w:pStyle w:val="Heading7"/>
        <w:ind w:hanging="0" w:start="0"/>
        <w:rPr/>
      </w:pPr>
      <w:r>
        <w:rPr/>
        <w:t>Columbia and Enron v. TDC Energy Corporation</w:t>
      </w:r>
    </w:p>
    <w:p>
      <w:pPr>
        <w:pStyle w:val="Normal"/>
        <w:jc w:val="both"/>
        <w:rPr/>
      </w:pPr>
      <w:r>
        <w:rPr/>
        <w:t>(Federal District Court New Orleans) (Robert L. Redfearn, Jr.)</w:t>
      </w:r>
    </w:p>
    <w:p>
      <w:pPr>
        <w:pStyle w:val="Normal"/>
        <w:jc w:val="both"/>
        <w:rPr/>
      </w:pPr>
      <w:r>
        <w:rPr/>
      </w:r>
    </w:p>
    <w:p>
      <w:pPr>
        <w:pStyle w:val="Normal"/>
        <w:numPr>
          <w:ilvl w:val="0"/>
          <w:numId w:val="14"/>
        </w:numPr>
        <w:ind w:hanging="360" w:start="720" w:end="0"/>
        <w:jc w:val="both"/>
        <w:rPr/>
      </w:pPr>
      <w:r>
        <w:rPr/>
        <w:t>Enron and Columbia Energy Services Corp. (“Columbia”) have sued TDC Energy Corporation (“TDC”) for breach of a hedge contract.  Enron and Columbia seek approximately $4.5 million damages.</w:t>
      </w:r>
    </w:p>
    <w:p>
      <w:pPr>
        <w:pStyle w:val="Normal"/>
        <w:numPr>
          <w:ilvl w:val="0"/>
          <w:numId w:val="14"/>
        </w:numPr>
        <w:ind w:hanging="360" w:start="720" w:end="0"/>
        <w:jc w:val="both"/>
        <w:rPr/>
      </w:pPr>
      <w:r>
        <w:rPr/>
        <w:t>The hedge contract was an oral agreement reached by TDC and Columbia.  Enron purchased the contract from Columbia beginning in January 2000.</w:t>
      </w:r>
    </w:p>
    <w:p>
      <w:pPr>
        <w:pStyle w:val="Normal"/>
        <w:numPr>
          <w:ilvl w:val="0"/>
          <w:numId w:val="14"/>
        </w:numPr>
        <w:ind w:hanging="360" w:start="720" w:end="0"/>
        <w:jc w:val="both"/>
        <w:rPr/>
      </w:pPr>
      <w:r>
        <w:rPr/>
        <w:t>In the course of settlement negotiations, TDC has not disputed that the parties reached an oral agreement.  Rather, TDC’s defense is simply that the Statute of Frauds prevents enforcement of the oral agreement.</w:t>
      </w:r>
    </w:p>
    <w:p>
      <w:pPr>
        <w:pStyle w:val="Normal"/>
        <w:numPr>
          <w:ilvl w:val="0"/>
          <w:numId w:val="14"/>
        </w:numPr>
        <w:ind w:hanging="360" w:start="720" w:end="0"/>
        <w:jc w:val="both"/>
        <w:rPr/>
      </w:pPr>
      <w:r>
        <w:rPr/>
        <w:t>TDC has requested that the case be dismissed, arguing that the Gas Industry Standards Board contract already in effect between the parties contains a forum selection clause choosing Harris County as the exclusive forum.</w:t>
      </w:r>
    </w:p>
    <w:p>
      <w:pPr>
        <w:pStyle w:val="Normal"/>
        <w:numPr>
          <w:ilvl w:val="0"/>
          <w:numId w:val="14"/>
        </w:numPr>
        <w:ind w:hanging="360" w:start="720" w:end="0"/>
        <w:jc w:val="both"/>
        <w:rPr/>
      </w:pPr>
      <w:r>
        <w:rPr/>
        <w:t>In the event a judge or jury determines that the hedge contract is not a legally enforceable obligation, Enron has reserved the right to seek contractual indemnification from Columbia.</w:t>
      </w:r>
    </w:p>
    <w:p>
      <w:pPr>
        <w:pStyle w:val="Normal"/>
        <w:jc w:val="both"/>
        <w:rPr>
          <w:bCs/>
          <w:i/>
          <w:i/>
          <w:u w:val="single"/>
        </w:rPr>
      </w:pPr>
      <w:r>
        <w:rPr>
          <w:bCs/>
          <w:i/>
          <w:u w:val="single"/>
        </w:rPr>
      </w:r>
    </w:p>
    <w:p>
      <w:pPr>
        <w:pStyle w:val="Heading7"/>
        <w:ind w:hanging="0" w:start="0"/>
        <w:rPr/>
      </w:pPr>
      <w:r>
        <w:rPr/>
        <w:t>Dennis McKenna v. ECT</w:t>
      </w:r>
    </w:p>
    <w:p>
      <w:pPr>
        <w:pStyle w:val="Normal"/>
        <w:jc w:val="both"/>
        <w:rPr>
          <w:bCs/>
        </w:rPr>
      </w:pPr>
      <w:r>
        <w:rPr>
          <w:bCs/>
        </w:rPr>
        <w:t>(AAA Arbitration in Harris County) (</w:t>
      </w:r>
      <w:r>
        <w:rPr>
          <w:rFonts w:cs="Arial"/>
          <w:bCs/>
          <w:color w:val="000000"/>
          <w:szCs w:val="18"/>
        </w:rPr>
        <w:t>Bracewell &amp; Patterson/Cliff Gunter and Ileana Blanco)</w:t>
      </w:r>
    </w:p>
    <w:p>
      <w:pPr>
        <w:pStyle w:val="Normal"/>
        <w:jc w:val="both"/>
        <w:rPr>
          <w:bCs/>
        </w:rPr>
      </w:pPr>
      <w:r>
        <w:rPr>
          <w:bCs/>
        </w:rPr>
      </w:r>
    </w:p>
    <w:p>
      <w:pPr>
        <w:pStyle w:val="Normal"/>
        <w:numPr>
          <w:ilvl w:val="0"/>
          <w:numId w:val="10"/>
        </w:numPr>
        <w:tabs>
          <w:tab w:val="clear" w:pos="720"/>
        </w:tabs>
        <w:ind w:hanging="360" w:start="720" w:end="0"/>
        <w:jc w:val="both"/>
        <w:rPr>
          <w:bCs/>
        </w:rPr>
      </w:pPr>
      <w:r>
        <w:rPr>
          <w:bCs/>
        </w:rPr>
        <w:t>ECT entered into a Consulting Agreement with McKenna in 1997 in which McKenna was to provide consulting services in connection with a proposed power plant in Mexico.  The contract called for McKenna to earn a success fee of $1.5 million.</w:t>
      </w:r>
    </w:p>
    <w:p>
      <w:pPr>
        <w:pStyle w:val="Normal"/>
        <w:numPr>
          <w:ilvl w:val="0"/>
          <w:numId w:val="10"/>
        </w:numPr>
        <w:tabs>
          <w:tab w:val="clear" w:pos="720"/>
        </w:tabs>
        <w:ind w:hanging="360" w:start="720" w:end="0"/>
        <w:jc w:val="both"/>
        <w:rPr>
          <w:bCs/>
        </w:rPr>
      </w:pPr>
      <w:r>
        <w:rPr>
          <w:bCs/>
        </w:rPr>
        <w:t>ECT and McKenna parted ways in 1998.  When McKenna heard about the Vitro project, he requested that ECT pay him the success fee.  ECT refused and McKenna has filed for arbitration</w:t>
      </w:r>
    </w:p>
    <w:p>
      <w:pPr>
        <w:pStyle w:val="Normal"/>
        <w:numPr>
          <w:ilvl w:val="0"/>
          <w:numId w:val="10"/>
        </w:numPr>
        <w:tabs>
          <w:tab w:val="clear" w:pos="720"/>
        </w:tabs>
        <w:ind w:hanging="360" w:start="720" w:end="0"/>
        <w:jc w:val="both"/>
        <w:rPr>
          <w:bCs/>
        </w:rPr>
      </w:pPr>
      <w:r>
        <w:rPr>
          <w:bCs/>
        </w:rPr>
        <w:t>ECT has named Tom McDade as its party designate arbitrator.  The neutral arbitrator is Finus Cowen.</w:t>
      </w:r>
    </w:p>
    <w:p>
      <w:pPr>
        <w:pStyle w:val="Normal"/>
        <w:numPr>
          <w:ilvl w:val="0"/>
          <w:numId w:val="10"/>
        </w:numPr>
        <w:tabs>
          <w:tab w:val="clear" w:pos="720"/>
        </w:tabs>
        <w:ind w:hanging="360" w:start="720" w:end="0"/>
        <w:jc w:val="both"/>
        <w:rPr>
          <w:bCs/>
        </w:rPr>
      </w:pPr>
      <w:r>
        <w:rPr>
          <w:bCs/>
        </w:rPr>
        <w:t>The arbitration is scheduled for August 20, 2001.</w:t>
      </w:r>
    </w:p>
    <w:p>
      <w:pPr>
        <w:pStyle w:val="Normal"/>
        <w:ind w:start="360" w:end="0"/>
        <w:jc w:val="both"/>
        <w:rPr>
          <w:bCs/>
        </w:rPr>
      </w:pPr>
      <w:r>
        <w:rPr>
          <w:bCs/>
        </w:rPr>
      </w:r>
    </w:p>
    <w:p>
      <w:pPr>
        <w:pStyle w:val="Heading7"/>
        <w:ind w:hanging="0" w:start="0"/>
        <w:rPr/>
      </w:pPr>
      <w:r>
        <w:rPr/>
        <w:t>Dow Waiver Litigation</w:t>
      </w:r>
    </w:p>
    <w:p>
      <w:pPr>
        <w:pStyle w:val="Normal"/>
        <w:jc w:val="both"/>
        <w:rPr/>
      </w:pPr>
      <w:r>
        <w:rPr/>
        <w:t>(Harris County State District Court) (Susman Godfrey/Bracewell &amp; Patterson/Vinson &amp; Elkins)</w:t>
      </w:r>
    </w:p>
    <w:p>
      <w:pPr>
        <w:pStyle w:val="Normal"/>
        <w:jc w:val="both"/>
        <w:rPr/>
      </w:pPr>
      <w:r>
        <w:rPr/>
      </w:r>
    </w:p>
    <w:p>
      <w:pPr>
        <w:pStyle w:val="Normal"/>
        <w:numPr>
          <w:ilvl w:val="0"/>
          <w:numId w:val="15"/>
        </w:numPr>
        <w:ind w:hanging="360" w:start="720" w:end="0"/>
        <w:jc w:val="both"/>
        <w:rPr/>
      </w:pPr>
      <w:r>
        <w:rPr/>
        <w:t>Plaintiffs have filed a class action alleging that Houston Pipeline failed to take ratably from gas wells in West Texas.</w:t>
      </w:r>
    </w:p>
    <w:p>
      <w:pPr>
        <w:pStyle w:val="Normal"/>
        <w:numPr>
          <w:ilvl w:val="0"/>
          <w:numId w:val="15"/>
        </w:numPr>
        <w:ind w:hanging="360" w:start="720" w:end="0"/>
        <w:jc w:val="both"/>
        <w:rPr/>
      </w:pPr>
      <w:r>
        <w:rPr/>
        <w:t>Plaintiffs allege $466 million in damages</w:t>
      </w:r>
    </w:p>
    <w:p>
      <w:pPr>
        <w:pStyle w:val="Normal"/>
        <w:numPr>
          <w:ilvl w:val="0"/>
          <w:numId w:val="15"/>
        </w:numPr>
        <w:ind w:hanging="360" w:start="720" w:end="0"/>
        <w:jc w:val="both"/>
        <w:rPr/>
      </w:pPr>
      <w:r>
        <w:rPr/>
        <w:t>Our preliminary damage model indicates damages of $60 - $160 million if Plaintiffs recover on their claim.</w:t>
      </w:r>
    </w:p>
    <w:p>
      <w:pPr>
        <w:pStyle w:val="Normal"/>
        <w:numPr>
          <w:ilvl w:val="0"/>
          <w:numId w:val="15"/>
        </w:numPr>
        <w:ind w:hanging="360" w:start="720" w:end="0"/>
        <w:jc w:val="both"/>
        <w:rPr/>
      </w:pPr>
      <w:r>
        <w:rPr/>
        <w:t>On March 10, 2000 the Texas Supreme Court reversed the Court of Appeals decision in favor of the plaintiffs. The Texas Supreme Court found that the trial court’s certification of the plaintiff’s class action was improper and remanded the case back to the trial court.</w:t>
      </w:r>
    </w:p>
    <w:p>
      <w:pPr>
        <w:pStyle w:val="Normal"/>
        <w:numPr>
          <w:ilvl w:val="0"/>
          <w:numId w:val="15"/>
        </w:numPr>
        <w:ind w:hanging="360" w:start="720" w:end="0"/>
        <w:jc w:val="both"/>
        <w:rPr/>
      </w:pPr>
      <w:r>
        <w:rPr/>
        <w:t>The trial is expected within 12-24 months.</w:t>
      </w:r>
    </w:p>
    <w:p>
      <w:pPr>
        <w:pStyle w:val="Normal"/>
        <w:numPr>
          <w:ilvl w:val="0"/>
          <w:numId w:val="15"/>
        </w:numPr>
        <w:ind w:hanging="360" w:start="720" w:end="0"/>
        <w:jc w:val="both"/>
        <w:rPr/>
      </w:pPr>
      <w:r>
        <w:rPr/>
        <w:t>On August 24, 2000 the trial court issued a preliminary ruling that the new class requested by the Plaintiffs could not be certified.  The court also granted Enron’s motion for summary judgement on the Plaintiff’s Dow Waiver claim.  The court denied Enron’s motion for summary judgment on the statute of limitations defense.</w:t>
      </w:r>
    </w:p>
    <w:p>
      <w:pPr>
        <w:pStyle w:val="Normal"/>
        <w:numPr>
          <w:ilvl w:val="0"/>
          <w:numId w:val="15"/>
        </w:numPr>
        <w:ind w:hanging="360" w:start="720" w:end="0"/>
        <w:jc w:val="both"/>
        <w:rPr/>
      </w:pPr>
      <w:r>
        <w:rPr/>
        <w:t>The Plaintiffs filed a motion for a rehearing of the trial court’s rulings.  On January 18</w:t>
      </w:r>
      <w:r>
        <w:rPr>
          <w:vertAlign w:val="superscript"/>
        </w:rPr>
        <w:t>th</w:t>
      </w:r>
      <w:r>
        <w:rPr/>
        <w:t>, the Court denied the motion for rehearing.  Plaintiffs have indicated they will appeal.</w:t>
      </w:r>
    </w:p>
    <w:p>
      <w:pPr>
        <w:pStyle w:val="Normal"/>
        <w:jc w:val="both"/>
        <w:rPr>
          <w:i/>
          <w:i/>
          <w:u w:val="single"/>
        </w:rPr>
      </w:pPr>
      <w:r>
        <w:rPr>
          <w:i/>
          <w:u w:val="single"/>
        </w:rPr>
      </w:r>
    </w:p>
    <w:p>
      <w:pPr>
        <w:pStyle w:val="Heading7"/>
        <w:ind w:hanging="0" w:start="0"/>
        <w:rPr/>
      </w:pPr>
      <w:r>
        <w:rPr/>
        <w:t>Enron v. Antarra Resources</w:t>
      </w:r>
    </w:p>
    <w:p>
      <w:pPr>
        <w:pStyle w:val="Normal"/>
        <w:jc w:val="both"/>
        <w:rPr/>
      </w:pPr>
      <w:r>
        <w:rPr/>
        <w:t xml:space="preserve">(Harris County State District Court) (Buck, Keenan &amp; Gage/Jim Keenan) </w:t>
      </w:r>
    </w:p>
    <w:p>
      <w:pPr>
        <w:pStyle w:val="Normal"/>
        <w:ind w:start="720" w:end="0"/>
        <w:jc w:val="both"/>
        <w:rPr/>
      </w:pPr>
      <w:r>
        <w:rPr/>
      </w:r>
    </w:p>
    <w:p>
      <w:pPr>
        <w:pStyle w:val="Normal"/>
        <w:numPr>
          <w:ilvl w:val="0"/>
          <w:numId w:val="14"/>
        </w:numPr>
        <w:ind w:hanging="360" w:start="810" w:end="0"/>
        <w:jc w:val="both"/>
        <w:rPr/>
      </w:pPr>
      <w:r>
        <w:rPr/>
        <w:t>Badack Resources, a subsidiary of Antarra, defaulted on a gas sales agreement with ENA.</w:t>
      </w:r>
    </w:p>
    <w:p>
      <w:pPr>
        <w:pStyle w:val="Normal"/>
        <w:numPr>
          <w:ilvl w:val="0"/>
          <w:numId w:val="14"/>
        </w:numPr>
        <w:ind w:hanging="360" w:start="810" w:end="0"/>
        <w:jc w:val="both"/>
        <w:rPr/>
      </w:pPr>
      <w:r>
        <w:rPr/>
        <w:t>ENA’s damages are approximately $8.4 million.</w:t>
      </w:r>
    </w:p>
    <w:p>
      <w:pPr>
        <w:pStyle w:val="Normal"/>
        <w:numPr>
          <w:ilvl w:val="0"/>
          <w:numId w:val="14"/>
        </w:numPr>
        <w:ind w:hanging="360" w:start="810" w:end="0"/>
        <w:jc w:val="both"/>
        <w:rPr/>
      </w:pPr>
      <w:r>
        <w:rPr/>
        <w:t>Antarra was sued under a corporate guaranty.</w:t>
      </w:r>
    </w:p>
    <w:p>
      <w:pPr>
        <w:pStyle w:val="Normal"/>
        <w:numPr>
          <w:ilvl w:val="0"/>
          <w:numId w:val="14"/>
        </w:numPr>
        <w:ind w:hanging="360" w:start="810" w:end="0"/>
        <w:jc w:val="both"/>
        <w:rPr/>
      </w:pPr>
      <w:r>
        <w:rPr/>
        <w:t>ENA filed a motion for summary judgment on the issue of liability under the gas sales contract.  On December 12, 2000, the Court granted Enron’s motion.</w:t>
      </w:r>
    </w:p>
    <w:p>
      <w:pPr>
        <w:pStyle w:val="Normal"/>
        <w:numPr>
          <w:ilvl w:val="0"/>
          <w:numId w:val="14"/>
        </w:numPr>
        <w:ind w:hanging="360" w:start="810" w:end="0"/>
        <w:jc w:val="both"/>
        <w:rPr/>
      </w:pPr>
      <w:r>
        <w:rPr/>
        <w:t>Discovery is proceeding on the issue of damages.</w:t>
      </w:r>
    </w:p>
    <w:p>
      <w:pPr>
        <w:pStyle w:val="Normal"/>
        <w:numPr>
          <w:ilvl w:val="0"/>
          <w:numId w:val="14"/>
        </w:numPr>
        <w:ind w:hanging="360" w:start="810" w:end="0"/>
        <w:jc w:val="both"/>
        <w:rPr/>
      </w:pPr>
      <w:r>
        <w:rPr/>
        <w:t>Plaintiffs have filed a counterclaim alleging breach of a confidentiality agreement and fraud.</w:t>
      </w:r>
    </w:p>
    <w:p>
      <w:pPr>
        <w:pStyle w:val="Normal"/>
        <w:rPr/>
      </w:pPr>
      <w:r>
        <w:rPr/>
      </w:r>
    </w:p>
    <w:p>
      <w:pPr>
        <w:pStyle w:val="Heading7"/>
        <w:ind w:hanging="0" w:start="0"/>
        <w:rPr/>
      </w:pPr>
      <w:r>
        <w:rPr/>
        <w:t>Enron Economic Development Corp. v. Intrust</w:t>
      </w:r>
    </w:p>
    <w:p>
      <w:pPr>
        <w:pStyle w:val="Normal"/>
        <w:numPr>
          <w:ilvl w:val="0"/>
          <w:numId w:val="0"/>
        </w:numPr>
        <w:ind w:hanging="0" w:start="0"/>
        <w:jc w:val="both"/>
        <w:rPr/>
      </w:pPr>
      <w:r>
        <w:rPr/>
        <w:t>(Harris County State District Court – Gibbs &amp; Bruns/Jean Frizzell)</w:t>
      </w:r>
    </w:p>
    <w:p>
      <w:pPr>
        <w:pStyle w:val="Normal"/>
        <w:numPr>
          <w:ilvl w:val="0"/>
          <w:numId w:val="0"/>
        </w:numPr>
        <w:ind w:hanging="0" w:start="0"/>
        <w:jc w:val="both"/>
        <w:rPr/>
      </w:pPr>
      <w:r>
        <w:rPr/>
      </w:r>
    </w:p>
    <w:p>
      <w:pPr>
        <w:pStyle w:val="Normal"/>
        <w:numPr>
          <w:ilvl w:val="0"/>
          <w:numId w:val="15"/>
        </w:numPr>
        <w:ind w:hanging="360" w:start="720" w:end="0"/>
        <w:jc w:val="both"/>
        <w:rPr/>
      </w:pPr>
      <w:r>
        <w:rPr/>
        <w:t>Intrust has sued EEDC, Houston Economic Opportunity Fund (“HEOF”), ECT, Enron Corp., Mark Lay, and Gene Humphrey alleging breach of fiduciary duty, fraud, breach of contract, and defamation after Intrust was terminated as co-general partner of HEOF.</w:t>
      </w:r>
    </w:p>
    <w:p>
      <w:pPr>
        <w:pStyle w:val="Normal"/>
        <w:numPr>
          <w:ilvl w:val="0"/>
          <w:numId w:val="15"/>
        </w:numPr>
        <w:ind w:hanging="360" w:start="720" w:end="0"/>
        <w:jc w:val="both"/>
        <w:rPr/>
      </w:pPr>
      <w:r>
        <w:rPr/>
        <w:t>The trial court stayed all discovery pending the appraisal process outlined in the partnership agreement.  The appraisal process is now completed and Intrust partnership interest has been valued at approximately $35,000.00.</w:t>
      </w:r>
    </w:p>
    <w:p>
      <w:pPr>
        <w:pStyle w:val="Normal"/>
        <w:numPr>
          <w:ilvl w:val="0"/>
          <w:numId w:val="15"/>
        </w:numPr>
        <w:ind w:hanging="360" w:start="720" w:end="0"/>
        <w:jc w:val="both"/>
        <w:rPr/>
      </w:pPr>
      <w:r>
        <w:rPr/>
        <w:t>Discovery is proceeding.</w:t>
      </w:r>
    </w:p>
    <w:p>
      <w:pPr>
        <w:pStyle w:val="Normal"/>
        <w:numPr>
          <w:ilvl w:val="0"/>
          <w:numId w:val="15"/>
        </w:numPr>
        <w:ind w:hanging="360" w:start="720" w:end="0"/>
        <w:jc w:val="both"/>
        <w:rPr/>
      </w:pPr>
      <w:r>
        <w:rPr/>
        <w:t>Notwithstanding the appraisal, Intrust alleges damages of over $1 million.</w:t>
      </w:r>
    </w:p>
    <w:p>
      <w:pPr>
        <w:pStyle w:val="Normal"/>
        <w:numPr>
          <w:ilvl w:val="0"/>
          <w:numId w:val="15"/>
        </w:numPr>
        <w:ind w:hanging="360" w:start="720" w:end="0"/>
        <w:jc w:val="both"/>
        <w:rPr/>
      </w:pPr>
      <w:r>
        <w:rPr/>
        <w:t>Trial is scheduled for July 16, 2001.</w:t>
      </w:r>
    </w:p>
    <w:p>
      <w:pPr>
        <w:pStyle w:val="Heading1"/>
        <w:numPr>
          <w:ilvl w:val="0"/>
          <w:numId w:val="0"/>
        </w:numPr>
        <w:ind w:hanging="0" w:start="0"/>
        <w:rPr>
          <w:sz w:val="20"/>
        </w:rPr>
      </w:pPr>
      <w:r>
        <w:rPr>
          <w:sz w:val="20"/>
        </w:rPr>
      </w:r>
      <w:r>
        <w:br w:type="page"/>
      </w:r>
    </w:p>
    <w:p>
      <w:pPr>
        <w:pStyle w:val="Heading7"/>
        <w:ind w:hanging="0" w:start="0"/>
        <w:rPr/>
      </w:pPr>
      <w:r>
        <w:rPr/>
        <w:t>Enron Power Marketing, Inc. v. California Power Exchange</w:t>
      </w:r>
    </w:p>
    <w:p>
      <w:pPr>
        <w:pStyle w:val="Normal"/>
        <w:numPr>
          <w:ilvl w:val="0"/>
          <w:numId w:val="0"/>
        </w:numPr>
        <w:ind w:hanging="0" w:start="0"/>
        <w:jc w:val="both"/>
        <w:rPr/>
      </w:pPr>
      <w:r>
        <w:rPr/>
        <w:t>(Los Angeles Federal District Court – Quinn Emanuel) (Federal Energy Regulatory Commission – Bracewell &amp; Patterson)</w:t>
      </w:r>
    </w:p>
    <w:p>
      <w:pPr>
        <w:pStyle w:val="Normal"/>
        <w:numPr>
          <w:ilvl w:val="0"/>
          <w:numId w:val="0"/>
        </w:numPr>
        <w:ind w:hanging="0" w:start="0"/>
        <w:jc w:val="both"/>
        <w:rPr>
          <w:i/>
          <w:i/>
          <w:u w:val="single"/>
        </w:rPr>
      </w:pPr>
      <w:r>
        <w:rPr>
          <w:i/>
          <w:u w:val="single"/>
        </w:rPr>
      </w:r>
    </w:p>
    <w:p>
      <w:pPr>
        <w:pStyle w:val="Normal"/>
        <w:numPr>
          <w:ilvl w:val="0"/>
          <w:numId w:val="15"/>
        </w:numPr>
        <w:ind w:hanging="360" w:start="720" w:end="0"/>
        <w:jc w:val="both"/>
        <w:rPr/>
      </w:pPr>
      <w:r>
        <w:rPr/>
        <w:t>On January 31, 2001, the CalPx drew down on $36.5 million of EPMI’s collateral as a result of EMPI’s alleged breach of the CalPx tariff.</w:t>
      </w:r>
    </w:p>
    <w:p>
      <w:pPr>
        <w:pStyle w:val="Normal"/>
        <w:numPr>
          <w:ilvl w:val="0"/>
          <w:numId w:val="15"/>
        </w:numPr>
        <w:ind w:hanging="360" w:start="720" w:end="0"/>
        <w:jc w:val="both"/>
        <w:rPr/>
      </w:pPr>
      <w:r>
        <w:rPr/>
        <w:t>CalPx also threatened to draw down on an additional $110 million of EPMI’s collateral if EPMI did not pay its proportional share of the “charge backs” resulting from SCE and PG&amp;E defaults in the ISO Market.</w:t>
      </w:r>
    </w:p>
    <w:p>
      <w:pPr>
        <w:pStyle w:val="Normal"/>
        <w:numPr>
          <w:ilvl w:val="0"/>
          <w:numId w:val="15"/>
        </w:numPr>
        <w:ind w:hanging="360" w:start="720" w:end="0"/>
        <w:jc w:val="both"/>
        <w:rPr/>
      </w:pPr>
      <w:r>
        <w:rPr/>
        <w:t>EPMI filed suit in Los Angeles Federal District Court requesting that the Court: (1) grant a temporary injunction placing the $36.5 million in escrow pending resolution of the CalPx breach of tariff claim, and (2) enjoin any assessment of “charge backs” until the issue can be resolved at FERC.</w:t>
      </w:r>
    </w:p>
    <w:p>
      <w:pPr>
        <w:pStyle w:val="Normal"/>
        <w:numPr>
          <w:ilvl w:val="0"/>
          <w:numId w:val="15"/>
        </w:numPr>
        <w:ind w:hanging="360" w:start="720" w:end="0"/>
        <w:jc w:val="both"/>
        <w:rPr/>
      </w:pPr>
      <w:r>
        <w:rPr/>
        <w:t>On February 9, 2001, the District Court granted EPMI’s request for a temporary restraining order.  EPMI and CalPx have now entered into an stipulated injunction granting all of EPMI’s requested relief.</w:t>
      </w:r>
    </w:p>
    <w:p>
      <w:pPr>
        <w:pStyle w:val="Normal"/>
        <w:numPr>
          <w:ilvl w:val="0"/>
          <w:numId w:val="15"/>
        </w:numPr>
        <w:ind w:hanging="360" w:start="720" w:end="0"/>
        <w:jc w:val="both"/>
        <w:rPr/>
      </w:pPr>
      <w:r>
        <w:rPr/>
        <w:t>EMPI also filed a FERC action requesting that FERC interpret the CalPx charge back provisions of the CalPx tariff.</w:t>
      </w:r>
    </w:p>
    <w:p>
      <w:pPr>
        <w:pStyle w:val="Normal"/>
        <w:numPr>
          <w:ilvl w:val="0"/>
          <w:numId w:val="15"/>
        </w:numPr>
        <w:ind w:hanging="360" w:start="720" w:end="0"/>
        <w:jc w:val="both"/>
        <w:rPr/>
      </w:pPr>
      <w:r>
        <w:rPr>
          <w:b/>
          <w:bCs/>
        </w:rPr>
        <w:t>FERC issued a ruling that the PX charge back methodology was unjust and unreasonable.  We are applying to the District Court for a return of our collateral.</w:t>
      </w:r>
    </w:p>
    <w:p>
      <w:pPr>
        <w:pStyle w:val="Normal"/>
        <w:ind w:start="720" w:end="0"/>
        <w:jc w:val="both"/>
        <w:rPr/>
      </w:pPr>
      <w:r>
        <w:rPr/>
      </w:r>
    </w:p>
    <w:p>
      <w:pPr>
        <w:pStyle w:val="Heading7"/>
        <w:ind w:hanging="0" w:start="0"/>
        <w:rPr/>
      </w:pPr>
      <w:r>
        <w:rPr/>
        <w:t>Enron Power Marketing v. Calpine Corp.</w:t>
      </w:r>
    </w:p>
    <w:p>
      <w:pPr>
        <w:pStyle w:val="Normal"/>
        <w:jc w:val="both"/>
        <w:rPr/>
      </w:pPr>
      <w:r>
        <w:rPr/>
        <w:t>(Houston Federal District Court) (Bill Ogden)</w:t>
      </w:r>
    </w:p>
    <w:p>
      <w:pPr>
        <w:pStyle w:val="Normal"/>
        <w:jc w:val="both"/>
        <w:rPr/>
      </w:pPr>
      <w:r>
        <w:rPr/>
      </w:r>
    </w:p>
    <w:p>
      <w:pPr>
        <w:pStyle w:val="Normal"/>
        <w:numPr>
          <w:ilvl w:val="0"/>
          <w:numId w:val="14"/>
        </w:numPr>
        <w:ind w:hanging="360" w:start="720" w:end="0"/>
        <w:jc w:val="both"/>
        <w:rPr/>
      </w:pPr>
      <w:r>
        <w:rPr/>
        <w:t>EPMI filed a lawsuit against Calpine alleging that Calpine breached its contract with EPMI to assume certain power contracts EPMI had with the Lower Colorado River Authority.</w:t>
      </w:r>
    </w:p>
    <w:p>
      <w:pPr>
        <w:pStyle w:val="Normal"/>
        <w:numPr>
          <w:ilvl w:val="0"/>
          <w:numId w:val="14"/>
        </w:numPr>
        <w:ind w:hanging="360" w:start="720" w:end="0"/>
        <w:jc w:val="both"/>
        <w:rPr/>
      </w:pPr>
      <w:r>
        <w:rPr/>
        <w:t>EPMI's damages will depend on the cost of covering Calpine's position.  The damages are estimated to be $2.4-7.2 million.</w:t>
      </w:r>
    </w:p>
    <w:p>
      <w:pPr>
        <w:pStyle w:val="Normal"/>
        <w:numPr>
          <w:ilvl w:val="0"/>
          <w:numId w:val="14"/>
        </w:numPr>
        <w:ind w:hanging="360" w:start="720" w:end="0"/>
        <w:jc w:val="both"/>
        <w:rPr/>
      </w:pPr>
      <w:r>
        <w:rPr/>
        <w:t>On March 6, 2000, Calpine filed an answer and removed this case to Federal Court.</w:t>
      </w:r>
    </w:p>
    <w:p>
      <w:pPr>
        <w:pStyle w:val="Normal"/>
        <w:numPr>
          <w:ilvl w:val="0"/>
          <w:numId w:val="14"/>
        </w:numPr>
        <w:ind w:hanging="360" w:start="720" w:end="0"/>
        <w:jc w:val="both"/>
        <w:rPr>
          <w:bCs/>
        </w:rPr>
      </w:pPr>
      <w:r>
        <w:rPr>
          <w:bCs/>
        </w:rPr>
        <w:t>Discovery is proceeding.</w:t>
      </w:r>
    </w:p>
    <w:p>
      <w:pPr>
        <w:pStyle w:val="Normal"/>
        <w:numPr>
          <w:ilvl w:val="0"/>
          <w:numId w:val="14"/>
        </w:numPr>
        <w:ind w:hanging="360" w:start="720" w:end="0"/>
        <w:jc w:val="both"/>
        <w:rPr>
          <w:bCs/>
        </w:rPr>
      </w:pPr>
      <w:r>
        <w:rPr>
          <w:bCs/>
        </w:rPr>
        <w:t>Trial is set for July/August 2001.</w:t>
      </w:r>
    </w:p>
    <w:p>
      <w:pPr>
        <w:pStyle w:val="Normal"/>
        <w:jc w:val="both"/>
        <w:rPr>
          <w:bCs/>
          <w:i/>
          <w:i/>
          <w:u w:val="single"/>
        </w:rPr>
      </w:pPr>
      <w:r>
        <w:rPr>
          <w:bCs/>
          <w:i/>
          <w:u w:val="single"/>
        </w:rPr>
      </w:r>
    </w:p>
    <w:p>
      <w:pPr>
        <w:pStyle w:val="Heading7"/>
        <w:ind w:hanging="0" w:start="0"/>
        <w:rPr/>
      </w:pPr>
      <w:r>
        <w:rPr/>
        <w:t>EnSerCo, L.L.C.v. Drilling Rig Noram 253 and SAM Offshore, Ltd.</w:t>
      </w:r>
    </w:p>
    <w:p>
      <w:pPr>
        <w:pStyle w:val="Normal"/>
        <w:jc w:val="both"/>
        <w:rPr/>
      </w:pPr>
      <w:r>
        <w:rPr/>
        <w:t>(Southern District, Galveston Division) (Gardere Wynne Sewell &amp; Riggs)</w:t>
      </w:r>
    </w:p>
    <w:p>
      <w:pPr>
        <w:pStyle w:val="Normal"/>
        <w:jc w:val="both"/>
        <w:rPr/>
      </w:pPr>
      <w:r>
        <w:rPr/>
      </w:r>
    </w:p>
    <w:p>
      <w:pPr>
        <w:pStyle w:val="Normal"/>
        <w:numPr>
          <w:ilvl w:val="0"/>
          <w:numId w:val="15"/>
        </w:numPr>
        <w:ind w:hanging="360" w:start="720" w:end="0"/>
        <w:jc w:val="both"/>
        <w:rPr/>
      </w:pPr>
      <w:r>
        <w:rPr/>
        <w:t>Sam Offshore defaulted on $15,500,000 Promissory Note</w:t>
      </w:r>
    </w:p>
    <w:p>
      <w:pPr>
        <w:pStyle w:val="Normal"/>
        <w:numPr>
          <w:ilvl w:val="0"/>
          <w:numId w:val="15"/>
        </w:numPr>
        <w:ind w:hanging="360" w:start="720" w:end="0"/>
        <w:jc w:val="both"/>
        <w:rPr/>
      </w:pPr>
      <w:r>
        <w:rPr/>
        <w:t>Enserco seized the vessel on October 15, 1999.  The rig is located in Galveston</w:t>
      </w:r>
    </w:p>
    <w:p>
      <w:pPr>
        <w:pStyle w:val="Normal"/>
        <w:numPr>
          <w:ilvl w:val="0"/>
          <w:numId w:val="15"/>
        </w:numPr>
        <w:ind w:hanging="360" w:start="720" w:end="0"/>
        <w:jc w:val="both"/>
        <w:rPr/>
      </w:pPr>
      <w:r>
        <w:rPr/>
        <w:t>Enserco filed suit against the guarantors of the Sam Offshore loan.  The guarantors are foreign companies.</w:t>
      </w:r>
    </w:p>
    <w:p>
      <w:pPr>
        <w:pStyle w:val="Normal"/>
        <w:numPr>
          <w:ilvl w:val="0"/>
          <w:numId w:val="15"/>
        </w:numPr>
        <w:ind w:hanging="360" w:start="720" w:end="0"/>
        <w:jc w:val="both"/>
        <w:rPr/>
      </w:pPr>
      <w:r>
        <w:rPr/>
        <w:t>Enserco purchased the rig in a judicial foreclosure sale for $1 million.  We are attempting to sell this rig.</w:t>
      </w:r>
    </w:p>
    <w:p>
      <w:pPr>
        <w:pStyle w:val="Normal"/>
        <w:numPr>
          <w:ilvl w:val="0"/>
          <w:numId w:val="15"/>
        </w:numPr>
        <w:ind w:hanging="360" w:start="720" w:end="0"/>
        <w:jc w:val="both"/>
        <w:rPr/>
      </w:pPr>
      <w:r>
        <w:rPr/>
        <w:t>Prior to the trial, the defendants agreed to a deficiency judgment in favor of Enserco.  Enserco agreed to dismiss fraudulent transfer claims against two defendants.</w:t>
      </w:r>
    </w:p>
    <w:p>
      <w:pPr>
        <w:pStyle w:val="Normal"/>
        <w:numPr>
          <w:ilvl w:val="0"/>
          <w:numId w:val="15"/>
        </w:numPr>
        <w:ind w:hanging="360" w:start="720" w:end="0"/>
        <w:jc w:val="both"/>
        <w:rPr>
          <w:b/>
          <w:bCs/>
        </w:rPr>
      </w:pPr>
      <w:r>
        <w:rPr/>
        <w:t>Discovery is proceeding concerning the amount of the deficiency.</w:t>
      </w:r>
    </w:p>
    <w:p>
      <w:pPr>
        <w:pStyle w:val="Normal"/>
        <w:numPr>
          <w:ilvl w:val="0"/>
          <w:numId w:val="15"/>
        </w:numPr>
        <w:ind w:hanging="360" w:start="720" w:end="0"/>
        <w:jc w:val="both"/>
        <w:rPr/>
      </w:pPr>
      <w:r>
        <w:rPr/>
        <w:t>Trial has been set for April 23, 2001.</w:t>
      </w:r>
    </w:p>
    <w:p>
      <w:pPr>
        <w:pStyle w:val="Normal"/>
        <w:numPr>
          <w:ilvl w:val="0"/>
          <w:numId w:val="0"/>
        </w:numPr>
        <w:ind w:hanging="0" w:start="0"/>
        <w:jc w:val="both"/>
        <w:rPr>
          <w:i/>
          <w:i/>
          <w:u w:val="single"/>
        </w:rPr>
      </w:pPr>
      <w:r>
        <w:rPr>
          <w:i/>
          <w:u w:val="single"/>
        </w:rPr>
      </w:r>
    </w:p>
    <w:p>
      <w:pPr>
        <w:pStyle w:val="Heading7"/>
        <w:ind w:hanging="0" w:start="0"/>
        <w:rPr/>
      </w:pPr>
      <w:r>
        <w:rPr/>
        <w:t>Glatzer v. Enron Corp. and Enron Finance Corp.</w:t>
      </w:r>
    </w:p>
    <w:p>
      <w:pPr>
        <w:pStyle w:val="Normal"/>
        <w:numPr>
          <w:ilvl w:val="0"/>
          <w:numId w:val="0"/>
        </w:numPr>
        <w:ind w:hanging="0" w:start="0"/>
        <w:jc w:val="both"/>
        <w:rPr/>
      </w:pPr>
      <w:r>
        <w:rPr/>
        <w:t>(New York state court) (Susman Godfrey)</w:t>
      </w:r>
    </w:p>
    <w:p>
      <w:pPr>
        <w:pStyle w:val="Normal"/>
        <w:numPr>
          <w:ilvl w:val="0"/>
          <w:numId w:val="0"/>
        </w:numPr>
        <w:ind w:hanging="0" w:start="0"/>
        <w:jc w:val="both"/>
        <w:rPr/>
      </w:pPr>
      <w:r>
        <w:rPr/>
      </w:r>
    </w:p>
    <w:p>
      <w:pPr>
        <w:pStyle w:val="Normal"/>
        <w:numPr>
          <w:ilvl w:val="0"/>
          <w:numId w:val="15"/>
        </w:numPr>
        <w:ind w:hanging="360" w:start="720" w:end="0"/>
        <w:jc w:val="both"/>
        <w:rPr/>
      </w:pPr>
      <w:r>
        <w:rPr/>
        <w:t>Plaintiff claims that ECT misappropriated trade secrets.  The alleged trade secret was Plaintiff’s idea to monetize production payments.  Plaintiff gave his idea to Bear Stearns who then allegedly relayed the idea to ECT.</w:t>
      </w:r>
    </w:p>
    <w:p>
      <w:pPr>
        <w:pStyle w:val="Normal"/>
        <w:numPr>
          <w:ilvl w:val="0"/>
          <w:numId w:val="15"/>
        </w:numPr>
        <w:ind w:hanging="360" w:start="720" w:end="0"/>
        <w:jc w:val="both"/>
        <w:rPr/>
      </w:pPr>
      <w:r>
        <w:rPr/>
        <w:t>Plaintiff’s damages are unspecified, but he has offered to settle for $1 million</w:t>
      </w:r>
    </w:p>
    <w:p>
      <w:pPr>
        <w:pStyle w:val="Normal"/>
        <w:numPr>
          <w:ilvl w:val="0"/>
          <w:numId w:val="15"/>
        </w:numPr>
        <w:ind w:hanging="360" w:start="720" w:end="0"/>
        <w:jc w:val="both"/>
        <w:rPr/>
      </w:pPr>
      <w:r>
        <w:rPr/>
        <w:t xml:space="preserve">ECT filed a motion for summary judgment and on July 14, 1999, the Court granted ECT’s motion for summary judgment. </w:t>
      </w:r>
    </w:p>
    <w:p>
      <w:pPr>
        <w:pStyle w:val="Normal"/>
        <w:numPr>
          <w:ilvl w:val="0"/>
          <w:numId w:val="15"/>
        </w:numPr>
        <w:ind w:hanging="360" w:start="720" w:end="0"/>
        <w:jc w:val="both"/>
        <w:rPr>
          <w:i/>
          <w:i/>
          <w:u w:val="single"/>
        </w:rPr>
      </w:pPr>
      <w:r>
        <w:rPr/>
        <w:t>The plaintiff appealed the granting of the motion for summary judgment.  On December 10, 2001, the Court of Appeals affirmed the trial court’s decision granting summary judgment.</w:t>
      </w:r>
    </w:p>
    <w:p>
      <w:pPr>
        <w:pStyle w:val="Normal"/>
        <w:numPr>
          <w:ilvl w:val="0"/>
          <w:numId w:val="15"/>
        </w:numPr>
        <w:ind w:hanging="360" w:start="720" w:end="0"/>
        <w:jc w:val="both"/>
        <w:rPr>
          <w:i/>
          <w:i/>
          <w:u w:val="single"/>
        </w:rPr>
      </w:pPr>
      <w:r>
        <w:rPr/>
        <w:t>Plaintiff has recently offered to settle for $500,000.  This offer was rejected.</w:t>
      </w:r>
    </w:p>
    <w:p>
      <w:pPr>
        <w:pStyle w:val="Normal"/>
        <w:jc w:val="both"/>
        <w:rPr>
          <w:i/>
          <w:i/>
          <w:u w:val="single"/>
        </w:rPr>
      </w:pPr>
      <w:r>
        <w:rPr>
          <w:i/>
          <w:u w:val="single"/>
        </w:rPr>
      </w:r>
    </w:p>
    <w:p>
      <w:pPr>
        <w:pStyle w:val="Heading7"/>
        <w:ind w:hanging="0" w:start="0"/>
        <w:rPr/>
      </w:pPr>
      <w:r>
        <w:rPr/>
        <w:t>Grynberg</w:t>
      </w:r>
    </w:p>
    <w:p>
      <w:pPr>
        <w:pStyle w:val="Footer"/>
        <w:tabs>
          <w:tab w:val="clear" w:pos="4320"/>
          <w:tab w:val="clear" w:pos="8640"/>
          <w:tab w:val="left" w:pos="540" w:leader="none"/>
        </w:tabs>
        <w:rPr/>
      </w:pPr>
      <w:r>
        <w:rPr/>
        <w:t>(Wyoming Federal Court) (Gibbs &amp; Bruns) (Vinson &amp; Elkins)</w:t>
      </w:r>
    </w:p>
    <w:p>
      <w:pPr>
        <w:pStyle w:val="Normal"/>
        <w:ind w:start="720" w:end="0"/>
        <w:jc w:val="both"/>
        <w:rPr/>
      </w:pPr>
      <w:r>
        <w:rPr/>
      </w:r>
    </w:p>
    <w:p>
      <w:pPr>
        <w:pStyle w:val="Normal"/>
        <w:numPr>
          <w:ilvl w:val="0"/>
          <w:numId w:val="15"/>
        </w:numPr>
        <w:ind w:hanging="360" w:start="720" w:end="0"/>
        <w:jc w:val="both"/>
        <w:rPr/>
      </w:pPr>
      <w:r>
        <w:rPr/>
        <w:t>Qui tam action brought against HPL, LRC, and all pipeline companies in America alleging fraudulent practices in the measurement of gas.</w:t>
      </w:r>
    </w:p>
    <w:p>
      <w:pPr>
        <w:pStyle w:val="Normal"/>
        <w:numPr>
          <w:ilvl w:val="0"/>
          <w:numId w:val="15"/>
        </w:numPr>
        <w:ind w:hanging="360" w:start="720" w:end="0"/>
        <w:jc w:val="both"/>
        <w:rPr/>
      </w:pPr>
      <w:r>
        <w:rPr/>
        <w:t>All of the cases have been consolidated in Wyoming.</w:t>
      </w:r>
    </w:p>
    <w:p>
      <w:pPr>
        <w:pStyle w:val="Normal"/>
        <w:numPr>
          <w:ilvl w:val="0"/>
          <w:numId w:val="15"/>
        </w:numPr>
        <w:ind w:hanging="360" w:start="720" w:end="0"/>
        <w:jc w:val="both"/>
        <w:rPr/>
      </w:pPr>
      <w:r>
        <w:rPr/>
        <w:t xml:space="preserve">On March 18, 2000, the court heard oral arguments on the defendants’ motion to dismiss for failure to plead fraud with particularity.  The Court has not yet issued a decision. </w:t>
      </w:r>
    </w:p>
    <w:p>
      <w:pPr>
        <w:pStyle w:val="Normal"/>
        <w:jc w:val="both"/>
        <w:rPr>
          <w:i/>
          <w:i/>
          <w:u w:val="single"/>
        </w:rPr>
      </w:pPr>
      <w:r>
        <w:rPr>
          <w:i/>
          <w:u w:val="single"/>
        </w:rPr>
      </w:r>
    </w:p>
    <w:p>
      <w:pPr>
        <w:pStyle w:val="Heading7"/>
        <w:ind w:hanging="0" w:start="0"/>
        <w:rPr/>
      </w:pPr>
      <w:r>
        <w:rPr/>
        <w:t>Hendricks, City of San Francisco, and Sweetwater</w:t>
      </w:r>
    </w:p>
    <w:p>
      <w:pPr>
        <w:pStyle w:val="Normal"/>
        <w:jc w:val="both"/>
        <w:rPr/>
      </w:pPr>
      <w:r>
        <w:rPr/>
        <w:t>(Gibbs &amp; Bruns/Brobeck, Pflager &amp; Harrison</w:t>
      </w:r>
      <w:r>
        <w:rPr>
          <w:rFonts w:cs="Arial"/>
          <w:color w:val="000000"/>
          <w:szCs w:val="18"/>
        </w:rPr>
        <w:t>)</w:t>
      </w:r>
    </w:p>
    <w:p>
      <w:pPr>
        <w:pStyle w:val="Normal"/>
        <w:jc w:val="both"/>
        <w:rPr/>
      </w:pPr>
      <w:r>
        <w:rPr/>
      </w:r>
    </w:p>
    <w:p>
      <w:pPr>
        <w:pStyle w:val="Normal"/>
        <w:numPr>
          <w:ilvl w:val="0"/>
          <w:numId w:val="8"/>
        </w:numPr>
        <w:jc w:val="both"/>
        <w:rPr/>
      </w:pPr>
      <w:r>
        <w:rPr/>
        <w:t>As a result of the California energy crisis, EPMI and EES have been sued in four separate cases.  All four lawsuits allege violations of the California anti-trust and unfair competition laws.</w:t>
      </w:r>
    </w:p>
    <w:p>
      <w:pPr>
        <w:pStyle w:val="Normal"/>
        <w:numPr>
          <w:ilvl w:val="1"/>
          <w:numId w:val="8"/>
        </w:numPr>
        <w:jc w:val="both"/>
        <w:rPr/>
      </w:pPr>
      <w:r>
        <w:rPr>
          <w:i/>
          <w:iCs/>
          <w:u w:val="single"/>
        </w:rPr>
        <w:t>Hendricks</w:t>
      </w:r>
      <w:r>
        <w:rPr/>
        <w:t xml:space="preserve"> is a class action filed in San Diego on behalf of all Californians.</w:t>
      </w:r>
    </w:p>
    <w:p>
      <w:pPr>
        <w:pStyle w:val="Normal"/>
        <w:ind w:start="1080" w:end="0"/>
        <w:jc w:val="both"/>
        <w:rPr/>
      </w:pPr>
      <w:r>
        <w:rPr/>
      </w:r>
    </w:p>
    <w:p>
      <w:pPr>
        <w:pStyle w:val="Normal"/>
        <w:numPr>
          <w:ilvl w:val="1"/>
          <w:numId w:val="8"/>
        </w:numPr>
        <w:jc w:val="both"/>
        <w:rPr/>
      </w:pPr>
      <w:r>
        <w:rPr>
          <w:i/>
          <w:iCs/>
          <w:u w:val="single"/>
        </w:rPr>
        <w:t>City of San Francisco</w:t>
      </w:r>
      <w:r>
        <w:rPr>
          <w:i/>
          <w:iCs/>
        </w:rPr>
        <w:t xml:space="preserve"> </w:t>
      </w:r>
      <w:r>
        <w:rPr/>
        <w:t>was filed in San Francisco on behalf of the City of San Francisco and all its rate payers.</w:t>
      </w:r>
    </w:p>
    <w:p>
      <w:pPr>
        <w:pStyle w:val="Normal"/>
        <w:numPr>
          <w:ilvl w:val="1"/>
          <w:numId w:val="8"/>
        </w:numPr>
        <w:jc w:val="both"/>
        <w:rPr/>
      </w:pPr>
      <w:r>
        <w:rPr>
          <w:i/>
          <w:iCs/>
          <w:u w:val="single"/>
        </w:rPr>
        <w:t>Sweetwater Authority</w:t>
      </w:r>
      <w:r>
        <w:rPr/>
        <w:t xml:space="preserve"> was filed in San Diego by three water districts based in Southern California.</w:t>
      </w:r>
    </w:p>
    <w:p>
      <w:pPr>
        <w:pStyle w:val="Normal"/>
        <w:jc w:val="both"/>
        <w:rPr/>
      </w:pPr>
      <w:r>
        <w:rPr/>
      </w:r>
    </w:p>
    <w:p>
      <w:pPr>
        <w:pStyle w:val="Normal"/>
        <w:numPr>
          <w:ilvl w:val="1"/>
          <w:numId w:val="8"/>
        </w:numPr>
        <w:jc w:val="both"/>
        <w:rPr/>
      </w:pPr>
      <w:r>
        <w:rPr>
          <w:i/>
          <w:iCs/>
          <w:u w:val="single"/>
        </w:rPr>
        <w:t>Pier 23 Restaurant</w:t>
      </w:r>
      <w:r>
        <w:rPr/>
        <w:t xml:space="preserve"> was filed in San Francisco by retail customers of electricity.</w:t>
      </w:r>
    </w:p>
    <w:p>
      <w:pPr>
        <w:pStyle w:val="Normal"/>
        <w:ind w:start="720" w:end="0"/>
        <w:jc w:val="both"/>
        <w:rPr/>
      </w:pPr>
      <w:r>
        <w:rPr/>
      </w:r>
    </w:p>
    <w:p>
      <w:pPr>
        <w:pStyle w:val="Normal"/>
        <w:numPr>
          <w:ilvl w:val="0"/>
          <w:numId w:val="14"/>
        </w:numPr>
        <w:ind w:hanging="360" w:start="720" w:end="0"/>
        <w:jc w:val="both"/>
        <w:rPr/>
      </w:pPr>
      <w:r>
        <w:rPr/>
        <w:t>There are three other cases filed in California against generators and marketers alleging identical causes of action.  Enron has not been named in the cases, but we are coordinating with the Defendants’ counsel in those cases.</w:t>
      </w:r>
    </w:p>
    <w:p>
      <w:pPr>
        <w:pStyle w:val="Normal"/>
        <w:numPr>
          <w:ilvl w:val="0"/>
          <w:numId w:val="14"/>
        </w:numPr>
        <w:ind w:hanging="360" w:start="720" w:end="0"/>
        <w:jc w:val="both"/>
        <w:rPr/>
      </w:pPr>
      <w:r>
        <w:rPr/>
        <w:t>In addition, there are two cases filed against El Paso and Sempra alleging that they violated the California anti-trust and unfair competition laws by manipulating the gas markets in California.  Again, Enron is not named, but we are monitoring these cases.</w:t>
      </w:r>
    </w:p>
    <w:p>
      <w:pPr>
        <w:pStyle w:val="Normal"/>
        <w:numPr>
          <w:ilvl w:val="0"/>
          <w:numId w:val="14"/>
        </w:numPr>
        <w:ind w:hanging="360" w:start="720" w:end="0"/>
        <w:jc w:val="both"/>
        <w:rPr>
          <w:bCs/>
        </w:rPr>
      </w:pPr>
      <w:r>
        <w:rPr/>
        <w:t>All cases filed in California have been removed to Federal District Court.  This removal stays all discovery.</w:t>
      </w:r>
    </w:p>
    <w:p>
      <w:pPr>
        <w:pStyle w:val="Normal"/>
        <w:numPr>
          <w:ilvl w:val="0"/>
          <w:numId w:val="14"/>
        </w:numPr>
        <w:ind w:hanging="360" w:start="720" w:end="0"/>
        <w:jc w:val="both"/>
        <w:rPr>
          <w:bCs/>
        </w:rPr>
      </w:pPr>
      <w:r>
        <w:rPr>
          <w:bCs/>
        </w:rPr>
        <w:t xml:space="preserve">The plaintiffs have filed a motion to remand to State District Court.  </w:t>
      </w:r>
      <w:r>
        <w:rPr>
          <w:b/>
        </w:rPr>
        <w:t>Defendants have requested that the motion to remand be stayed until the MDL panel has met.</w:t>
      </w:r>
    </w:p>
    <w:p>
      <w:pPr>
        <w:pStyle w:val="Normal"/>
        <w:numPr>
          <w:ilvl w:val="0"/>
          <w:numId w:val="14"/>
        </w:numPr>
        <w:ind w:hanging="360" w:start="720" w:end="0"/>
        <w:jc w:val="both"/>
        <w:rPr>
          <w:bCs/>
        </w:rPr>
      </w:pPr>
      <w:r>
        <w:rPr>
          <w:bCs/>
        </w:rPr>
        <w:t>Defendants have requested that the cases be consolidated in one Federal District Court through the Multi-District Litigation process.</w:t>
      </w:r>
    </w:p>
    <w:p>
      <w:pPr>
        <w:pStyle w:val="Normal"/>
        <w:numPr>
          <w:ilvl w:val="0"/>
          <w:numId w:val="14"/>
        </w:numPr>
        <w:ind w:hanging="360" w:start="720" w:end="0"/>
        <w:jc w:val="both"/>
        <w:rPr/>
      </w:pPr>
      <w:r>
        <w:rPr>
          <w:bCs/>
        </w:rPr>
        <w:t xml:space="preserve">Defendants have requested that the Plaintiff’s motion to remand be stayed until the Multi-Litigation process has concluded.  </w:t>
      </w:r>
      <w:r>
        <w:rPr>
          <w:b/>
        </w:rPr>
        <w:t>The MDL panel will hear the request on May 31, 2001.</w:t>
      </w:r>
    </w:p>
    <w:p>
      <w:pPr>
        <w:pStyle w:val="Heading6"/>
        <w:ind w:hanging="0" w:start="0"/>
        <w:rPr>
          <w:u w:val="single"/>
        </w:rPr>
      </w:pPr>
      <w:r>
        <w:rPr>
          <w:u w:val="single"/>
        </w:rPr>
      </w:r>
    </w:p>
    <w:p>
      <w:pPr>
        <w:pStyle w:val="Heading7"/>
        <w:ind w:hanging="0" w:start="0"/>
        <w:rPr/>
      </w:pPr>
      <w:r>
        <w:rPr/>
        <w:t>Nakonthai Strip Mill (NSM) Thailand</w:t>
      </w:r>
    </w:p>
    <w:p>
      <w:pPr>
        <w:pStyle w:val="Subject"/>
        <w:tabs>
          <w:tab w:val="clear" w:pos="720"/>
          <w:tab w:val="left" w:pos="540" w:leader="none"/>
        </w:tabs>
        <w:rPr>
          <w:rFonts w:ascii="Times New Roman" w:hAnsi="Times New Roman" w:cs="Times New Roman"/>
        </w:rPr>
      </w:pPr>
      <w:r>
        <w:rPr>
          <w:rFonts w:cs="Times New Roman" w:ascii="Times New Roman" w:hAnsi="Times New Roman"/>
        </w:rPr>
        <w:t>(Los Angeles State Court) (Millbank, Tweed)</w:t>
      </w:r>
    </w:p>
    <w:p>
      <w:pPr>
        <w:pStyle w:val="Normal"/>
        <w:rPr>
          <w:rFonts w:ascii="Times New Roman" w:hAnsi="Times New Roman" w:cs="Times New Roman"/>
        </w:rPr>
      </w:pPr>
      <w:r>
        <w:rPr>
          <w:rFonts w:cs="Times New Roman" w:ascii="Times New Roman" w:hAnsi="Times New Roman"/>
        </w:rPr>
      </w:r>
    </w:p>
    <w:p>
      <w:pPr>
        <w:pStyle w:val="Normal"/>
        <w:numPr>
          <w:ilvl w:val="0"/>
          <w:numId w:val="15"/>
        </w:numPr>
        <w:ind w:hanging="360" w:start="720" w:end="0"/>
        <w:jc w:val="both"/>
        <w:rPr/>
      </w:pPr>
      <w:r>
        <w:rPr/>
        <w:t>Because of market conditions and alleged mismanagement, NSM has defaulted on its Thai bank loans.  NSM’s bondholders have also declared a default of NSM’s bonds.  The bonds have a face value of approximately $450 million.</w:t>
      </w:r>
    </w:p>
    <w:p>
      <w:pPr>
        <w:pStyle w:val="Normal"/>
        <w:numPr>
          <w:ilvl w:val="0"/>
          <w:numId w:val="15"/>
        </w:numPr>
        <w:ind w:hanging="360" w:start="720" w:end="0"/>
        <w:jc w:val="both"/>
        <w:rPr/>
      </w:pPr>
      <w:r>
        <w:rPr/>
        <w:t>ECT Securities was an underwriter for approximately $25 million of the bonds and may have liability for any misrepresentations contained in the offering memorandum.</w:t>
      </w:r>
    </w:p>
    <w:p>
      <w:pPr>
        <w:pStyle w:val="Normal"/>
        <w:numPr>
          <w:ilvl w:val="0"/>
          <w:numId w:val="15"/>
        </w:numPr>
        <w:ind w:hanging="360" w:start="720" w:end="0"/>
        <w:jc w:val="both"/>
        <w:rPr/>
      </w:pPr>
      <w:r>
        <w:rPr/>
        <w:t>Several lawsuits have been filed against our co-underwriters claiming alleged misrepresentations in the offering memorandum.  The lawsuits are pending in Minneapolis, New Jersey, Chicago and Los Angeles.</w:t>
      </w:r>
    </w:p>
    <w:p>
      <w:pPr>
        <w:pStyle w:val="Normal"/>
        <w:numPr>
          <w:ilvl w:val="0"/>
          <w:numId w:val="15"/>
        </w:numPr>
        <w:ind w:hanging="360" w:start="720" w:end="0"/>
        <w:jc w:val="both"/>
        <w:rPr/>
      </w:pPr>
      <w:r>
        <w:rPr/>
        <w:t>ECT Securities has been sued by Farrollan and Legg Mason in Los Angeles State District Court.</w:t>
      </w:r>
    </w:p>
    <w:p>
      <w:pPr>
        <w:pStyle w:val="Normal"/>
        <w:numPr>
          <w:ilvl w:val="0"/>
          <w:numId w:val="15"/>
        </w:numPr>
        <w:ind w:hanging="360" w:start="720" w:end="0"/>
        <w:jc w:val="both"/>
        <w:rPr/>
      </w:pPr>
      <w:r>
        <w:rPr/>
        <w:t>Extensive discovery has been conducted to date.  Enron employees’ depositions were taken on February 22, 2001.</w:t>
      </w:r>
      <w:r>
        <w:rPr>
          <w:b/>
          <w:bCs/>
        </w:rPr>
        <w:t xml:space="preserve">  Trial is set on July 30, 2001.</w:t>
      </w:r>
    </w:p>
    <w:p>
      <w:pPr>
        <w:pStyle w:val="Normal"/>
        <w:rPr/>
      </w:pPr>
      <w:r>
        <w:rPr/>
      </w:r>
    </w:p>
    <w:p>
      <w:pPr>
        <w:pStyle w:val="Heading7"/>
        <w:ind w:hanging="0" w:start="0"/>
        <w:rPr/>
      </w:pPr>
      <w:r>
        <w:rPr/>
        <w:t>PCA v. Enron Power Marketing</w:t>
      </w:r>
    </w:p>
    <w:p>
      <w:pPr>
        <w:pStyle w:val="Normal"/>
        <w:jc w:val="both"/>
        <w:rPr/>
      </w:pPr>
      <w:r>
        <w:rPr/>
        <w:t>(Connecticut Federal District Court) (Weil Gotshal &amp; Manges/Melanie Gray)</w:t>
      </w:r>
    </w:p>
    <w:p>
      <w:pPr>
        <w:pStyle w:val="Normal"/>
        <w:jc w:val="both"/>
        <w:rPr/>
      </w:pPr>
      <w:r>
        <w:rPr/>
      </w:r>
    </w:p>
    <w:p>
      <w:pPr>
        <w:pStyle w:val="Normal"/>
        <w:numPr>
          <w:ilvl w:val="0"/>
          <w:numId w:val="14"/>
        </w:numPr>
        <w:ind w:hanging="360" w:start="720" w:end="0"/>
        <w:jc w:val="both"/>
        <w:rPr/>
      </w:pPr>
      <w:r>
        <w:rPr/>
        <w:t>Lawsuit filed by the PCA bankruptcy trustee alleging wrongful termination of PCA’s power contract.</w:t>
      </w:r>
    </w:p>
    <w:p>
      <w:pPr>
        <w:pStyle w:val="Normal"/>
        <w:numPr>
          <w:ilvl w:val="0"/>
          <w:numId w:val="14"/>
        </w:numPr>
        <w:ind w:hanging="360" w:start="720" w:end="0"/>
        <w:jc w:val="both"/>
        <w:rPr/>
      </w:pPr>
      <w:r>
        <w:rPr/>
        <w:t>Alleged damages are between $4-12 million.</w:t>
      </w:r>
    </w:p>
    <w:p>
      <w:pPr>
        <w:pStyle w:val="Normal"/>
        <w:numPr>
          <w:ilvl w:val="0"/>
          <w:numId w:val="14"/>
        </w:numPr>
        <w:ind w:hanging="360" w:start="720" w:end="0"/>
        <w:jc w:val="both"/>
        <w:rPr/>
      </w:pPr>
      <w:r>
        <w:rPr/>
        <w:t>Discovery is proceeding.</w:t>
      </w:r>
    </w:p>
    <w:p>
      <w:pPr>
        <w:pStyle w:val="Normal"/>
        <w:numPr>
          <w:ilvl w:val="0"/>
          <w:numId w:val="14"/>
        </w:numPr>
        <w:ind w:hanging="360" w:start="720" w:end="0"/>
        <w:jc w:val="both"/>
        <w:rPr/>
      </w:pPr>
      <w:r>
        <w:rPr/>
        <w:t>The case has been settled.  EPMI agreed to reduce its claims in the PCA bankruptcy from $5.2 to $2.5 million.</w:t>
      </w:r>
    </w:p>
    <w:p>
      <w:pPr>
        <w:pStyle w:val="Heading1"/>
        <w:rPr>
          <w:sz w:val="20"/>
        </w:rPr>
      </w:pPr>
      <w:r>
        <w:rPr>
          <w:sz w:val="20"/>
        </w:rPr>
      </w:r>
      <w:r>
        <w:br w:type="page"/>
      </w:r>
    </w:p>
    <w:p>
      <w:pPr>
        <w:pStyle w:val="Heading7"/>
        <w:ind w:hanging="0" w:start="0"/>
        <w:rPr/>
      </w:pPr>
      <w:r>
        <w:rPr/>
        <w:t>Qunique Case</w:t>
      </w:r>
    </w:p>
    <w:p>
      <w:pPr>
        <w:pStyle w:val="Footer"/>
        <w:tabs>
          <w:tab w:val="clear" w:pos="4320"/>
          <w:tab w:val="clear" w:pos="8640"/>
          <w:tab w:val="left" w:pos="540" w:leader="none"/>
        </w:tabs>
        <w:rPr/>
      </w:pPr>
      <w:r>
        <w:rPr/>
        <w:t>(Kansas State District Court) (Gibbs &amp; Bruns) (Vinson &amp; Elkins)</w:t>
      </w:r>
    </w:p>
    <w:p>
      <w:pPr>
        <w:pStyle w:val="Normal"/>
        <w:ind w:start="720" w:end="0"/>
        <w:jc w:val="both"/>
        <w:rPr/>
      </w:pPr>
      <w:r>
        <w:rPr/>
      </w:r>
    </w:p>
    <w:p>
      <w:pPr>
        <w:pStyle w:val="Normal"/>
        <w:numPr>
          <w:ilvl w:val="0"/>
          <w:numId w:val="15"/>
        </w:numPr>
        <w:ind w:hanging="360" w:start="720" w:end="0"/>
        <w:jc w:val="both"/>
        <w:rPr/>
      </w:pPr>
      <w:r>
        <w:rPr/>
        <w:t>This is a national class action filed in State District Court in Kansas on behalf of all gas producers and royalty interest owners alleging fraudulent practices in the measurement of gas.</w:t>
      </w:r>
    </w:p>
    <w:p>
      <w:pPr>
        <w:pStyle w:val="Normal"/>
        <w:numPr>
          <w:ilvl w:val="0"/>
          <w:numId w:val="15"/>
        </w:numPr>
        <w:ind w:hanging="360" w:start="720" w:end="0"/>
        <w:jc w:val="both"/>
        <w:rPr/>
      </w:pPr>
      <w:r>
        <w:rPr/>
        <w:t>Enron removed the case to the Federal District Court of Kansas City alleging Federal Question jurisdiction.</w:t>
      </w:r>
    </w:p>
    <w:p>
      <w:pPr>
        <w:pStyle w:val="Normal"/>
        <w:numPr>
          <w:ilvl w:val="0"/>
          <w:numId w:val="15"/>
        </w:numPr>
        <w:ind w:hanging="360" w:start="720" w:end="0"/>
        <w:jc w:val="both"/>
        <w:rPr>
          <w:b/>
          <w:bCs/>
        </w:rPr>
      </w:pPr>
      <w:r>
        <w:rPr/>
        <w:t>Plaintiffs filed a motion to remand to State District Court.  On January 10</w:t>
      </w:r>
      <w:r>
        <w:rPr>
          <w:vertAlign w:val="superscript"/>
        </w:rPr>
        <w:t>th</w:t>
      </w:r>
      <w:r>
        <w:rPr/>
        <w:t xml:space="preserve"> the Federal District Court granted Plaintiff’s motion to remand and sent the case back to the State District Court.  </w:t>
      </w:r>
    </w:p>
    <w:p>
      <w:pPr>
        <w:pStyle w:val="Normal"/>
        <w:numPr>
          <w:ilvl w:val="0"/>
          <w:numId w:val="15"/>
        </w:numPr>
        <w:ind w:hanging="360" w:start="720" w:end="0"/>
        <w:jc w:val="both"/>
        <w:rPr/>
      </w:pPr>
      <w:r>
        <w:rPr/>
        <w:t>Plaintiffs have requested remand costs of $248,000.00 be assessed against Enron.</w:t>
      </w:r>
    </w:p>
    <w:p>
      <w:pPr>
        <w:pStyle w:val="Normal"/>
        <w:numPr>
          <w:ilvl w:val="0"/>
          <w:numId w:val="15"/>
        </w:numPr>
        <w:ind w:hanging="360" w:start="720" w:end="0"/>
        <w:jc w:val="both"/>
        <w:rPr>
          <w:b/>
          <w:bCs/>
        </w:rPr>
      </w:pPr>
      <w:r>
        <w:rPr>
          <w:b/>
          <w:bCs/>
        </w:rPr>
        <w:t>On April 11, the Court conducted an initial conference and set certain deadlines for the Defendants to file objections to the jurisdiction.</w:t>
      </w:r>
    </w:p>
    <w:p>
      <w:pPr>
        <w:pStyle w:val="Normal"/>
        <w:rPr>
          <w:b/>
          <w:bCs/>
        </w:rPr>
      </w:pPr>
      <w:r>
        <w:rPr>
          <w:b/>
          <w:bCs/>
        </w:rPr>
      </w:r>
    </w:p>
    <w:p>
      <w:pPr>
        <w:pStyle w:val="Heading7"/>
        <w:ind w:hanging="0" w:start="0"/>
        <w:rPr/>
      </w:pPr>
      <w:r>
        <w:rPr/>
        <w:t>Wright v. Enron Corporation</w:t>
      </w:r>
    </w:p>
    <w:p>
      <w:pPr>
        <w:pStyle w:val="Normal"/>
        <w:jc w:val="both"/>
        <w:rPr/>
      </w:pPr>
      <w:r>
        <w:rPr/>
        <w:t>(Gibbs &amp; Bruns/Vinson &amp;  Elkins)</w:t>
      </w:r>
    </w:p>
    <w:p>
      <w:pPr>
        <w:pStyle w:val="Normal"/>
        <w:jc w:val="both"/>
        <w:rPr/>
      </w:pPr>
      <w:r>
        <w:rPr/>
      </w:r>
    </w:p>
    <w:p>
      <w:pPr>
        <w:pStyle w:val="Normal"/>
        <w:numPr>
          <w:ilvl w:val="0"/>
          <w:numId w:val="14"/>
        </w:numPr>
        <w:ind w:hanging="360" w:start="720" w:end="0"/>
        <w:jc w:val="both"/>
        <w:rPr/>
      </w:pPr>
      <w:r>
        <w:rPr/>
        <w:t>Qui tam case alleging that all marketing affiliates, including ECT, were created to defraud the federal government of royalty obligations.</w:t>
      </w:r>
    </w:p>
    <w:p>
      <w:pPr>
        <w:pStyle w:val="Normal"/>
        <w:numPr>
          <w:ilvl w:val="0"/>
          <w:numId w:val="14"/>
        </w:numPr>
        <w:ind w:hanging="360" w:start="720" w:end="0"/>
        <w:jc w:val="both"/>
        <w:rPr/>
      </w:pPr>
      <w:r>
        <w:rPr/>
        <w:t xml:space="preserve">This case has been moved to the same judge presiding in </w:t>
      </w:r>
      <w:r>
        <w:rPr>
          <w:u w:val="single"/>
        </w:rPr>
        <w:t>Grynberg</w:t>
      </w:r>
      <w:r>
        <w:rPr/>
        <w:t xml:space="preserve"> case in Wyoming.</w:t>
      </w:r>
    </w:p>
    <w:p>
      <w:pPr>
        <w:pStyle w:val="Normal"/>
        <w:numPr>
          <w:ilvl w:val="0"/>
          <w:numId w:val="14"/>
        </w:numPr>
        <w:ind w:hanging="360" w:start="720" w:end="0"/>
        <w:jc w:val="both"/>
        <w:rPr/>
      </w:pPr>
      <w:r>
        <w:rPr/>
        <w:t>The Department of Justice has not decided whether to intervene in case against Enron.  The DOJ has intervened as to other defendants.</w:t>
      </w:r>
    </w:p>
    <w:p>
      <w:pPr>
        <w:pStyle w:val="Body"/>
        <w:ind w:start="0" w:end="0"/>
        <w:rPr>
          <w:b/>
        </w:rPr>
      </w:pPr>
      <w:r>
        <w:rPr>
          <w:b/>
        </w:rPr>
      </w:r>
    </w:p>
    <w:p>
      <w:pPr>
        <w:pStyle w:val="Heading7"/>
        <w:ind w:hanging="0" w:start="0"/>
        <w:rPr/>
      </w:pPr>
      <w:r>
        <w:rPr/>
        <w:t>Garden State Paper Personal Injury Cases</w:t>
      </w:r>
    </w:p>
    <w:p>
      <w:pPr>
        <w:pStyle w:val="Normal"/>
        <w:rPr/>
      </w:pPr>
      <w:r>
        <w:rPr/>
      </w:r>
    </w:p>
    <w:p>
      <w:pPr>
        <w:pStyle w:val="Normal"/>
        <w:numPr>
          <w:ilvl w:val="0"/>
          <w:numId w:val="14"/>
        </w:numPr>
        <w:ind w:hanging="360" w:start="720" w:end="0"/>
        <w:jc w:val="both"/>
        <w:rPr/>
      </w:pPr>
      <w:r>
        <w:rPr/>
        <w:t>In the last few months, Garden State Paper (“GSP”) has faced three serious personal injury cases.</w:t>
      </w:r>
    </w:p>
    <w:p>
      <w:pPr>
        <w:pStyle w:val="Normal"/>
        <w:numPr>
          <w:ilvl w:val="0"/>
          <w:numId w:val="14"/>
        </w:numPr>
        <w:ind w:hanging="360" w:start="720" w:end="0"/>
        <w:jc w:val="both"/>
        <w:rPr/>
      </w:pPr>
      <w:r>
        <w:rPr>
          <w:i/>
          <w:iCs/>
          <w:u w:val="single"/>
        </w:rPr>
        <w:t>The Carlos Gines matter</w:t>
      </w:r>
      <w:r>
        <w:rPr/>
        <w:t>:  Mr. Gines was an employee of Sistec, a contractor at GSP hired to perform various maintenance duties.  Mr. Gines was trying to move some equipment when a 4,000 pound blade assembly fell on his upper thigh almost severing his leg.  Medical expenses are expected to approach $400,000.00.  Mr. Gines has hired counsel, but no lawsuit has been filed.</w:t>
      </w:r>
    </w:p>
    <w:p>
      <w:pPr>
        <w:pStyle w:val="Normal"/>
        <w:numPr>
          <w:ilvl w:val="0"/>
          <w:numId w:val="14"/>
        </w:numPr>
        <w:ind w:hanging="360" w:start="720" w:end="0"/>
        <w:jc w:val="both"/>
        <w:rPr/>
      </w:pPr>
      <w:r>
        <w:rPr>
          <w:i/>
          <w:iCs/>
          <w:u w:val="single"/>
        </w:rPr>
        <w:t>The Philip Buffalo matter</w:t>
      </w:r>
      <w:r>
        <w:rPr/>
        <w:t>:  Mr. Buffalo was an employee of Penske, another contractor at GSP.  Mr. Buffalo was hit by a forklift operated by a GSP employee, resulting in serious leg and thigh injuries.  Mr. Buffalo has retained counsel, but no lawsuit has been filed.  OSHA has levelled a fine and serious citation against GSP for its employee’s actions.</w:t>
      </w:r>
    </w:p>
    <w:p>
      <w:pPr>
        <w:pStyle w:val="Normal"/>
        <w:numPr>
          <w:ilvl w:val="0"/>
          <w:numId w:val="14"/>
        </w:numPr>
        <w:ind w:hanging="360" w:start="720" w:end="0"/>
        <w:jc w:val="both"/>
        <w:rPr/>
      </w:pPr>
      <w:r>
        <w:rPr>
          <w:i/>
          <w:iCs/>
          <w:u w:val="single"/>
        </w:rPr>
        <w:t>The Julio DeLeon matter</w:t>
      </w:r>
      <w:r>
        <w:rPr/>
        <w:t>:  Mr. DeLeon, an employee of New Jersey Wire (another subcontractor), sustained head injuries while attempting to remove heavy wire rolls from a wire rack.  As of this date, we do not believe Mr. DeLeon has hired counsel.</w:t>
      </w:r>
    </w:p>
    <w:p>
      <w:pPr>
        <w:pStyle w:val="Heading1"/>
        <w:rPr>
          <w:sz w:val="20"/>
        </w:rPr>
      </w:pPr>
      <w:r>
        <w:rPr>
          <w:sz w:val="20"/>
        </w:rPr>
      </w:r>
    </w:p>
    <w:p>
      <w:pPr>
        <w:pStyle w:val="Heading7"/>
        <w:ind w:hanging="0" w:start="0"/>
        <w:rPr/>
      </w:pPr>
      <w:r>
        <w:rPr/>
        <w:t>John Schultes v. Enron North America Corp. and ECT Thailand Investments, Inc.</w:t>
      </w:r>
    </w:p>
    <w:p>
      <w:pPr>
        <w:pStyle w:val="Normal"/>
        <w:jc w:val="both"/>
        <w:rPr/>
      </w:pPr>
      <w:r>
        <w:rPr/>
        <w:t>(Cleveland Ohio State District Court)</w:t>
      </w:r>
    </w:p>
    <w:p>
      <w:pPr>
        <w:pStyle w:val="Normal"/>
        <w:jc w:val="both"/>
        <w:rPr/>
      </w:pPr>
      <w:r>
        <w:rPr/>
      </w:r>
    </w:p>
    <w:p>
      <w:pPr>
        <w:pStyle w:val="Normal"/>
        <w:ind w:hanging="360" w:start="720" w:end="0"/>
        <w:jc w:val="both"/>
        <w:rPr/>
      </w:pPr>
      <w:r>
        <w:rPr>
          <w:rFonts w:cs="Arial"/>
        </w:rPr>
        <w:t>•</w:t>
      </w:r>
      <w:r>
        <w:rPr>
          <w:rFonts w:cs="Arial"/>
        </w:rPr>
        <w:tab/>
      </w:r>
      <w:r>
        <w:rPr/>
        <w:t>John Schultes is the former president of NSM.  His 8 year employment agreement was terminated by NSM Management Co., of which ECT Thailand Investments Inc. was a member.</w:t>
      </w:r>
    </w:p>
    <w:p>
      <w:pPr>
        <w:pStyle w:val="Normal"/>
        <w:ind w:hanging="360" w:start="720" w:end="0"/>
        <w:jc w:val="both"/>
        <w:rPr/>
      </w:pPr>
      <w:r>
        <w:rPr>
          <w:rFonts w:cs="Arial"/>
        </w:rPr>
        <w:t>•</w:t>
      </w:r>
      <w:r>
        <w:rPr>
          <w:rFonts w:cs="Arial"/>
        </w:rPr>
        <w:tab/>
      </w:r>
      <w:r>
        <w:rPr/>
        <w:t>Schultes has sued ENA and ECT Thailand Investments for breach of contract, tortuous interference, fraud, defamation and negligent misrepresentation as a result of their involvement in Schultes’ termination.</w:t>
      </w:r>
    </w:p>
    <w:p>
      <w:pPr>
        <w:pStyle w:val="Normal"/>
        <w:ind w:hanging="360" w:start="720" w:end="0"/>
        <w:jc w:val="both"/>
        <w:rPr>
          <w:b/>
          <w:bCs/>
        </w:rPr>
      </w:pPr>
      <w:r>
        <w:rPr>
          <w:rFonts w:cs="Arial"/>
        </w:rPr>
        <w:t>•</w:t>
      </w:r>
      <w:r>
        <w:rPr>
          <w:rFonts w:cs="Arial"/>
        </w:rPr>
        <w:tab/>
      </w:r>
      <w:r>
        <w:rPr>
          <w:rFonts w:cs="Arial"/>
          <w:b/>
          <w:bCs/>
        </w:rPr>
        <w:t>Enron’s answer date is May 25</w:t>
      </w:r>
      <w:r>
        <w:rPr>
          <w:rFonts w:cs="Arial"/>
          <w:b/>
          <w:bCs/>
          <w:vertAlign w:val="superscript"/>
        </w:rPr>
        <w:t>th</w:t>
      </w:r>
      <w:r>
        <w:rPr>
          <w:rFonts w:cs="Arial"/>
          <w:b/>
          <w:bCs/>
        </w:rPr>
        <w:t>.</w:t>
      </w:r>
    </w:p>
    <w:p>
      <w:pPr>
        <w:pStyle w:val="Normal"/>
        <w:ind w:start="720" w:end="0"/>
        <w:jc w:val="both"/>
        <w:rPr>
          <w:b/>
          <w:bCs/>
        </w:rPr>
      </w:pPr>
      <w:r>
        <w:rPr>
          <w:b/>
          <w:bCs/>
        </w:rPr>
      </w:r>
      <w:r>
        <w:br w:type="page"/>
      </w:r>
    </w:p>
    <w:p>
      <w:pPr>
        <w:pStyle w:val="Heading7"/>
        <w:ind w:hanging="0" w:start="0"/>
        <w:rPr/>
      </w:pPr>
      <w:r>
        <w:rPr/>
        <w:t>Michigan Power Limited Partnership/Consumer Energy</w:t>
      </w:r>
    </w:p>
    <w:p>
      <w:pPr>
        <w:pStyle w:val="Normal"/>
        <w:tabs>
          <w:tab w:val="left" w:pos="720" w:leader="none"/>
          <w:tab w:val="left" w:pos="1080" w:leader="none"/>
        </w:tabs>
        <w:ind w:hanging="1080" w:start="1080" w:end="0"/>
        <w:jc w:val="both"/>
        <w:rPr/>
      </w:pPr>
      <w:r>
        <w:rPr/>
        <w:t xml:space="preserve">(No Pending Litigation) </w:t>
      </w:r>
    </w:p>
    <w:p>
      <w:pPr>
        <w:pStyle w:val="Normal"/>
        <w:rPr/>
      </w:pPr>
      <w:r>
        <w:rPr/>
      </w:r>
    </w:p>
    <w:p>
      <w:pPr>
        <w:pStyle w:val="Normal"/>
        <w:numPr>
          <w:ilvl w:val="0"/>
          <w:numId w:val="8"/>
        </w:numPr>
        <w:tabs>
          <w:tab w:val="clear" w:pos="720"/>
          <w:tab w:val="left" w:pos="1080" w:leader="none"/>
        </w:tabs>
        <w:jc w:val="both"/>
        <w:rPr/>
      </w:pPr>
      <w:r>
        <w:rPr/>
        <w:t>Enron and Dynegy are 50 percent owners of the Michigan Power Limited Partnership (“MPLP”).  MPLP went into service on October 1, 1995.</w:t>
      </w:r>
    </w:p>
    <w:p>
      <w:pPr>
        <w:pStyle w:val="Normal"/>
        <w:numPr>
          <w:ilvl w:val="0"/>
          <w:numId w:val="8"/>
        </w:numPr>
        <w:tabs>
          <w:tab w:val="clear" w:pos="720"/>
          <w:tab w:val="left" w:pos="1080" w:leader="none"/>
        </w:tabs>
        <w:jc w:val="both"/>
        <w:rPr/>
      </w:pPr>
      <w:r>
        <w:rPr/>
        <w:t>MPLP provides power to consumers Energy under a PPA that ends September 20, 2030.</w:t>
      </w:r>
    </w:p>
    <w:p>
      <w:pPr>
        <w:pStyle w:val="Normal"/>
        <w:numPr>
          <w:ilvl w:val="0"/>
          <w:numId w:val="8"/>
        </w:numPr>
        <w:tabs>
          <w:tab w:val="clear" w:pos="720"/>
          <w:tab w:val="left" w:pos="1080" w:leader="none"/>
        </w:tabs>
        <w:jc w:val="both"/>
        <w:rPr/>
      </w:pPr>
      <w:r>
        <w:rPr/>
        <w:t>In February 2001, Consumers Energy sent MPLP a letter contending that Consumer Energy overpaid MPLP $16.1 million in capacity charges from 1996 through 2000.  Enron would be responsible for half of this amount.</w:t>
      </w:r>
    </w:p>
    <w:p>
      <w:pPr>
        <w:pStyle w:val="Normal"/>
        <w:numPr>
          <w:ilvl w:val="0"/>
          <w:numId w:val="8"/>
        </w:numPr>
        <w:tabs>
          <w:tab w:val="clear" w:pos="720"/>
          <w:tab w:val="left" w:pos="1080" w:leader="none"/>
        </w:tabs>
        <w:jc w:val="both"/>
        <w:rPr/>
      </w:pPr>
      <w:r>
        <w:rPr/>
        <w:t>Capacity rates under the PPA are to be increased annually.  The key question is whether the capacity rate increase should take place on January 1 (calendar year) or October 1 (the anniversary of the commercial operation date of the facility).</w:t>
      </w:r>
    </w:p>
    <w:p>
      <w:pPr>
        <w:pStyle w:val="Normal"/>
        <w:numPr>
          <w:ilvl w:val="0"/>
          <w:numId w:val="8"/>
        </w:numPr>
        <w:tabs>
          <w:tab w:val="clear" w:pos="720"/>
          <w:tab w:val="left" w:pos="1080" w:leader="none"/>
        </w:tabs>
        <w:jc w:val="both"/>
        <w:rPr/>
      </w:pPr>
      <w:r>
        <w:rPr/>
        <w:t>Consumers Energy self-billed under the PPA and increased capacity rates every January 1 (calendar year).  Now Consumers Energy contends that increase was in error and that the PPA requires the capacity rate to increase every October 1.</w:t>
      </w:r>
    </w:p>
    <w:p>
      <w:pPr>
        <w:pStyle w:val="Normal"/>
        <w:numPr>
          <w:ilvl w:val="0"/>
          <w:numId w:val="8"/>
        </w:numPr>
        <w:tabs>
          <w:tab w:val="clear" w:pos="720"/>
          <w:tab w:val="left" w:pos="1080" w:leader="none"/>
        </w:tabs>
        <w:jc w:val="both"/>
        <w:rPr/>
      </w:pPr>
      <w:r>
        <w:rPr/>
        <w:t>Representatives of MCN (the predecessor to Enron) have indicated in recent interviews that the January 1 capacity rate increases were not expected by MPLP.  Consumers Energy’s position has some merit.  MCN expected the capacity rate to increase in October and was “quite surprised” when the capacity rate increased on January 1, 1996.</w:t>
      </w:r>
    </w:p>
    <w:p>
      <w:pPr>
        <w:pStyle w:val="Normal"/>
        <w:numPr>
          <w:ilvl w:val="0"/>
          <w:numId w:val="8"/>
        </w:numPr>
        <w:tabs>
          <w:tab w:val="clear" w:pos="720"/>
          <w:tab w:val="left" w:pos="1080" w:leader="none"/>
        </w:tabs>
        <w:jc w:val="both"/>
        <w:rPr>
          <w:sz w:val="23"/>
        </w:rPr>
      </w:pPr>
      <w:r>
        <w:rPr/>
        <w:t xml:space="preserve">Arbitration has been threatened, but has not been commenced. </w:t>
      </w:r>
    </w:p>
    <w:sectPr>
      <w:headerReference w:type="default" r:id="rId2"/>
      <w:footerReference w:type="default" r:id="rId3"/>
      <w:type w:val="nextPage"/>
      <w:pgSz w:w="12240" w:h="15840"/>
      <w:pgMar w:left="720" w:right="720" w:gutter="0" w:header="288" w:top="576" w:footer="432"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Arial Rounded MT Bold">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/mnt/main-storage/datasets/enron-docs/doc/3.199488.HVWW4CTC0OS5DUN5KUFPVVUUMN454EJKA.1.doc</w:t>
    </w:r>
    <w:r>
      <w:rPr>
        <w:rStyle w:val="PageNumbe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rPr>
    </w:pPr>
    <w:r>
      <w:rPr>
        <w:b/>
        <w:i/>
      </w:rPr>
      <w:t>PRIVILEGED AND CONFIDENTIAL</w:t>
    </w:r>
  </w:p>
  <w:p>
    <w:pPr>
      <w:pStyle w:val="Header"/>
      <w:widowControl/>
      <w:jc w:val="end"/>
      <w:rPr>
        <w:b/>
        <w:i/>
        <w:i/>
      </w:rPr>
    </w:pPr>
    <w:r>
      <w:rPr>
        <w:b/>
        <w:i/>
      </w:rPr>
    </w:r>
  </w:p>
  <w:p>
    <w:pPr>
      <w:pStyle w:val="Header"/>
      <w:widowControl/>
      <w:jc w:val="end"/>
      <w:rPr>
        <w:b/>
        <w:i/>
        <w:i/>
      </w:rPr>
    </w:pPr>
    <w:r>
      <w:rPr>
        <w:b/>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720"/>
        </w:tabs>
        <w:ind w:start="720" w:hanging="360"/>
      </w:pPr>
      <w:rPr/>
    </w:lvl>
  </w:abstractNum>
  <w:abstractNum w:abstractNumId="7">
    <w:lvl w:ilvl="0">
      <w:start w:val="5"/>
      <w:numFmt w:val="bullet"/>
      <w:lvlText w:val="-"/>
      <w:lvlJc w:val="start"/>
      <w:pPr>
        <w:tabs>
          <w:tab w:val="num" w:pos="1440"/>
        </w:tabs>
        <w:ind w:start="1440" w:hanging="360"/>
      </w:pPr>
      <w:rPr>
        <w:rFonts w:ascii="Liberation Serif" w:hAnsi="Liberation Serif" w:cs="Liberation Serif"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i/>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decimal"/>
      <w:lvlText w:val="%1."/>
      <w:lvlJc w:val="start"/>
      <w:pPr>
        <w:tabs>
          <w:tab w:val="num" w:pos="1080"/>
        </w:tabs>
        <w:ind w:start="1080" w:hanging="360"/>
      </w:pPr>
      <w:rPr/>
    </w:lvl>
  </w:abstractNum>
  <w:abstractNum w:abstractNumId="10">
    <w:lvl w:ilvl="0">
      <w:start w:val="1"/>
      <w:numFmt w:val="bullet"/>
      <w:lvlText w:val=""/>
      <w:lvlJc w:val="start"/>
      <w:pPr>
        <w:tabs>
          <w:tab w:val="num" w:pos="1440"/>
        </w:tabs>
        <w:ind w:start="1440" w:hanging="360"/>
      </w:pPr>
      <w:rPr>
        <w:rFonts w:ascii="Symbol" w:hAnsi="Symbol" w:cs="Symbol" w:hint="default"/>
      </w:rPr>
    </w:lvl>
  </w:abstractNum>
  <w:abstractNum w:abstractNumId="11">
    <w:lvl w:ilvl="0">
      <w:start w:val="1"/>
      <w:numFmt w:val="decimal"/>
      <w:lvlText w:val="%1."/>
      <w:lvlJc w:val="start"/>
      <w:pPr>
        <w:tabs>
          <w:tab w:val="num" w:pos="720"/>
        </w:tabs>
        <w:ind w:start="720" w:hanging="360"/>
      </w:pPr>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decimal"/>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bullet"/>
      <w:lvlText w:val="-"/>
      <w:lvlJc w:val="start"/>
      <w:pPr>
        <w:tabs>
          <w:tab w:val="num" w:pos="1440"/>
        </w:tabs>
        <w:ind w:start="1440" w:hanging="360"/>
      </w:pPr>
      <w:rPr>
        <w:rFonts w:ascii="Times New Roman" w:hAnsi="Times New Roman" w:cs="Times New Roman" w:hint="default"/>
      </w:rPr>
    </w:lvl>
  </w:abstractNum>
  <w:abstractNum w:abstractNumId="13">
    <w:lvl w:ilvl="0">
      <w:start w:val="1"/>
      <w:numFmt w:val="decimal"/>
      <w:lvlText w:val="%1."/>
      <w:lvlJc w:val="start"/>
      <w:pPr>
        <w:tabs>
          <w:tab w:val="num" w:pos="360"/>
        </w:tabs>
        <w:ind w:start="360" w:hanging="360"/>
      </w:pPr>
      <w:rPr/>
    </w:lvl>
  </w:abstractNum>
  <w:abstractNum w:abstractNumId="14">
    <w:lvl w:ilvl="0">
      <w:start w:val="1"/>
      <w:numFmt w:val="bullet"/>
      <w:lvlText w:val=""/>
      <w:lvlJc w:val="start"/>
      <w:pPr>
        <w:tabs>
          <w:tab w:val="num" w:pos="360"/>
        </w:tabs>
        <w:ind w:start="1080" w:hanging="360"/>
      </w:pPr>
      <w:rPr>
        <w:rFonts w:ascii="Symbol" w:hAnsi="Symbol" w:cs="Symbol" w:hint="default"/>
      </w:rPr>
    </w:lvl>
  </w:abstractNum>
  <w:abstractNum w:abstractNumId="15">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5106" w:leader="none"/>
        <w:tab w:val="left" w:pos="7254" w:leader="none"/>
      </w:tabs>
      <w:ind w:hanging="0" w:start="720" w:end="0"/>
      <w:outlineLvl w:val="0"/>
    </w:pPr>
    <w:rPr>
      <w:rFonts w:ascii="Times New Roman" w:hAnsi="Times New Roman" w:cs="Times New Roman"/>
      <w:b/>
      <w:sz w:val="22"/>
      <w:u w:val="single"/>
    </w:rPr>
  </w:style>
  <w:style w:type="paragraph" w:styleId="Heading2">
    <w:name w:val="heading 2"/>
    <w:basedOn w:val="Normal"/>
    <w:next w:val="Normal"/>
    <w:qFormat/>
    <w:pPr>
      <w:keepNext w:val="true"/>
      <w:numPr>
        <w:ilvl w:val="1"/>
        <w:numId w:val="1"/>
      </w:numPr>
      <w:tabs>
        <w:tab w:val="clear" w:pos="720"/>
        <w:tab w:val="left" w:pos="5106" w:leader="none"/>
        <w:tab w:val="left" w:pos="7254" w:leader="none"/>
      </w:tabs>
      <w:ind w:hanging="0" w:start="720" w:end="0"/>
      <w:outlineLvl w:val="1"/>
    </w:pPr>
    <w:rPr>
      <w:rFonts w:ascii="Times New Roman" w:hAnsi="Times New Roman" w:cs="Times New Roman"/>
      <w:sz w:val="22"/>
      <w:u w:val="single"/>
    </w:rPr>
  </w:style>
  <w:style w:type="paragraph" w:styleId="Heading3">
    <w:name w:val="heading 3"/>
    <w:basedOn w:val="Normal"/>
    <w:next w:val="Normal"/>
    <w:qFormat/>
    <w:pPr>
      <w:keepNext w:val="true"/>
      <w:widowControl/>
      <w:numPr>
        <w:ilvl w:val="2"/>
        <w:numId w:val="1"/>
      </w:numPr>
      <w:tabs>
        <w:tab w:val="clear" w:pos="720"/>
        <w:tab w:val="left" w:pos="1344" w:leader="none"/>
        <w:tab w:val="left" w:pos="5106" w:leader="none"/>
        <w:tab w:val="left" w:pos="7254" w:leader="none"/>
      </w:tabs>
      <w:jc w:val="center"/>
      <w:outlineLvl w:val="2"/>
    </w:pPr>
    <w:rPr>
      <w:rFonts w:ascii="Times New Roman" w:hAnsi="Times New Roman" w:cs="Times New Roman"/>
      <w:b/>
      <w:bCs/>
      <w:sz w:val="22"/>
    </w:rPr>
  </w:style>
  <w:style w:type="paragraph" w:styleId="Heading4">
    <w:name w:val="heading 4"/>
    <w:basedOn w:val="Normal"/>
    <w:next w:val="Normal"/>
    <w:qFormat/>
    <w:pPr>
      <w:keepNext w:val="true"/>
      <w:numPr>
        <w:ilvl w:val="3"/>
        <w:numId w:val="1"/>
      </w:numPr>
      <w:jc w:val="both"/>
      <w:outlineLvl w:val="3"/>
    </w:pPr>
    <w:rPr>
      <w:i/>
      <w:u w:val="single"/>
    </w:rPr>
  </w:style>
  <w:style w:type="paragraph" w:styleId="Heading5">
    <w:name w:val="heading 5"/>
    <w:basedOn w:val="Normal"/>
    <w:next w:val="Normal"/>
    <w:qFormat/>
    <w:pPr>
      <w:keepNext w:val="true"/>
      <w:widowControl/>
      <w:numPr>
        <w:ilvl w:val="4"/>
        <w:numId w:val="1"/>
      </w:numPr>
      <w:tabs>
        <w:tab w:val="left" w:pos="720" w:leader="none"/>
        <w:tab w:val="left" w:pos="5106" w:leader="none"/>
        <w:tab w:val="left" w:pos="7254" w:leader="none"/>
      </w:tabs>
      <w:spacing w:before="60" w:after="0"/>
      <w:outlineLvl w:val="4"/>
    </w:pPr>
    <w:rPr>
      <w:rFonts w:ascii="Times New Roman" w:hAnsi="Times New Roman" w:cs="Times New Roman"/>
      <w:b/>
      <w:bCs/>
      <w:sz w:val="22"/>
      <w:u w:val="single"/>
    </w:rPr>
  </w:style>
  <w:style w:type="paragraph" w:styleId="Heading6">
    <w:name w:val="heading 6"/>
    <w:basedOn w:val="Normal"/>
    <w:next w:val="Normal"/>
    <w:qFormat/>
    <w:pPr>
      <w:keepNext w:val="true"/>
      <w:widowControl/>
      <w:numPr>
        <w:ilvl w:val="5"/>
        <w:numId w:val="1"/>
      </w:numPr>
      <w:tabs>
        <w:tab w:val="clear" w:pos="720"/>
        <w:tab w:val="left" w:pos="540" w:leader="none"/>
      </w:tabs>
      <w:outlineLvl w:val="5"/>
    </w:pPr>
    <w:rPr>
      <w:rFonts w:ascii="Arial" w:hAnsi="Arial" w:cs="Arial"/>
      <w:i/>
      <w:lang w:val="en-GB"/>
    </w:rPr>
  </w:style>
  <w:style w:type="paragraph" w:styleId="Heading7">
    <w:name w:val="heading 7"/>
    <w:basedOn w:val="Normal"/>
    <w:next w:val="Normal"/>
    <w:qFormat/>
    <w:pPr>
      <w:keepNext w:val="true"/>
      <w:numPr>
        <w:ilvl w:val="6"/>
        <w:numId w:val="1"/>
      </w:numPr>
      <w:jc w:val="both"/>
      <w:outlineLvl w:val="6"/>
    </w:pPr>
    <w:rPr>
      <w:b/>
      <w:i/>
      <w:u w:val="single"/>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7z0">
    <w:name w:val="WW8Num17z0"/>
    <w:qFormat/>
    <w:rPr>
      <w:rFonts w:ascii="Symbol" w:hAnsi="Symbol" w:cs="Symbol"/>
    </w:rPr>
  </w:style>
  <w:style w:type="character" w:styleId="WW8Num18z0">
    <w:name w:val="WW8Num18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30z0">
    <w:name w:val="WW8Num30z0"/>
    <w:qFormat/>
    <w:rPr>
      <w:rFonts w:ascii="Symbol" w:hAnsi="Symbol" w:cs="Symbol"/>
    </w:rPr>
  </w:style>
  <w:style w:type="character" w:styleId="WW8Num33z0">
    <w:name w:val="WW8Num33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6z0">
    <w:name w:val="WW8Num46z0"/>
    <w:qFormat/>
    <w:rPr/>
  </w:style>
  <w:style w:type="character" w:styleId="WW8Num47z0">
    <w:name w:val="WW8Num47z0"/>
    <w:qFormat/>
    <w:rPr>
      <w:rFonts w:ascii="Symbol" w:hAnsi="Symbol" w:cs="Symbol"/>
    </w:rPr>
  </w:style>
  <w:style w:type="character" w:styleId="WW8Num47z1">
    <w:name w:val="WW8Num47z1"/>
    <w:qFormat/>
    <w:rPr>
      <w:rFonts w:ascii="Times New Roman" w:hAnsi="Times New Roman" w:eastAsia="Times New Roman" w:cs="Times New Roman"/>
      <w:i/>
    </w:rPr>
  </w:style>
  <w:style w:type="character" w:styleId="WW8Num47z2">
    <w:name w:val="WW8Num47z2"/>
    <w:qFormat/>
    <w:rPr>
      <w:rFonts w:ascii="Wingdings" w:hAnsi="Wingdings" w:cs="Wingdings"/>
    </w:rPr>
  </w:style>
  <w:style w:type="character" w:styleId="WW8Num47z4">
    <w:name w:val="WW8Num47z4"/>
    <w:qFormat/>
    <w:rPr>
      <w:rFonts w:ascii="Courier New" w:hAnsi="Courier New" w:cs="Courier New"/>
    </w:rPr>
  </w:style>
  <w:style w:type="character" w:styleId="WW8Num48z0">
    <w:name w:val="WW8Num48z0"/>
    <w:qFormat/>
    <w:rPr/>
  </w:style>
  <w:style w:type="character" w:styleId="WW8Num49z0">
    <w:name w:val="WW8Num49z0"/>
    <w:qFormat/>
    <w:rPr/>
  </w:style>
  <w:style w:type="character" w:styleId="WW8Num50z0">
    <w:name w:val="WW8Num50z0"/>
    <w:qFormat/>
    <w:rPr>
      <w:rFonts w:ascii="Symbol" w:hAnsi="Symbol" w:cs="Symbol"/>
    </w:rPr>
  </w:style>
  <w:style w:type="character" w:styleId="WW8Num52z0">
    <w:name w:val="WW8Num52z0"/>
    <w:qFormat/>
    <w:rPr/>
  </w:style>
  <w:style w:type="character" w:styleId="WW8Num53z0">
    <w:name w:val="WW8Num53z0"/>
    <w:qFormat/>
    <w:rPr/>
  </w:style>
  <w:style w:type="character" w:styleId="WW8Num59z0">
    <w:name w:val="WW8Num59z0"/>
    <w:qFormat/>
    <w:rPr/>
  </w:style>
  <w:style w:type="character" w:styleId="WW8Num64z0">
    <w:name w:val="WW8Num64z0"/>
    <w:qFormat/>
    <w:rPr>
      <w:rFonts w:ascii="Tms Rmn;Times New Roman" w:hAnsi="Tms Rmn;Times New Roman" w:cs="Tms Rmn;Times New Roman"/>
    </w:rPr>
  </w:style>
  <w:style w:type="character" w:styleId="WW8Num67z0">
    <w:name w:val="WW8Num67z0"/>
    <w:qFormat/>
    <w:rPr/>
  </w:style>
  <w:style w:type="character" w:styleId="WW8Num68z0">
    <w:name w:val="WW8Num68z0"/>
    <w:qFormat/>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3z0">
    <w:name w:val="WW8Num73z0"/>
    <w:qFormat/>
    <w:rPr/>
  </w:style>
  <w:style w:type="character" w:styleId="WW8Num74z0">
    <w:name w:val="WW8Num74z0"/>
    <w:qFormat/>
    <w:rPr>
      <w:rFonts w:ascii="Wingdings" w:hAnsi="Wingdings" w:cs="Wingdings"/>
      <w:sz w:val="20"/>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5z0">
    <w:name w:val="WW8Num85z0"/>
    <w:qFormat/>
    <w:rPr>
      <w:rFonts w:ascii="Wingdings" w:hAnsi="Wingdings" w:cs="Wingdings"/>
    </w:rPr>
  </w:style>
  <w:style w:type="character" w:styleId="WW8Num87z0">
    <w:name w:val="WW8Num87z0"/>
    <w:qFormat/>
    <w:rPr/>
  </w:style>
  <w:style w:type="character" w:styleId="WW8Num87z1">
    <w:name w:val="WW8Num87z1"/>
    <w:qFormat/>
    <w:rPr>
      <w:rFonts w:ascii="Times New Roman" w:hAnsi="Times New Roman" w:eastAsia="Times New Roman" w:cs="Times New Roman"/>
    </w:rPr>
  </w:style>
  <w:style w:type="character" w:styleId="WW8Num88z1">
    <w:name w:val="WW8Num88z1"/>
    <w:qFormat/>
    <w:rPr>
      <w:rFonts w:ascii="Symbol" w:hAnsi="Symbol" w:cs="Symbol"/>
    </w:rPr>
  </w:style>
  <w:style w:type="character" w:styleId="WW8Num90z0">
    <w:name w:val="WW8Num90z0"/>
    <w:qFormat/>
    <w:rPr>
      <w:rFonts w:ascii="Times New Roman" w:hAnsi="Times New Roman" w:eastAsia="Times New Roman" w:cs="Times New Roman"/>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1z0">
    <w:name w:val="WW8Num91z0"/>
    <w:qFormat/>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Wingdings" w:hAnsi="Wingdings" w:cs="Wingdings"/>
      <w:sz w:val="20"/>
    </w:rPr>
  </w:style>
  <w:style w:type="character" w:styleId="WW8Num95z0">
    <w:name w:val="WW8Num95z0"/>
    <w:qFormat/>
    <w:rPr>
      <w:rFonts w:ascii="Wingdings" w:hAnsi="Wingdings" w:cs="Wingdings"/>
      <w:sz w:val="20"/>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St40z0">
    <w:name w:val="WW8NumSt40z0"/>
    <w:qFormat/>
    <w:rPr>
      <w:rFonts w:ascii="Tms Rmn;Times New Roman" w:hAnsi="Tms Rmn;Times New Roman" w:cs="Tms Rmn;Times New Roman"/>
    </w:rPr>
  </w:style>
  <w:style w:type="character" w:styleId="WW8NumSt67z0">
    <w:name w:val="WW8NumSt67z0"/>
    <w:qFormat/>
    <w:rPr>
      <w:rFonts w:ascii="Symbol" w:hAnsi="Symbol" w:cs="Symbol"/>
    </w:rPr>
  </w:style>
  <w:style w:type="character" w:styleId="WW8NumSt67z1">
    <w:name w:val="WW8NumSt67z1"/>
    <w:qFormat/>
    <w:rPr>
      <w:rFonts w:ascii="Courier New" w:hAnsi="Courier New" w:cs="Courier New"/>
    </w:rPr>
  </w:style>
  <w:style w:type="character" w:styleId="WW8NumSt67z2">
    <w:name w:val="WW8NumSt67z2"/>
    <w:qFormat/>
    <w:rPr>
      <w:rFonts w:ascii="Wingdings" w:hAnsi="Wingdings" w:cs="Wingdings"/>
    </w:rPr>
  </w:style>
  <w:style w:type="character" w:styleId="WW8NumSt81z0">
    <w:name w:val="WW8NumSt81z0"/>
    <w:qFormat/>
    <w:rPr>
      <w:rFonts w:ascii="Symbol" w:hAnsi="Symbol" w:cs="Symbol"/>
    </w:rPr>
  </w:style>
  <w:style w:type="character" w:styleId="WW8NumSt81z1">
    <w:name w:val="WW8NumSt81z1"/>
    <w:qFormat/>
    <w:rPr>
      <w:rFonts w:ascii="Courier New" w:hAnsi="Courier New" w:cs="Courier New"/>
    </w:rPr>
  </w:style>
  <w:style w:type="character" w:styleId="WW8NumSt81z2">
    <w:name w:val="WW8NumSt81z2"/>
    <w:qFormat/>
    <w:rPr>
      <w:rFonts w:ascii="Wingdings" w:hAnsi="Wingdings" w:cs="Wingdings"/>
    </w:rPr>
  </w:style>
  <w:style w:type="character" w:styleId="WW8NumSt82z0">
    <w:name w:val="WW8NumSt82z0"/>
    <w:qFormat/>
    <w:rPr>
      <w:rFonts w:ascii="Symbol" w:hAnsi="Symbol" w:cs="Symbol"/>
    </w:rPr>
  </w:style>
  <w:style w:type="character" w:styleId="WW8NumSt82z1">
    <w:name w:val="WW8NumSt82z1"/>
    <w:qFormat/>
    <w:rPr>
      <w:rFonts w:ascii="Courier New" w:hAnsi="Courier New" w:cs="Courier New"/>
    </w:rPr>
  </w:style>
  <w:style w:type="character" w:styleId="WW8NumSt82z2">
    <w:name w:val="WW8NumSt82z2"/>
    <w:qFormat/>
    <w:rPr>
      <w:rFonts w:ascii="Wingdings" w:hAnsi="Wingdings" w:cs="Wingdings"/>
    </w:rPr>
  </w:style>
  <w:style w:type="character" w:styleId="WW8NumSt84z0">
    <w:name w:val="WW8NumSt8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106" w:leader="none"/>
        <w:tab w:val="left" w:pos="7254" w:leader="none"/>
      </w:tabs>
      <w:ind w:hanging="180" w:start="108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5106" w:leader="none"/>
        <w:tab w:val="left" w:pos="7254" w:leader="none"/>
      </w:tabs>
      <w:ind w:hanging="90" w:start="1170" w:end="0"/>
      <w:jc w:val="both"/>
    </w:pPr>
    <w:rPr>
      <w:rFonts w:ascii="Times New Roman" w:hAnsi="Times New Roman" w:cs="Times New Roman"/>
      <w:sz w:val="22"/>
    </w:rPr>
  </w:style>
  <w:style w:type="paragraph" w:styleId="BodyTextIndent3">
    <w:name w:val="Body Text Indent 3"/>
    <w:basedOn w:val="Normal"/>
    <w:qFormat/>
    <w:pPr>
      <w:tabs>
        <w:tab w:val="clear" w:pos="720"/>
        <w:tab w:val="left" w:pos="5106" w:leader="none"/>
        <w:tab w:val="left" w:pos="7254" w:leader="none"/>
      </w:tabs>
      <w:ind w:hanging="180" w:start="1260" w:end="0"/>
      <w:jc w:val="both"/>
    </w:pPr>
    <w:rPr>
      <w:rFonts w:ascii="Times New Roman" w:hAnsi="Times New Roman" w:cs="Times New Roman"/>
      <w:sz w:val="22"/>
    </w:rPr>
  </w:style>
  <w:style w:type="paragraph" w:styleId="BodyText21">
    <w:name w:val="Body Text 21"/>
    <w:basedOn w:val="Normal"/>
    <w:qFormat/>
    <w:pPr>
      <w:ind w:hanging="720" w:start="720" w:end="0"/>
    </w:pPr>
    <w:rPr>
      <w:rFonts w:ascii="Times New Roman" w:hAnsi="Times New Roman" w:cs="Times New Roman"/>
      <w:sz w:val="24"/>
    </w:rPr>
  </w:style>
  <w:style w:type="paragraph" w:styleId="BodyTextIndent">
    <w:name w:val="Body Text Indent"/>
    <w:basedOn w:val="Normal"/>
    <w:pPr>
      <w:widowControl/>
      <w:tabs>
        <w:tab w:val="clear" w:pos="720"/>
        <w:tab w:val="left" w:pos="1080" w:leader="none"/>
      </w:tabs>
      <w:ind w:hanging="360" w:start="1080" w:end="0"/>
      <w:jc w:val="both"/>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Subject">
    <w:name w:val="Subject"/>
    <w:basedOn w:val="Normal"/>
    <w:qFormat/>
    <w:pPr>
      <w:widowControl/>
    </w:pPr>
    <w:rPr>
      <w:rFonts w:ascii="Arial" w:hAnsi="Arial" w:cs="Arial"/>
      <w:lang w:val="en-GB"/>
    </w:rPr>
  </w:style>
  <w:style w:type="paragraph" w:styleId="Body">
    <w:name w:val="Body"/>
    <w:basedOn w:val="Normal"/>
    <w:qFormat/>
    <w:pPr>
      <w:widowControl/>
      <w:ind w:hanging="0" w:start="72" w:end="0"/>
    </w:pPr>
    <w:rPr>
      <w:rFonts w:ascii="Arial" w:hAnsi="Arial" w:cs="Arial"/>
      <w:color w:val="000080"/>
      <w:lang w:val="en-GB"/>
    </w:rPr>
  </w:style>
  <w:style w:type="paragraph" w:styleId="To">
    <w:name w:val="To"/>
    <w:basedOn w:val="Normal"/>
    <w:qFormat/>
    <w:pPr>
      <w:widowControl/>
    </w:pPr>
    <w:rPr>
      <w:rFonts w:ascii="Arial" w:hAnsi="Arial" w:cs="Arial"/>
      <w:lang w:val="en-GB"/>
    </w:rPr>
  </w:style>
  <w:style w:type="paragraph" w:styleId="From">
    <w:name w:val="From"/>
    <w:basedOn w:val="Normal"/>
    <w:qFormat/>
    <w:pPr>
      <w:widowControl/>
    </w:pPr>
    <w:rPr>
      <w:rFonts w:ascii="Arial" w:hAnsi="Arial" w:cs="Arial"/>
      <w:lang w:val="en-GB"/>
    </w:rPr>
  </w:style>
  <w:style w:type="paragraph" w:styleId="Department">
    <w:name w:val="Department"/>
    <w:basedOn w:val="Normal"/>
    <w:qFormat/>
    <w:pPr>
      <w:widowControl/>
    </w:pPr>
    <w:rPr>
      <w:rFonts w:ascii="Arial" w:hAnsi="Arial" w:cs="Arial"/>
      <w:lang w:val="en-GB"/>
    </w:rPr>
  </w:style>
  <w:style w:type="paragraph" w:styleId="BodyText3">
    <w:name w:val="Body Text 3"/>
    <w:basedOn w:val="Normal"/>
    <w:qFormat/>
    <w:pPr>
      <w:widowControl/>
      <w:tabs>
        <w:tab w:val="clear" w:pos="720"/>
        <w:tab w:val="left" w:pos="1344" w:leader="none"/>
        <w:tab w:val="left" w:pos="5106" w:leader="none"/>
        <w:tab w:val="left" w:pos="7254" w:leader="none"/>
        <w:tab w:val="left" w:pos="10080" w:leader="none"/>
      </w:tabs>
      <w:ind w:hanging="0" w:start="0" w:end="-306"/>
      <w:jc w:val="both"/>
    </w:pPr>
    <w:rPr>
      <w:rFonts w:ascii="Times New Roman" w:hAnsi="Times New Roman" w:cs="Times New Roman"/>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2001-04-12T12:57:00Z</dcterms:created>
  <dc:creator>kyoung</dc:creator>
  <dc:description/>
  <dc:language>en-CA</dc:language>
  <cp:lastModifiedBy>dsnow</cp:lastModifiedBy>
  <cp:lastPrinted>2001-04-17T16:59:00Z</cp:lastPrinted>
  <dcterms:modified xsi:type="dcterms:W3CDTF">2001-04-17T19:30:00Z</dcterms:modified>
  <cp:revision>26</cp:revision>
  <dc:subject/>
  <dc:title>MEMO FORM</dc:title>
</cp:coreProperties>
</file>