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Enron Power Marketing, Inc.</w:t>
      </w:r>
    </w:p>
    <w:p>
      <w:pPr>
        <w:pStyle w:val="Normal"/>
        <w:bidi w:val="0"/>
        <w:spacing w:lineRule="atLeast" w:line="0"/>
        <w:jc w:val="center"/>
        <w:rPr>
          <w:rFonts w:ascii="Times New Roman" w:hAnsi="Times New Roman"/>
          <w:sz w:val="24"/>
        </w:rPr>
      </w:pPr>
      <w:r>
        <w:rPr>
          <w:rFonts w:ascii="Times New Roman" w:hAnsi="Times New Roman"/>
          <w:sz w:val="24"/>
        </w:rPr>
        <w:t>1400 Smith Street</w:t>
      </w:r>
    </w:p>
    <w:p>
      <w:pPr>
        <w:pStyle w:val="Normal"/>
        <w:bidi w:val="0"/>
        <w:spacing w:lineRule="atLeast" w:line="0"/>
        <w:jc w:val="center"/>
        <w:rPr>
          <w:rFonts w:ascii="Times New Roman" w:hAnsi="Times New Roman"/>
          <w:sz w:val="24"/>
        </w:rPr>
      </w:pPr>
      <w:r>
        <w:rPr>
          <w:rFonts w:ascii="Times New Roman" w:hAnsi="Times New Roman"/>
          <w:sz w:val="24"/>
        </w:rPr>
        <w:t>Houston, Texas 77002-7361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December 28,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single"/>
        </w:rPr>
        <w:t xml:space="preserve">                                                                      </w:t>
      </w:r>
    </w:p>
    <w:p>
      <w:pPr>
        <w:pStyle w:val="Normal"/>
        <w:bidi w:val="0"/>
        <w:spacing w:lineRule="atLeast" w:line="0"/>
        <w:jc w:val="start"/>
        <w:rPr>
          <w:rFonts w:ascii="Times New Roman" w:hAnsi="Times New Roman"/>
          <w:sz w:val="24"/>
        </w:rPr>
      </w:pPr>
      <w:r>
        <w:rPr>
          <w:rFonts w:ascii="Times New Roman" w:hAnsi="Times New Roman"/>
          <w:sz w:val="24"/>
        </w:rPr>
        <w:t>Enron Energy Services, LLC</w:t>
      </w:r>
    </w:p>
    <w:p>
      <w:pPr>
        <w:pStyle w:val="Normal"/>
        <w:bidi w:val="0"/>
        <w:spacing w:lineRule="atLeast" w:line="0"/>
        <w:jc w:val="start"/>
        <w:rPr>
          <w:rFonts w:ascii="Times New Roman" w:hAnsi="Times New Roman"/>
          <w:sz w:val="24"/>
        </w:rPr>
      </w:pPr>
      <w:r>
        <w:rPr>
          <w:rFonts w:ascii="Times New Roman" w:hAnsi="Times New Roman"/>
          <w:sz w:val="24"/>
        </w:rPr>
        <w:t>1400 Smith Street</w:t>
      </w:r>
    </w:p>
    <w:p>
      <w:pPr>
        <w:pStyle w:val="Normal"/>
        <w:bidi w:val="0"/>
        <w:spacing w:lineRule="atLeast" w:line="0"/>
        <w:jc w:val="start"/>
        <w:rPr>
          <w:rFonts w:ascii="Times New Roman" w:hAnsi="Times New Roman"/>
          <w:sz w:val="24"/>
        </w:rPr>
      </w:pPr>
      <w:r>
        <w:rPr>
          <w:rFonts w:ascii="Times New Roman" w:hAnsi="Times New Roman"/>
          <w:sz w:val="24"/>
        </w:rPr>
        <w:t>Houston, Texas 77002-7361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Re:    </w:t>
      </w:r>
      <w:r>
        <w:rPr>
          <w:rFonts w:ascii="Times New Roman" w:hAnsi="Times New Roman"/>
          <w:sz w:val="24"/>
          <w:u w:val="single"/>
        </w:rPr>
        <w:t>Assignment &amp; Assumption of Certain EEMC Trading Positions with PGET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Dear _____:</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purpose of this letter is to confirm our mutual understanding regarding the respective roles, rights and obligations of our companies in connection with the assignment and assumption by Enron Power Marketing, Inc. ("EPMI") of those trading positions presently held by Enron Energy Marketing Corp. ("EEMC") with PG&amp;E Energy Trading--Power, L.P. ("PGET"), as reflected in the Assignment and Assumption Agreement dated as of the date hereof.    The master agreement between PGET and EEMC and the trading positions thereunder, all of which provide for the purchase of designated amounts of power by EEMC from PGET at various specified times (collectively, the "Assigned Transactions"), will be transferred to EPMI so that EPMI will become the counterparty to these trades with PGET.    Following such assignment, pursuant to the Settlement, Assignment and Assumption Agreement (the "Settlement Agreement") between EPMI, PGET and Avista Energy, Inc. ("AVISTA"), PGET and EPMI will terminate certain of the Assigned Transactions    in consideration of the payment by EPMI of the cash payment specified in Section 7 of the Settlement Agreement and the assignment and conveyance by PGET of certain trading positions held by PGET with AVISTA that serve to hedge, in part, PGET's power delivery obligations to EEMC (which, after the assignment, will be to EPMI).</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As we have discussed, the principal purpose of the assignment by EEMC of the Assigned Transactions to EEMC is to permit, to the extent possible, the potential netting or offset of certain "out of the money" trading positions that EPMI presently has with PGET with the "in the money" positions represented by the Assigned Transactions in the event of a bankruptcy, insolvency or other similar event involving PGET in which PGET may not be able to fully satisfy its obligations under the Assigned Transactions.    Outside legal counsel that is expert in bankruptcy matters has advised each of our companies that the assignment of the Assigned Transactions from EEMC to EPMI (1) is permitted under the relevant contracts without any consents or approvals (since EPMI is an affiliate of EEMC), and (2) would permit EPMI to legally effect an offset of its out of the money obligations to PGET in the event of a bankruptcy of PGET or other event triggering a termination of the transactions between EPMI and PGET.    The Settlement Agreement is intended to effect a substitution of PGET as the counterparty under certain of the trading positions reflected by the Assigned Transactions with what EEMC and EPMI presently believe is a more creditworthy counterparty than PGET--namely, AVISTA (and Morgan Stanley in the event we are able to consummate a transaction with them as well with respect to certain of the Assigned Transactions that PGET has hedged with Morgan Stanley).    For purposes of this letter, those AVISTA/PGET trading positions are referred to as the "PGET Purchase Transactions."    Outside legal counsel also has opined that the transactions contemplated by the Settlement Agreement would be respected by a court despite a subsequent bankruptcy filing by PGET.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As we have further discussed, each of EEMC and EPMI have agreed that we will promptly prepare the contractual documentation between our two companies that is necessary to reflect our mutual understanding regarding the manner and extent to which the economic benefits and detriments associated with or resulting from the Assigned Transactions--as a result of the assignment and with respect to the post-assignment period.    That documentation, which may take the form of separate confirms executed between EEMC and EPMI pursuant to the existing Master Agreement between our companies, dated _______ (the "EEMC/EPMI Master Agreement"), shall provide that EPMI shall furnish or otherwise make available to EEMC the power it may receive from PGET or AVISTA (or Morgan Stanley if we are also able to effect a similar transaction with them) pursuant to the Assigned Transactions and the PGET Purchase Transactions (to the extent they are substituted for certain of the Assigned Transactions).    Such power will be made available to EEMC at a price and on a basis consistent with what EEMC would have received from PGET, except perhaps for various transactional and similar additional costs that may be attributable to the transactions contemplated by the Assigned Transactions and the Settlement Agreement, it being acknowledged and agreed by EPMI and EEMC that EEMC shall be entitled to the economic benefits and shall bear the risks and economic detriments associated with the Assigned Transactions and the PGET Purchase Transactions, including any that may arise in connection with or as a result of the assignment of the Assigned Transactions and the consummation of the transactions contemplated by the Settlement Agreement.    For purposes of illustration, if the arrangement between EPMI and EEMC consists of a resale by EPMI to EEMC of the power purchased by EPMI from PGET and AVISTA, such resales generally would be effected at a price that equals or substantially equals the price that would have been paid by EEMC for such power if it had purchased directly from PGET and AVISTA.    In addition, any losses incurred by EPMI with respect to the Assigned Transactions or the PGET Purchase Transactions, including by reason of a counterparty default, shall be for the account of EEMC.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Lastly, we have also recognized that the assignment of the Assigned Transactions between two Enron affiliates may result in certain correlative tax and accounting adjustments with respect to the Assigned Transactions.    We have agreed to work cooperatively to minimize any negative tax or accounting adjustments that could arise in this respect, provided that EPMI shall not be adversely affected, or will otherwise be made whole, as a result of the transactions contemplated herein.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If the foregoing accurately reflects the agreements and understandings we have reached with respect to the Assigned Transactions and the PGET Purchase Transactions, could you please acknowledge your agreement below and return an executed copy of this letter to 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t>Very truly yours,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single"/>
        </w:rPr>
        <w:t>ACKNOWLEDGED AND AGREED</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Enron Energy Marketing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By:    </w:t>
      </w:r>
      <w:r>
        <w:rPr>
          <w:rFonts w:ascii="Times New Roman" w:hAnsi="Times New Roman"/>
          <w:sz w:val="24"/>
          <w:u w:val="single"/>
        </w:rPr>
        <w:t xml:space="preserv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Title:    </w:t>
      </w:r>
      <w:r>
        <w:rPr>
          <w:rFonts w:ascii="Times New Roman" w:hAnsi="Times New Roman"/>
          <w:sz w:val="24"/>
          <w:u w:val="single"/>
        </w:rPr>
        <w:t xml:space="preserve">                                                                                  </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p>
    <w:sectPr>
      <w:footerReference w:type="even" r:id="rId2"/>
      <w:footerReference w:type="default" r:id="rId3"/>
      <w:footerReference w:type="first" r:id="rId4"/>
      <w:type w:val="nextPage"/>
      <w:pgSz w:w="12240" w:h="15840"/>
      <w:pgMar w:left="1440" w:right="1440" w:gutter="0" w:header="0" w:top="1440" w:footer="2160" w:bottom="22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ourier">
    <w:altName w:val="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Courier" w:hAnsi="Courier"/>
        <w:sz w:val="14"/>
      </w:rPr>
    </w:pPr>
    <w:r>
      <w:rPr>
        <w:rFonts w:ascii="Courier" w:hAnsi="Courier"/>
        <w:sz w:val="14"/>
      </w:rPr>
      <w:t>F:\EEMC-EPMI.doc</w:t>
    </w:r>
  </w:p>
  <w:p>
    <w:pPr>
      <w:pStyle w:val="Normal"/>
      <w:bidi w:val="0"/>
      <w:spacing w:lineRule="atLeast" w:line="0"/>
      <w:jc w:val="start"/>
      <w:rPr>
        <w:rFonts w:ascii="Courier" w:hAnsi="Courier"/>
        <w:sz w:val="14"/>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rFonts w:ascii="Courier" w:hAnsi="Courier"/>
        <w:sz w:val="14"/>
      </w:rPr>
      <w:t xml:space="preserve"> </w:t>
    </w:r>
    <w:r>
      <w:rPr>
        <w:rFonts w:ascii="Courier" w:hAnsi="Courier"/>
        <w:sz w:val="14"/>
      </w:rPr>
      <w:fldChar w:fldCharType="begin"/>
    </w:r>
    <w:r>
      <w:rPr>
        <w:sz w:val="14"/>
        <w:rFonts w:ascii="Courier" w:hAnsi="Courier"/>
      </w:rPr>
      <w:instrText xml:space="preserve"> DATE \@"H:mm\ AM/PM" </w:instrText>
    </w:r>
    <w:r>
      <w:rPr>
        <w:sz w:val="14"/>
        <w:rFonts w:ascii="Courier" w:hAnsi="Courier"/>
      </w:rPr>
      <w:fldChar w:fldCharType="separate"/>
    </w:r>
    <w:r>
      <w:rPr>
        <w:sz w:val="14"/>
        <w:rFonts w:ascii="Courier" w:hAnsi="Courier"/>
      </w:rPr>
      <w:t>7:54 AM</w:t>
    </w:r>
    <w:r>
      <w:rPr>
        <w:sz w:val="14"/>
        <w:rFonts w:ascii="Courier" w:hAnsi="Couri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Courier" w:hAnsi="Courier"/>
        <w:sz w:val="14"/>
      </w:rPr>
    </w:pPr>
    <w:r>
      <w:rPr>
        <w:rFonts w:ascii="Courier" w:hAnsi="Courier"/>
        <w:sz w:val="14"/>
      </w:rPr>
      <w:t>F:\EEMC-EPMI.doc</w:t>
    </w:r>
  </w:p>
  <w:p>
    <w:pPr>
      <w:pStyle w:val="Normal"/>
      <w:bidi w:val="0"/>
      <w:spacing w:lineRule="atLeast" w:line="0"/>
      <w:jc w:val="start"/>
      <w:rPr>
        <w:rFonts w:ascii="Courier" w:hAnsi="Courier"/>
        <w:sz w:val="14"/>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rFonts w:ascii="Courier" w:hAnsi="Courier"/>
        <w:sz w:val="14"/>
      </w:rPr>
      <w:t xml:space="preserve"> </w:t>
    </w:r>
    <w:r>
      <w:rPr>
        <w:rFonts w:ascii="Courier" w:hAnsi="Courier"/>
        <w:sz w:val="14"/>
      </w:rPr>
      <w:fldChar w:fldCharType="begin"/>
    </w:r>
    <w:r>
      <w:rPr>
        <w:sz w:val="14"/>
        <w:rFonts w:ascii="Courier" w:hAnsi="Courier"/>
      </w:rPr>
      <w:instrText xml:space="preserve"> DATE \@"H:mm\ AM/PM" </w:instrText>
    </w:r>
    <w:r>
      <w:rPr>
        <w:sz w:val="14"/>
        <w:rFonts w:ascii="Courier" w:hAnsi="Courier"/>
      </w:rPr>
      <w:fldChar w:fldCharType="separate"/>
    </w:r>
    <w:r>
      <w:rPr>
        <w:sz w:val="14"/>
        <w:rFonts w:ascii="Courier" w:hAnsi="Courier"/>
      </w:rPr>
      <w:t>7:54 AM</w:t>
    </w:r>
    <w:r>
      <w:rPr>
        <w:sz w:val="14"/>
        <w:rFonts w:ascii="Courier" w:hAnsi="Courier"/>
      </w:rPr>
      <w:fldChar w:fldCharType="end"/>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