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November,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November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rPr/>
      </w:pPr>
      <w:r>
        <w:rPr>
          <w:u w:val="none"/>
        </w:rPr>
        <w:tab/>
      </w:r>
      <w:r>
        <w:rPr/>
        <w:t>Houston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is reviewing certain high exposure power contracts for revision and conversion to EEI</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Brent Price/Jeff Hodge/Stacy Dickson </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is reviewing certain high volume trading contracts for possible revision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Janet Dietrich/Jeff Hodge/Richard Sanders (Susman &amp; Godfrey)</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Contract negotiation regarding revising a long-term gas contract</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Enron Wind/Indian Mesa</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Mike Curry/David Portz</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is negotiating with Indian Mesa, a wholly owned subsidiary of Enron Wind, for a 20-year deal involving the purchase of up to 494,000 MWh per year from a wind facility to be constructed in Pecos County, Texas</w:t>
      </w:r>
    </w:p>
    <w:p>
      <w:pPr>
        <w:pStyle w:val="Heading5"/>
        <w:spacing w:before="120" w:after="0"/>
        <w:ind w:hanging="0" w:start="0"/>
        <w:rPr/>
      </w:pPr>
      <w:r>
        <w:rPr>
          <w:u w:val="none"/>
        </w:rPr>
        <w:tab/>
      </w:r>
      <w:r>
        <w:rPr/>
        <w:t>Financial</w:t>
      </w:r>
    </w:p>
    <w:p>
      <w:pPr>
        <w:pStyle w:val="Normal"/>
        <w:keepLines/>
        <w:numPr>
          <w:ilvl w:val="0"/>
          <w:numId w:val="10"/>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Online Trading – North America</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Preparation of agreements for broker access and posting products offered by non-Enron parties.  Negotiating exceptions to standard online forms and approving language and documentation for new products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Clint Freeland/Sara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Monitoring legislative developments and lobbying in connection with proposed revision of the Commodity Exchange Act</w:t>
      </w:r>
    </w:p>
    <w:p>
      <w:pPr>
        <w:pStyle w:val="Heading5"/>
        <w:spacing w:before="120" w:after="0"/>
        <w:ind w:hanging="0" w:start="0"/>
        <w:jc w:val="both"/>
        <w:rPr/>
      </w:pPr>
      <w:r>
        <w:rPr>
          <w:u w:val="none"/>
        </w:rPr>
        <w:tab/>
      </w:r>
      <w:r>
        <w:rPr/>
        <w:t>Portland</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City of Vernon</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Yoder/Elizabeth Sager/Richard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City of Vernon refused to honor a 10-year trade entered into with EPMI claiming the transaction was unauthorized.  EPMI is investigating its legal options.</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EnronOnline – North America</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Clickpaper</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Greg Piper/Travis McCullough/Harry Collins</w:t>
      </w:r>
    </w:p>
    <w:p>
      <w:pPr>
        <w:pStyle w:val="EndnoteText"/>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Expansion of access to paper trading system into Europe</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Equity Investments</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Andy Zipper/Travis McCullough (Vinson &amp; Elkins)</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Several investments in connection with posting EnronOnline prices to third party trading platforms are in various stages: Espeed – under negotiation, HoustonStreet – HSR approval received and ready to close, True Quote – closed, Intercontinental Exchange – on hold</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keepNext w:val="true"/>
        <w:keepLines/>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Off balance sheet financing and equity sell-down of 1999 and 2000 peakers power plants and 2001 development sites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Final negotiations are underway; purchase and sale agreements for sale of two peakers.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 xml:space="preserve">- </w:t>
        <w:tab/>
        <w:t>Kay Mann</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Alamac – Acquisition of two North Carolina 35W coal-fired power plants via equity purchase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Execution of purchase agreement expected 11/20/00; closing to occur in December, 2000</w:t>
      </w:r>
    </w:p>
    <w:p>
      <w:pPr>
        <w:pStyle w:val="BodyText"/>
        <w:keepNext w:val="true"/>
        <w:keepLines/>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keepNext w:val="true"/>
        <w:keepLines/>
        <w:widowControl/>
        <w:numPr>
          <w:ilvl w:val="0"/>
          <w:numId w:val="11"/>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should occur by 11/17/00</w:t>
      </w:r>
    </w:p>
    <w:p>
      <w:pPr>
        <w:pStyle w:val="Normal"/>
        <w:keepNext w:val="true"/>
        <w:keepLines/>
        <w:widowControl/>
        <w:numPr>
          <w:ilvl w:val="0"/>
          <w:numId w:val="11"/>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Various stages of progress</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 and LV Cogen</w:t>
      </w:r>
    </w:p>
    <w:p>
      <w:pPr>
        <w:pStyle w:val="Normal"/>
        <w:keepNext w:val="true"/>
        <w:keepLines/>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 xml:space="preserve">Negotiating the sale of Pastoria for a closing this quarter.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multiple sites for power plant development in Florida, Washington, Colorado, Louisiana, Georgia and Missouri</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sites, turbines and getting permits for 5 to 7 projects</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two peaker projects in California and expansion of LV Cogen for reliability contracts with California ISO</w:t>
      </w:r>
    </w:p>
    <w:p>
      <w:pPr>
        <w:pStyle w:val="BodyText"/>
        <w:keepNext w:val="true"/>
        <w:keepLines/>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Rasmussen/Al Larsen/Sheila Tweed</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 xml:space="preserve">Contracts for sale of capacity during the summers of 2001, 2002 and 2003 should be executed by November 13, 2000.  Project development is proceeding.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 xml:space="preserve">Power Plant Development in Colorado for long-term PPA with PSCO.  </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2001 start date.</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Negotiating with two potential purchasers; any closing would be in 1</w:t>
      </w:r>
      <w:r>
        <w:rPr>
          <w:rFonts w:cs="Times New Roman" w:ascii="Times New Roman" w:hAnsi="Times New Roman"/>
          <w:vertAlign w:val="superscript"/>
        </w:rPr>
        <w:t>st</w:t>
      </w:r>
      <w:r>
        <w:rPr>
          <w:rFonts w:cs="Times New Roman" w:ascii="Times New Roman" w:hAnsi="Times New Roman"/>
        </w:rPr>
        <w:t>/2</w:t>
      </w:r>
      <w:r>
        <w:rPr>
          <w:rFonts w:cs="Times New Roman" w:ascii="Times New Roman" w:hAnsi="Times New Roman"/>
          <w:vertAlign w:val="superscript"/>
        </w:rPr>
        <w:t>nd</w:t>
      </w:r>
      <w:r>
        <w:rPr>
          <w:rFonts w:cs="Times New Roman" w:ascii="Times New Roman" w:hAnsi="Times New Roman"/>
        </w:rPr>
        <w:t xml:space="preserve"> quarter 2001</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Project closed – 3</w:t>
      </w:r>
      <w:r>
        <w:rPr>
          <w:rFonts w:cs="Times New Roman" w:ascii="Times New Roman" w:hAnsi="Times New Roman"/>
          <w:vertAlign w:val="superscript"/>
        </w:rPr>
        <w:t>rd</w:t>
      </w:r>
      <w:r>
        <w:rPr>
          <w:rFonts w:cs="Times New Roman" w:ascii="Times New Roman" w:hAnsi="Times New Roman"/>
        </w:rPr>
        <w:t xml:space="preserve"> quarter – post-closing obligations underway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keepNext w:val="true"/>
        <w:keepLines/>
        <w:widowControl/>
        <w:numPr>
          <w:ilvl w:val="0"/>
          <w:numId w:val="7"/>
        </w:numPr>
        <w:tabs>
          <w:tab w:val="clear" w:pos="720"/>
          <w:tab w:val="left" w:pos="1260" w:leader="none"/>
        </w:tabs>
        <w:jc w:val="both"/>
        <w:rPr>
          <w:rFonts w:ascii="Times New Roman" w:hAnsi="Times New Roman" w:cs="Times New Roman"/>
        </w:rPr>
      </w:pPr>
      <w:r>
        <w:rPr>
          <w:rFonts w:cs="Times New Roman" w:ascii="Times New Roman" w:hAnsi="Times New Roman"/>
        </w:rPr>
        <w:t>Shonnie Daniel</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structuring phase</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LIPA Power Sale scrapped; barges to be sold internally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Lined Rock Cavern Gas Storage – Acquisition of IP rights to develop worldwide gas storage caverns</w:t>
      </w:r>
    </w:p>
    <w:p>
      <w:pPr>
        <w:pStyle w:val="Normal"/>
        <w:keepNext w:val="true"/>
        <w:keepLines/>
        <w:widowControl/>
        <w:numPr>
          <w:ilvl w:val="0"/>
          <w:numId w:val="7"/>
        </w:numPr>
        <w:tabs>
          <w:tab w:val="clear" w:pos="720"/>
          <w:tab w:val="left" w:pos="1080" w:leader="none"/>
          <w:tab w:val="left" w:pos="1260" w:leader="none"/>
        </w:tabs>
        <w:jc w:val="both"/>
        <w:rPr>
          <w:rFonts w:ascii="Times New Roman" w:hAnsi="Times New Roman" w:cs="Times New Roman"/>
        </w:rPr>
      </w:pPr>
      <w:r>
        <w:rPr>
          <w:rFonts w:cs="Times New Roman" w:ascii="Times New Roman" w:hAnsi="Times New Roman"/>
        </w:rPr>
        <w:t>Steve Van Hooser</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MOU not executed; project likely to be abandoned</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keepNext w:val="true"/>
        <w:keepLines/>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6/30/00 staff auditors of the RRC issued a letter finding various deficiencies in accounting systems; responses filed</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NG Resources/Project Crescendo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Closed equity; production payment closed 11/10/00</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QF Restructurings – Continue to work on a variety of QF restructurings</w:t>
      </w:r>
    </w:p>
    <w:p>
      <w:pPr>
        <w:pStyle w:val="Normal"/>
        <w:keepNext w:val="true"/>
        <w:keepLines/>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w:t>
      </w:r>
    </w:p>
    <w:p>
      <w:pPr>
        <w:pStyle w:val="Normal"/>
        <w:keepNext w:val="true"/>
        <w:keepLines/>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 – Continue to work on a variety of transactions, including acquisitions of companies owning interests in power generation facilities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Lance Schuler/Lou Stoler</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Project INGA (Lou Stoler) in documentation; other transactions in varying states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HEOF II Matters – Continue to work on investments by HEOF II in various minority-owned businesses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Production Payments – Variety of transactions involving production payments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Merchant Portfolio Matters – Continued dispositions and monetizations of the ENA Merchant Portfolio including transfers of assets to Condor vehicle (Project Velocity) and sales/restructurings of special assets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Travis McCullough/Lisa Mellencamp</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Strategic Investments – investment in AIG-sponsored LLC; EMIC and EEC have first option to provide energy related services to project companies invested in by LLC</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Angela Davis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keepNext w:val="true"/>
        <w:keepLines/>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keepNext w:val="true"/>
        <w:keepLines/>
        <w:rPr>
          <w:rFonts w:ascii="Times New Roman" w:hAnsi="Times New Roman" w:cs="Times New Roman"/>
          <w:iCs/>
        </w:rPr>
      </w:pPr>
      <w:r>
        <w:rPr>
          <w:rFonts w:cs="Times New Roman" w:ascii="Times New Roman" w:hAnsi="Times New Roman"/>
          <w:iCs/>
        </w:rPr>
        <w:t>(Text of “Status of ENA Litigation” Report to Mark Haedicke dated November 8, 2000)</w:t>
      </w:r>
    </w:p>
    <w:p>
      <w:pPr>
        <w:pStyle w:val="Normal"/>
        <w:keepNext w:val="true"/>
        <w:keepLines/>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rFonts w:ascii="Times New Roman" w:hAnsi="Times New Roman" w:cs="Times New Roman"/>
          <w:b/>
        </w:rPr>
      </w:pPr>
      <w:r>
        <w:rPr>
          <w:rFonts w:cs="Times New Roman" w:ascii="Times New Roman" w:hAnsi="Times New Roman"/>
          <w:b/>
        </w:rPr>
        <w:t>ACTIVE LITIGATION</w:t>
      </w:r>
    </w:p>
    <w:p>
      <w:pPr>
        <w:pStyle w:val="Body"/>
        <w:ind w:start="0" w:end="0"/>
        <w:rPr>
          <w:rFonts w:ascii="Times New Roman" w:hAnsi="Times New Roman" w:cs="Times New Roman"/>
          <w:b/>
          <w:u w:val="single"/>
        </w:rPr>
      </w:pPr>
      <w:r>
        <w:rPr>
          <w:rFonts w:cs="Times New Roman" w:ascii="Times New Roman" w:hAnsi="Times New Roman"/>
          <w:b/>
          <w:u w:val="single"/>
        </w:rPr>
      </w:r>
    </w:p>
    <w:p>
      <w:pPr>
        <w:pStyle w:val="Heading7"/>
        <w:ind w:hanging="0" w:start="0"/>
        <w:rPr>
          <w:rFonts w:ascii="Times New Roman" w:hAnsi="Times New Roman" w:cs="Times New Roman"/>
          <w:bCs/>
          <w:sz w:val="22"/>
        </w:rPr>
      </w:pPr>
      <w:r>
        <w:rPr>
          <w:rFonts w:cs="Times New Roman" w:ascii="Times New Roman" w:hAnsi="Times New Roman"/>
          <w:bCs/>
          <w:sz w:val="22"/>
        </w:rPr>
        <w:t>Dow Waiver Litigation</w:t>
      </w:r>
    </w:p>
    <w:p>
      <w:pPr>
        <w:pStyle w:val="Normal"/>
        <w:jc w:val="both"/>
        <w:rPr>
          <w:rFonts w:ascii="Times New Roman" w:hAnsi="Times New Roman" w:cs="Times New Roman"/>
          <w:sz w:val="22"/>
        </w:rPr>
      </w:pPr>
      <w:r>
        <w:rPr>
          <w:rFonts w:cs="Times New Roman" w:ascii="Times New Roman" w:hAnsi="Times New Roman"/>
          <w:sz w:val="22"/>
        </w:rPr>
        <w:t>(Houston state court) (Susman Godfrey/Bracewell &amp; Patterson) (Vinson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Plaintiffs have filed a class action alleging that Houston Pipeline failed to take ratably from gas wells in West Texas.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Plaintiffs allege $466 million in damages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Our preliminary damage model indicates damages of $60 - $160 million if Plaintiffs recover on their claim.</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The trial is expected within 12-24 months.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August 24</w:t>
      </w:r>
      <w:r>
        <w:rPr>
          <w:rFonts w:cs="Times New Roman" w:ascii="Times New Roman" w:hAnsi="Times New Roman"/>
          <w:sz w:val="22"/>
          <w:vertAlign w:val="superscript"/>
        </w:rPr>
        <w:t>th</w:t>
      </w:r>
      <w:r>
        <w:rPr>
          <w:rFonts w:cs="Times New Roman" w:ascii="Times New Roman" w:hAnsi="Times New Roman"/>
          <w:sz w:val="22"/>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13"/>
        </w:numPr>
        <w:ind w:hanging="360" w:start="720" w:end="0"/>
        <w:jc w:val="both"/>
        <w:rPr>
          <w:rFonts w:ascii="Times New Roman" w:hAnsi="Times New Roman" w:cs="Times New Roman"/>
          <w:b/>
          <w:bCs/>
          <w:sz w:val="22"/>
        </w:rPr>
      </w:pPr>
      <w:r>
        <w:rPr>
          <w:rFonts w:cs="Times New Roman" w:ascii="Times New Roman" w:hAnsi="Times New Roman"/>
          <w:b/>
          <w:bCs/>
          <w:sz w:val="22"/>
        </w:rPr>
        <w:t>The Plaintiffs motion for a rehearing was heard on October 31, 2000.  The Court will issue a ruling shortly.</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r>
        <w:br w:type="page"/>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Heading1"/>
        <w:tabs>
          <w:tab w:val="clear" w:pos="720"/>
          <w:tab w:val="left" w:pos="5106" w:leader="none"/>
          <w:tab w:val="left" w:pos="7254" w:leader="none"/>
        </w:tabs>
        <w:ind w:start="0" w:end="0"/>
        <w:rPr>
          <w:i/>
          <w:i/>
          <w:iCs/>
        </w:rPr>
      </w:pPr>
      <w:r>
        <w:rPr>
          <w:i/>
          <w:iCs/>
        </w:rPr>
        <w:t>CATS Litigation</w:t>
      </w:r>
    </w:p>
    <w:p>
      <w:pPr>
        <w:pStyle w:val="Normal"/>
        <w:jc w:val="both"/>
        <w:rPr>
          <w:rFonts w:ascii="Times New Roman" w:hAnsi="Times New Roman" w:cs="Times New Roman"/>
          <w:sz w:val="22"/>
        </w:rPr>
      </w:pPr>
      <w:r>
        <w:rPr>
          <w:rFonts w:cs="Times New Roman" w:ascii="Times New Roman" w:hAnsi="Times New Roman"/>
          <w:sz w:val="22"/>
        </w:rPr>
        <w:t>(London Commercial Court) (Norton Rose)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Friday, July 30th the appellate court reversed the lower court ruling and ordered the CATS parties to repay Enron approximately $130 million.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An appeal to the House of Lords was filed on or about September 1, 1999.</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 xml:space="preserve">The House of Lords granted the CATS parties request to hear the entire appeal of the appellate court’s ruling.  </w:t>
      </w:r>
      <w:r>
        <w:rPr>
          <w:rFonts w:cs="Times New Roman" w:ascii="Times New Roman" w:hAnsi="Times New Roman"/>
          <w:b/>
          <w:bCs/>
          <w:sz w:val="22"/>
        </w:rPr>
        <w:t>The appeal is scheduled to be heard on March 12, 2001.</w:t>
      </w:r>
    </w:p>
    <w:p>
      <w:pPr>
        <w:pStyle w:val="Normal"/>
        <w:numPr>
          <w:ilvl w:val="0"/>
          <w:numId w:val="0"/>
        </w:numPr>
        <w:ind w:hanging="0" w:start="720" w:end="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rPr>
          <w:i/>
          <w:i/>
          <w:iCs/>
        </w:rPr>
      </w:pPr>
      <w:r>
        <w:rPr>
          <w:i/>
          <w:iCs/>
        </w:rPr>
        <w:t>Enron Power Marketing, Inc. v. Tennessee Valley Authority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t>(Tennessee Federal District Court) (Gibbs &amp; Bruns)</w:t>
      </w:r>
    </w:p>
    <w:p>
      <w:pPr>
        <w:pStyle w:val="Normal"/>
        <w:numPr>
          <w:ilvl w:val="0"/>
          <w:numId w:val="0"/>
        </w:numPr>
        <w:ind w:hanging="0" w:start="0"/>
        <w:jc w:val="both"/>
        <w:rPr>
          <w:rFonts w:ascii="Times New Roman" w:hAnsi="Times New Roman" w:cs="Times New Roman"/>
          <w:i/>
          <w:i/>
          <w:sz w:val="22"/>
          <w:u w:val="single"/>
        </w:rPr>
      </w:pPr>
      <w:r>
        <w:rPr>
          <w:rFonts w:cs="Times New Roman" w:ascii="Times New Roman" w:hAnsi="Times New Roman"/>
          <w:i/>
          <w:sz w:val="22"/>
          <w:u w:val="single"/>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January 27, 2000, EPMI terminated the MOPA.</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March 5, TVA filed an answer and counterclaim.  In its counterclaim, TVA requests monetary damages and injunctive relief for EPMI’s breach of the MOPA.</w:t>
      </w:r>
    </w:p>
    <w:p>
      <w:pPr>
        <w:pStyle w:val="Normal"/>
        <w:numPr>
          <w:ilvl w:val="0"/>
          <w:numId w:val="13"/>
        </w:numPr>
        <w:jc w:val="both"/>
        <w:rPr>
          <w:rFonts w:ascii="Times New Roman" w:hAnsi="Times New Roman" w:cs="Times New Roman"/>
          <w:sz w:val="22"/>
        </w:rPr>
      </w:pPr>
      <w:r>
        <w:rPr>
          <w:rFonts w:cs="Times New Roman" w:ascii="Times New Roman" w:hAnsi="Times New Roman"/>
          <w:sz w:val="22"/>
        </w:rPr>
        <w:t xml:space="preserve">The case is set for trial on October 12, 2001.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hanging="0" w:start="0"/>
        <w:jc w:val="both"/>
        <w:rPr>
          <w:rFonts w:ascii="Times New Roman" w:hAnsi="Times New Roman" w:cs="Times New Roman"/>
          <w:b/>
          <w:bCs/>
          <w:sz w:val="22"/>
        </w:rPr>
      </w:pPr>
      <w:r>
        <w:rPr>
          <w:rFonts w:cs="Times New Roman" w:ascii="Times New Roman" w:hAnsi="Times New Roman"/>
          <w:b/>
          <w:bCs/>
          <w:i/>
          <w:sz w:val="22"/>
          <w:u w:val="single"/>
        </w:rPr>
        <w:t>Glatzer v. Enron Corp. and Enron Finance Corp.</w:t>
      </w:r>
    </w:p>
    <w:p>
      <w:pPr>
        <w:pStyle w:val="BodyText"/>
        <w:numPr>
          <w:ilvl w:val="0"/>
          <w:numId w:val="0"/>
        </w:numPr>
        <w:ind w:hanging="0" w:start="0"/>
        <w:rPr>
          <w:rFonts w:ascii="Times New Roman" w:hAnsi="Times New Roman" w:cs="Times New Roman"/>
          <w:sz w:val="22"/>
        </w:rPr>
      </w:pPr>
      <w:r>
        <w:rPr>
          <w:rFonts w:cs="Times New Roman" w:ascii="Times New Roman" w:hAnsi="Times New Roman"/>
          <w:sz w:val="22"/>
        </w:rPr>
        <w:t>(New York state court) (Susman Godfrey)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Plaintiff’s damages are unspecified, but he has offered to settle for $1 million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ECT filed a motion for summary judgement on September 24, 1998.  Plaintiff filed a response on February 6.</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 xml:space="preserve">On July 14, 1999, the Court granted ECT’s motion for summary judgment. </w:t>
      </w:r>
    </w:p>
    <w:p>
      <w:pPr>
        <w:pStyle w:val="Normal"/>
        <w:numPr>
          <w:ilvl w:val="0"/>
          <w:numId w:val="13"/>
        </w:numPr>
        <w:ind w:hanging="360" w:start="720" w:end="0"/>
        <w:jc w:val="both"/>
        <w:rPr>
          <w:rFonts w:ascii="Times New Roman" w:hAnsi="Times New Roman" w:cs="Times New Roman"/>
          <w:b/>
          <w:bCs/>
          <w:i/>
          <w:i/>
          <w:sz w:val="22"/>
          <w:u w:val="single"/>
        </w:rPr>
      </w:pPr>
      <w:r>
        <w:rPr>
          <w:rFonts w:cs="Times New Roman" w:ascii="Times New Roman" w:hAnsi="Times New Roman"/>
          <w:b/>
          <w:bCs/>
          <w:sz w:val="22"/>
        </w:rPr>
        <w:t>The plaintiff has appealed the judgment and all briefing before the Court of appeals is complete.  A decision is expected by the first quarter of 2001.</w:t>
      </w:r>
    </w:p>
    <w:p>
      <w:pPr>
        <w:pStyle w:val="Normal"/>
        <w:ind w:start="720" w:end="0"/>
        <w:jc w:val="both"/>
        <w:rPr>
          <w:rFonts w:ascii="Times New Roman" w:hAnsi="Times New Roman" w:cs="Times New Roman"/>
          <w:b/>
          <w:bCs/>
          <w:i/>
          <w:i/>
          <w:sz w:val="22"/>
          <w:u w:val="single"/>
        </w:rPr>
      </w:pPr>
      <w:r>
        <w:rPr>
          <w:rFonts w:cs="Times New Roman" w:ascii="Times New Roman" w:hAnsi="Times New Roman"/>
          <w:b/>
          <w:bCs/>
          <w:i/>
          <w:sz w:val="22"/>
          <w:u w:val="single"/>
        </w:rPr>
      </w:r>
    </w:p>
    <w:p>
      <w:pPr>
        <w:pStyle w:val="Normal"/>
        <w:jc w:val="both"/>
        <w:rPr>
          <w:rFonts w:ascii="Times New Roman" w:hAnsi="Times New Roman" w:cs="Times New Roman"/>
          <w:b/>
          <w:bCs/>
          <w:sz w:val="22"/>
        </w:rPr>
      </w:pPr>
      <w:r>
        <w:rPr>
          <w:rFonts w:cs="Times New Roman" w:ascii="Times New Roman" w:hAnsi="Times New Roman"/>
          <w:b/>
          <w:bCs/>
          <w:i/>
          <w:sz w:val="22"/>
          <w:u w:val="single"/>
        </w:rPr>
        <w:t>EnSerCo, L.L.C.v. Drilling Rig Noram 253 and SAM Offshore, Ltd.</w:t>
      </w:r>
    </w:p>
    <w:p>
      <w:pPr>
        <w:pStyle w:val="Normal"/>
        <w:jc w:val="both"/>
        <w:rPr>
          <w:rFonts w:ascii="Times New Roman" w:hAnsi="Times New Roman" w:cs="Times New Roman"/>
          <w:sz w:val="22"/>
        </w:rPr>
      </w:pPr>
      <w:r>
        <w:rPr>
          <w:rFonts w:cs="Times New Roman" w:ascii="Times New Roman" w:hAnsi="Times New Roman"/>
          <w:sz w:val="22"/>
        </w:rPr>
        <w:t>(Southern District, Galveston Division) (Gardere Wynne Sewell &amp; Riggs)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Sam Offshore defaulted on $15,500,000 Promissory Note</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Enserco seized the vessel on October 15, 1999.  The rig is located in Galveston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In January Enserco filed suit against the guarantors of the Sam Offshore loan.  The guarantors are foreign companies.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In February, Enserco purchased the rig in a judicial foreclosure sale for $1 million.  We are attempting to sell this rig.</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June 9th, this case was called to trial.  Prior to the trial, the defendants agreed to a deficiency judgment in favor of Enserco.  Enserco agreed to dismiss fraudulent transfer claims against two defendants.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We will now attempt to collect the deficiency judgment.</w:t>
      </w:r>
    </w:p>
    <w:p>
      <w:pPr>
        <w:pStyle w:val="Normal"/>
        <w:ind w:start="720" w:end="0"/>
        <w:jc w:val="both"/>
        <w:rPr>
          <w:rFonts w:ascii="Times New Roman" w:hAnsi="Times New Roman" w:cs="Times New Roman"/>
          <w:b/>
          <w:sz w:val="22"/>
        </w:rPr>
      </w:pPr>
      <w:r>
        <w:rPr>
          <w:rFonts w:cs="Times New Roman" w:ascii="Times New Roman" w:hAnsi="Times New Roman"/>
          <w:b/>
          <w:sz w:val="22"/>
        </w:rPr>
      </w:r>
      <w:r>
        <w:br w:type="page"/>
      </w:r>
    </w:p>
    <w:p>
      <w:pPr>
        <w:pStyle w:val="Heading6"/>
        <w:ind w:hanging="0" w:start="0"/>
        <w:rPr>
          <w:rFonts w:ascii="Times New Roman" w:hAnsi="Times New Roman" w:cs="Times New Roman"/>
          <w:b/>
          <w:sz w:val="22"/>
          <w:u w:val="single"/>
        </w:rPr>
      </w:pPr>
      <w:r>
        <w:rPr>
          <w:rFonts w:cs="Times New Roman" w:ascii="Times New Roman" w:hAnsi="Times New Roman"/>
          <w:b/>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Nakonthai Strip Mill (NSM) Thailand</w:t>
      </w:r>
    </w:p>
    <w:p>
      <w:pPr>
        <w:pStyle w:val="Subject"/>
        <w:tabs>
          <w:tab w:val="clear" w:pos="720"/>
          <w:tab w:val="left" w:pos="540" w:leader="none"/>
        </w:tabs>
        <w:rPr>
          <w:rFonts w:ascii="Times New Roman" w:hAnsi="Times New Roman" w:cs="Times New Roman"/>
          <w:sz w:val="22"/>
        </w:rPr>
      </w:pPr>
      <w:r>
        <w:rPr>
          <w:rFonts w:cs="Times New Roman" w:ascii="Times New Roman" w:hAnsi="Times New Roman"/>
          <w:sz w:val="22"/>
        </w:rPr>
        <w:t>(Los Angeles State Court) (Millbank, Tweed)</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ECT Securities was an underwriter for approximately $25 million of the bonds and may have liability for any misrepresentations contained in the offering memorandum.</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Several lawsuits have been filed against our co-underwriters claiming alleged misrepresentations in the offering memorandum.  The lawsuits are pending in Minneapolis, New Jersey, Chicago and Los Angeles.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ECT Securities has been sued by Farrollan and Legg Mason in Los Angeles State District Court.</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Extensive discovery has been conducted to date.</w:t>
      </w:r>
    </w:p>
    <w:p>
      <w:pPr>
        <w:pStyle w:val="Normal"/>
        <w:rPr>
          <w:rFonts w:ascii="Times New Roman" w:hAnsi="Times New Roman" w:cs="Times New Roman"/>
          <w:sz w:val="22"/>
        </w:rPr>
      </w:pPr>
      <w:r>
        <w:rPr>
          <w:rFonts w:cs="Times New Roman" w:ascii="Times New Roman" w:hAnsi="Times New Roman"/>
          <w:sz w:val="22"/>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Grynberg</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(Wyoming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Qui tam action brought against HPL, LRC, and all pipeline companies in America alleging fraudulent practices in the measurement of gas.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All of the cases have been consolidated in Wyoming.</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 xml:space="preserve">On March 18,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sz w:val="22"/>
          <w:u w:val="single"/>
        </w:rPr>
      </w:pPr>
      <w:r>
        <w:rPr>
          <w:rFonts w:cs="Times New Roman" w:ascii="Times New Roman" w:hAnsi="Times New Roman"/>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Qunique Case</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(Kansas State &amp;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This is a national class action filed in State District Court in Kansas on behalf of all gas producers and royalty interest owners alleging fraudulent practices in the measurement of gas.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Enron removed the case to the Federal District Court of Kansas City alleging Federal Question jurisdiction.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Plaintiffs have filed a motion to remand to State District Court.</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 xml:space="preserve">All proceedings have been stayed pending the Court’s consideration of the motion to remand. </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 xml:space="preserve">On April 12th, the Multi-District Litigation Panel transferred this action to the Federal District Court in Wyoming. </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The defendants have filed Rule 9b and 12b motions to dismiss.  The Court has not yet issued a decision.</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Enron Power Marketing v. Calpine Corp.</w:t>
      </w:r>
    </w:p>
    <w:p>
      <w:pPr>
        <w:pStyle w:val="Normal"/>
        <w:jc w:val="both"/>
        <w:rPr>
          <w:rFonts w:ascii="Times New Roman" w:hAnsi="Times New Roman" w:cs="Times New Roman"/>
          <w:sz w:val="22"/>
        </w:rPr>
      </w:pPr>
      <w:r>
        <w:rPr>
          <w:rFonts w:cs="Times New Roman" w:ascii="Times New Roman" w:hAnsi="Times New Roman"/>
          <w:sz w:val="22"/>
        </w:rPr>
        <w:t>(Houston Federal District Court) (Bill Ogden)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EPMI filed a lawsuit against Calpine alleging that Calpine breached its contract with EPMI to assume certain power contracts  EPMI had with the Lower Colorado River Authority.</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EPMI's damages will depend on the cost of covering Calpine's position.  The damages are estimated to be $2.4-7.2 million.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On March 6, 2000, Calpine filed an answer and removed this case to Federal Court.  The preliminary hearing before the court is scheduled on July 21st.</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sz w:val="22"/>
        </w:rPr>
        <w:t>Discovery is proceeding</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1"/>
        <w:tabs>
          <w:tab w:val="clear" w:pos="720"/>
          <w:tab w:val="left" w:pos="5106" w:leader="none"/>
          <w:tab w:val="left" w:pos="7254" w:leader="none"/>
        </w:tabs>
        <w:ind w:start="0" w:end="0"/>
        <w:rPr>
          <w:i/>
          <w:i/>
          <w:iCs/>
        </w:rPr>
      </w:pPr>
      <w:r>
        <w:rPr>
          <w:i/>
          <w:iCs/>
        </w:rPr>
        <w:t>PCA v. Enron Power Marketing</w:t>
      </w:r>
    </w:p>
    <w:p>
      <w:pPr>
        <w:pStyle w:val="Normal"/>
        <w:jc w:val="both"/>
        <w:rPr>
          <w:rFonts w:ascii="Times New Roman" w:hAnsi="Times New Roman" w:cs="Times New Roman"/>
          <w:sz w:val="22"/>
        </w:rPr>
      </w:pPr>
      <w:r>
        <w:rPr>
          <w:rFonts w:cs="Times New Roman" w:ascii="Times New Roman" w:hAnsi="Times New Roman"/>
          <w:sz w:val="22"/>
        </w:rPr>
        <w:t>(Connecticut Federal District Court) (Weil Gotshal &amp; Manges – Melanie Gray)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Lawsuit filed by the PCA bankruptcy trustee alleging wrongful termination of PCA’s power contract.</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Alleged damages are between $4-12 million.</w:t>
      </w:r>
    </w:p>
    <w:p>
      <w:pPr>
        <w:pStyle w:val="Normal"/>
        <w:numPr>
          <w:ilvl w:val="0"/>
          <w:numId w:val="13"/>
        </w:numPr>
        <w:ind w:hanging="360" w:start="720" w:end="0"/>
        <w:jc w:val="both"/>
        <w:rPr>
          <w:rFonts w:ascii="Times New Roman" w:hAnsi="Times New Roman" w:cs="Times New Roman"/>
          <w:b/>
          <w:bCs/>
          <w:sz w:val="22"/>
        </w:rPr>
      </w:pPr>
      <w:r>
        <w:rPr>
          <w:rFonts w:cs="Times New Roman" w:ascii="Times New Roman" w:hAnsi="Times New Roman"/>
          <w:b/>
          <w:bCs/>
          <w:sz w:val="22"/>
        </w:rPr>
        <w:t>Plaintiffs have requested a conference to discuss settlement.</w:t>
      </w:r>
    </w:p>
    <w:p>
      <w:pPr>
        <w:pStyle w:val="Heading1"/>
        <w:rPr>
          <w:rFonts w:ascii="Times New Roman" w:hAnsi="Times New Roman" w:cs="Times New Roman"/>
          <w:b w:val="false"/>
          <w:bCs/>
          <w:sz w:val="22"/>
        </w:rPr>
      </w:pPr>
      <w:r>
        <w:rPr>
          <w:rFonts w:cs="Times New Roman"/>
          <w:b w:val="false"/>
          <w:bCs/>
          <w:sz w:val="22"/>
        </w:rPr>
      </w:r>
    </w:p>
    <w:p>
      <w:pPr>
        <w:pStyle w:val="Heading1"/>
        <w:tabs>
          <w:tab w:val="clear" w:pos="720"/>
          <w:tab w:val="left" w:pos="5106" w:leader="none"/>
          <w:tab w:val="left" w:pos="7254" w:leader="none"/>
        </w:tabs>
        <w:ind w:start="0" w:end="0"/>
        <w:rPr>
          <w:i/>
          <w:i/>
          <w:iCs/>
        </w:rPr>
      </w:pPr>
      <w:r>
        <w:rPr>
          <w:i/>
          <w:iCs/>
        </w:rPr>
        <w:t>Enron v. Antarra Resources</w:t>
      </w:r>
    </w:p>
    <w:p>
      <w:pPr>
        <w:pStyle w:val="Normal"/>
        <w:jc w:val="both"/>
        <w:rPr>
          <w:rFonts w:ascii="Times New Roman" w:hAnsi="Times New Roman" w:cs="Times New Roman"/>
          <w:sz w:val="22"/>
        </w:rPr>
      </w:pPr>
      <w:r>
        <w:rPr>
          <w:rFonts w:cs="Times New Roman" w:ascii="Times New Roman" w:hAnsi="Times New Roman"/>
          <w:sz w:val="22"/>
        </w:rPr>
        <w:t>(Harris County District Court) (Buck, Kennan &amp; Owens – Randy Owens)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Badack Resources, a subsidiary of Antarra, defaulted on a gas sales agreement with ENA.</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ENA’s damages are approximately $8.4 million.</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Antarra was sued under a corporate guaranty.</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Suit was filed on August 17th.</w:t>
      </w:r>
    </w:p>
    <w:p>
      <w:pPr>
        <w:pStyle w:val="Normal"/>
        <w:numPr>
          <w:ilvl w:val="0"/>
          <w:numId w:val="13"/>
        </w:numPr>
        <w:ind w:hanging="360" w:start="720" w:end="0"/>
        <w:jc w:val="both"/>
        <w:rPr>
          <w:rFonts w:ascii="Times New Roman" w:hAnsi="Times New Roman" w:cs="Times New Roman"/>
          <w:b/>
          <w:bCs/>
          <w:sz w:val="22"/>
        </w:rPr>
      </w:pPr>
      <w:r>
        <w:rPr>
          <w:rFonts w:cs="Times New Roman" w:ascii="Times New Roman" w:hAnsi="Times New Roman"/>
          <w:b/>
          <w:bCs/>
          <w:sz w:val="22"/>
        </w:rPr>
        <w:t>ENA has filed a motion for summary judgment, which is scheduled to be heard on November 15, 2000.</w:t>
      </w:r>
    </w:p>
    <w:p>
      <w:pPr>
        <w:pStyle w:val="Normal"/>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Wright v. Enron Corporation</w:t>
      </w:r>
    </w:p>
    <w:p>
      <w:pPr>
        <w:pStyle w:val="Normal"/>
        <w:jc w:val="both"/>
        <w:rPr>
          <w:rFonts w:ascii="Times New Roman" w:hAnsi="Times New Roman" w:cs="Times New Roman"/>
          <w:sz w:val="22"/>
        </w:rPr>
      </w:pPr>
      <w:r>
        <w:rPr>
          <w:rFonts w:cs="Times New Roman" w:ascii="Times New Roman" w:hAnsi="Times New Roman"/>
          <w:sz w:val="22"/>
        </w:rPr>
        <w:t>(Gibbs &amp; Bruns/Vinson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Qui tam case alleging that all marketing affiliates, including ECT, were created to defraud the federal government of royalty obligations.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This case has been consolidated with the Grynberg case in Wyoming.</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The Department of Justice has not decided whether to intervene in this case.</w:t>
      </w:r>
    </w:p>
    <w:p>
      <w:pPr>
        <w:pStyle w:val="Body"/>
        <w:ind w:start="0" w:end="0"/>
        <w:rPr>
          <w:rFonts w:ascii="Times New Roman" w:hAnsi="Times New Roman" w:cs="Times New Roman"/>
          <w:b/>
          <w:sz w:val="22"/>
        </w:rPr>
      </w:pPr>
      <w:r>
        <w:rPr>
          <w:rFonts w:cs="Times New Roman" w:ascii="Times New Roman" w:hAnsi="Times New Roman"/>
          <w:b/>
          <w:sz w:val="22"/>
        </w:rPr>
      </w:r>
    </w:p>
    <w:p>
      <w:pPr>
        <w:pStyle w:val="Body"/>
        <w:ind w:start="0" w:end="0"/>
        <w:rPr>
          <w:rFonts w:ascii="Times New Roman" w:hAnsi="Times New Roman" w:cs="Times New Roman"/>
          <w:b/>
          <w:sz w:val="22"/>
        </w:rPr>
      </w:pPr>
      <w:r>
        <w:rPr>
          <w:rFonts w:cs="Times New Roman" w:ascii="Times New Roman" w:hAnsi="Times New Roman"/>
          <w:b/>
          <w:sz w:val="22"/>
        </w:rPr>
        <w:t>POTENTIAL LITIGATION</w:t>
      </w:r>
    </w:p>
    <w:p>
      <w:pPr>
        <w:pStyle w:val="Body"/>
        <w:ind w:start="0" w:end="0"/>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b/>
          <w:i/>
          <w:i/>
          <w:sz w:val="22"/>
          <w:u w:val="single"/>
        </w:rPr>
      </w:pPr>
      <w:r>
        <w:rPr>
          <w:rFonts w:cs="Times New Roman" w:ascii="Times New Roman" w:hAnsi="Times New Roman"/>
          <w:b/>
          <w:i/>
          <w:sz w:val="22"/>
          <w:u w:val="single"/>
        </w:rPr>
        <w:t>Citrus v. Duke LNG Sales Dispute</w:t>
      </w:r>
    </w:p>
    <w:p>
      <w:pPr>
        <w:pStyle w:val="Normal"/>
        <w:jc w:val="both"/>
        <w:rPr>
          <w:rFonts w:ascii="Times New Roman" w:hAnsi="Times New Roman" w:cs="Times New Roman"/>
          <w:bCs/>
          <w:sz w:val="22"/>
        </w:rPr>
      </w:pPr>
      <w:r>
        <w:rPr>
          <w:rFonts w:cs="Times New Roman" w:ascii="Times New Roman" w:hAnsi="Times New Roman"/>
          <w:bCs/>
          <w:sz w:val="22"/>
        </w:rPr>
        <w:t>(Susman Godfrey/Neal Manne)</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2"/>
        </w:numPr>
        <w:ind w:hanging="360" w:start="720" w:end="0"/>
        <w:jc w:val="both"/>
        <w:rPr>
          <w:rFonts w:ascii="Times New Roman" w:hAnsi="Times New Roman" w:cs="Times New Roman"/>
          <w:bCs/>
          <w:sz w:val="22"/>
        </w:rPr>
      </w:pPr>
      <w:r>
        <w:rPr>
          <w:rFonts w:cs="Times New Roman" w:ascii="Times New Roman" w:hAnsi="Times New Roman"/>
          <w:bCs/>
          <w:sz w:val="22"/>
        </w:rPr>
        <w:t>Duke has initiated the price renegotiation provision of the long term LNG sales agreement between Duke and Citrus.</w:t>
      </w:r>
    </w:p>
    <w:p>
      <w:pPr>
        <w:pStyle w:val="Normal"/>
        <w:numPr>
          <w:ilvl w:val="0"/>
          <w:numId w:val="12"/>
        </w:numPr>
        <w:ind w:hanging="360" w:start="720" w:end="0"/>
        <w:jc w:val="both"/>
        <w:rPr>
          <w:rFonts w:ascii="Times New Roman" w:hAnsi="Times New Roman" w:cs="Times New Roman"/>
          <w:bCs/>
          <w:sz w:val="22"/>
        </w:rPr>
      </w:pPr>
      <w:r>
        <w:rPr>
          <w:rFonts w:cs="Times New Roman" w:ascii="Times New Roman" w:hAnsi="Times New Roman"/>
          <w:bCs/>
          <w:sz w:val="22"/>
        </w:rPr>
        <w:t>If the parties are unsuccessful in their renegotiations, they are required to submit to a baseball arbitration to resolve any dispute about the new price Citrus will pay Duke for the LNG.</w:t>
      </w:r>
    </w:p>
    <w:p>
      <w:pPr>
        <w:pStyle w:val="Normal"/>
        <w:numPr>
          <w:ilvl w:val="0"/>
          <w:numId w:val="12"/>
        </w:numPr>
        <w:ind w:hanging="360" w:start="720" w:end="0"/>
        <w:jc w:val="both"/>
        <w:rPr>
          <w:rFonts w:ascii="Times New Roman" w:hAnsi="Times New Roman" w:cs="Times New Roman"/>
          <w:bCs/>
          <w:sz w:val="22"/>
        </w:rPr>
      </w:pPr>
      <w:r>
        <w:rPr>
          <w:rFonts w:cs="Times New Roman" w:ascii="Times New Roman" w:hAnsi="Times New Roman"/>
          <w:bCs/>
          <w:sz w:val="22"/>
        </w:rPr>
        <w:t>Duke has argued that the price caps under the sales agreement are void.</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Brazos River v.  Ponderosa Pine</w:t>
      </w:r>
    </w:p>
    <w:p>
      <w:pPr>
        <w:pStyle w:val="Normal"/>
        <w:jc w:val="both"/>
        <w:rPr>
          <w:rFonts w:ascii="Times New Roman" w:hAnsi="Times New Roman" w:cs="Times New Roman"/>
          <w:bCs/>
          <w:sz w:val="22"/>
        </w:rPr>
      </w:pPr>
      <w:r>
        <w:rPr>
          <w:rFonts w:cs="Times New Roman" w:ascii="Times New Roman" w:hAnsi="Times New Roman"/>
          <w:bCs/>
          <w:sz w:val="22"/>
        </w:rPr>
        <w:t>(Vinson &amp; Elkins/Bracewell &amp; Patterson)</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bCs/>
          <w:sz w:val="22"/>
        </w:rPr>
        <w:t xml:space="preserve">Brazos alleges </w:t>
      </w:r>
      <w:r>
        <w:rPr>
          <w:rFonts w:cs="Times New Roman" w:ascii="Times New Roman" w:hAnsi="Times New Roman"/>
          <w:sz w:val="22"/>
        </w:rPr>
        <w:t>that Ponderosa Pine has defaulted under their Power Purchase Agreement  (“PPA”) because Ponderosa Pine and Tenaska entered into an illegal assignment of the PPA.</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sz w:val="22"/>
        </w:rPr>
        <w:t>Brazos and Ponderosa Pine have scheduled a settlement conference for November 10, 2000 to attempt to resolve these contested issues</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California PUC/Attorney General Investigation</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Brobeck Pflager Harrison – Gary Fergus</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bCs/>
          <w:sz w:val="22"/>
        </w:rPr>
        <w:t xml:space="preserve">The California Public </w:t>
      </w:r>
      <w:r>
        <w:rPr>
          <w:rFonts w:cs="Times New Roman" w:ascii="Times New Roman" w:hAnsi="Times New Roman"/>
          <w:sz w:val="22"/>
        </w:rPr>
        <w:t>Utilities Commission (“CPUC”) has issued a subpoena to ENA related to its West Coast power trading activities since 1998.  Included in this subpoena is a request for all profit and loss statements.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sz w:val="22"/>
        </w:rPr>
        <w:t>The California Attorney General has also initiated an investigation but has not issued a subpoena to ENA.  Last week the Attorney General invited ENA to meet to discuss the investigation.</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sz w:val="22"/>
        </w:rPr>
        <w:t>ENA has not provided the</w:t>
      </w:r>
      <w:r>
        <w:rPr>
          <w:rFonts w:cs="Times New Roman" w:ascii="Times New Roman" w:hAnsi="Times New Roman"/>
          <w:bCs/>
          <w:sz w:val="22"/>
        </w:rPr>
        <w:t xml:space="preserve"> requested trading data.</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Project Stanley</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Blake, Cassels &amp; Graydon – Glen Leslie</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3"/>
        </w:numPr>
        <w:ind w:hanging="360" w:start="720" w:end="0"/>
        <w:jc w:val="both"/>
        <w:rPr>
          <w:rFonts w:ascii="Times New Roman" w:hAnsi="Times New Roman" w:cs="Times New Roman"/>
          <w:sz w:val="22"/>
        </w:rPr>
      </w:pPr>
      <w:r>
        <w:rPr>
          <w:rFonts w:cs="Times New Roman" w:ascii="Times New Roman" w:hAnsi="Times New Roman"/>
          <w:bCs/>
          <w:sz w:val="22"/>
        </w:rPr>
        <w:t xml:space="preserve">In May, the Canadian </w:t>
      </w:r>
      <w:r>
        <w:rPr>
          <w:rFonts w:cs="Times New Roman" w:ascii="Times New Roman" w:hAnsi="Times New Roman"/>
          <w:sz w:val="22"/>
        </w:rPr>
        <w:t>government executed a search warrant for certain information related to Enron Canada’s purchase of power from PowerX.  The alleged criminal violation is price fixing.</w:t>
      </w:r>
    </w:p>
    <w:p>
      <w:pPr>
        <w:pStyle w:val="Normal"/>
        <w:numPr>
          <w:ilvl w:val="0"/>
          <w:numId w:val="13"/>
        </w:numPr>
        <w:ind w:hanging="360" w:start="720" w:end="0"/>
        <w:jc w:val="both"/>
        <w:rPr>
          <w:rFonts w:ascii="Times New Roman" w:hAnsi="Times New Roman" w:cs="Times New Roman"/>
          <w:b/>
          <w:bCs/>
          <w:sz w:val="22"/>
        </w:rPr>
      </w:pPr>
      <w:r>
        <w:rPr>
          <w:rFonts w:cs="Times New Roman" w:ascii="Times New Roman" w:hAnsi="Times New Roman"/>
          <w:sz w:val="22"/>
        </w:rPr>
        <w:t>The government’s investigation has not progressed significantly since May.  We are closely monitoring the situation and are in communications with</w:t>
      </w:r>
      <w:r>
        <w:rPr>
          <w:rFonts w:cs="Times New Roman" w:ascii="Times New Roman" w:hAnsi="Times New Roman"/>
          <w:bCs/>
          <w:sz w:val="22"/>
        </w:rPr>
        <w:t xml:space="preserve"> government attorneys and investigators.</w:t>
      </w:r>
    </w:p>
    <w:p>
      <w:pPr>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pStyle w:val="Normal"/>
        <w:jc w:val="both"/>
        <w:rPr>
          <w:rFonts w:ascii="Times New Roman" w:hAnsi="Times New Roman" w:cs="Times New Roman"/>
          <w:b/>
          <w:bCs/>
          <w:sz w:val="22"/>
        </w:rPr>
      </w:pPr>
      <w:r>
        <w:rPr>
          <w:rFonts w:cs="Times New Roman" w:ascii="Times New Roman" w:hAnsi="Times New Roman"/>
          <w:b/>
          <w:bCs/>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jc w:val="both"/>
        <w:rPr/>
      </w:pPr>
      <w:r>
        <w:rPr>
          <w:u w:val="none"/>
        </w:rPr>
        <w:tab/>
      </w:r>
      <w:r>
        <w:rPr/>
        <w:t>Houston</w:t>
      </w:r>
      <w:r>
        <w:rPr>
          <w:u w:val="none"/>
        </w:rPr>
        <w:t xml:space="preserve">  (Jeff Hodge/Elizabeth Sager)</w:t>
      </w:r>
    </w:p>
    <w:p>
      <w:pPr>
        <w:pStyle w:val="Heading5"/>
        <w:ind w:hanging="0" w:start="0"/>
        <w:jc w:val="both"/>
        <w:rPr/>
      </w:pPr>
      <w:r>
        <w:rPr>
          <w:u w:val="none"/>
        </w:rPr>
        <w:tab/>
      </w:r>
      <w:r>
        <w:rPr/>
        <w:t>Financial</w:t>
      </w:r>
      <w:r>
        <w:rPr>
          <w:u w:val="none"/>
        </w:rPr>
        <w:t xml:space="preserve">  (Mark Taylor)</w:t>
      </w:r>
    </w:p>
    <w:p>
      <w:pPr>
        <w:pStyle w:val="Heading5"/>
        <w:ind w:hanging="0" w:start="0"/>
        <w:jc w:val="both"/>
        <w:rPr/>
      </w:pPr>
      <w:r>
        <w:rPr>
          <w:u w:val="none"/>
        </w:rPr>
        <w:tab/>
      </w:r>
      <w:r>
        <w:rPr/>
        <w:t>Portland</w:t>
      </w:r>
      <w:r>
        <w:rPr>
          <w:u w:val="none"/>
        </w:rPr>
        <w:t xml:space="preserve">  (Elizabeth Sager)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EAST ORIGINATION  (Sheila Tweed/Barbara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WEST ORIGINATION  (Sheila Tweed)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UPSTREAM ORIGINATION  (Barbara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FINANCE/M&amp;A/ENERGY INVESTMENTS  (Lance Schuler/Travis McCullough)</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 xml:space="preserve">CANADA  </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LITIGATION  (Richard Sanders)</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b/>
          <w:sz w:val="22"/>
        </w:rPr>
      </w:pPr>
      <w:r>
        <w:rPr>
          <w:rFonts w:cs="Times New Roman" w:ascii="Times New Roman" w:hAnsi="Times New Roman"/>
          <w:b/>
          <w:sz w:val="22"/>
        </w:rPr>
      </w:r>
    </w:p>
    <w:sectPr>
      <w:headerReference w:type="default" r:id="rId4"/>
      <w:headerReference w:type="first" r:id="rId5"/>
      <w:footerReference w:type="default" r:id="rId6"/>
      <w:footerReference w:type="first" r:id="rId7"/>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/mnt/main-storage/datasets/enron-docs/doc/3.199044.ANYTQHCNVELRVMPJHDZ53EOGSQ0C3V0YB.1.doc</w:t>
    </w:r>
    <w:r>
      <w:rPr>
        <w:rStyle w:val="PageNumber"/>
        <w:sz w:val="12"/>
      </w:rPr>
      <w:fldChar w:fldCharType="end"/>
    </w:r>
  </w:p>
  <w:p>
    <w:pPr>
      <w:pStyle w:val="Footer"/>
      <w:widowControl/>
      <w:tabs>
        <w:tab w:val="clear" w:pos="4320"/>
        <w:tab w:val="center" w:pos="4770" w:leader="none"/>
        <w:tab w:val="right" w:pos="8640" w:leader="none"/>
      </w:tabs>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r>
      <w:rPr>
        <w:rStyle w:val="PageNumber"/>
        <w:rFonts w:cs="Times New Roman" w:ascii="Times New Roman" w:hAnsi="Times New Roman"/>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/mnt/main-storage/datasets/enron-docs/doc/3.199044.ANYTQHCNVELRVMPJHDZ53EOGSQ0C3V0YB.1.doc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sz w:val="22"/>
      </w:rPr>
    </w:pPr>
    <w:r>
      <w:rPr>
        <w:b/>
        <w:i/>
        <w:sz w:val="22"/>
      </w:rPr>
      <w:t>PRIVILEGED AND CONFIDENTIAL</w:t>
    </w:r>
  </w:p>
  <w:p>
    <w:pPr>
      <w:pStyle w:val="Header"/>
      <w:widowControl/>
      <w:jc w:val="end"/>
      <w:rPr>
        <w:b/>
        <w:i/>
        <w:i/>
        <w:sz w:val="22"/>
      </w:rPr>
    </w:pPr>
    <w:r>
      <w:rPr>
        <w:b/>
        <w:i/>
        <w:sz w:val="22"/>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1080" w:hanging="360"/>
      </w:pPr>
      <w:rPr>
        <w:rFonts w:ascii="Symbol" w:hAnsi="Symbol" w:cs="Symbol" w:hint="default"/>
      </w:rPr>
    </w:lvl>
  </w:abstractNum>
  <w:abstractNum w:abstractNumId="1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8z0">
    <w:name w:val="WW8Num28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8z0">
    <w:name w:val="WW8Num48z0"/>
    <w:qFormat/>
    <w:rPr/>
  </w:style>
  <w:style w:type="character" w:styleId="WW8Num49z0">
    <w:name w:val="WW8Num49z0"/>
    <w:qFormat/>
    <w:rPr/>
  </w:style>
  <w:style w:type="character" w:styleId="WW8Num55z0">
    <w:name w:val="WW8Num55z0"/>
    <w:qFormat/>
    <w:rPr/>
  </w:style>
  <w:style w:type="character" w:styleId="WW8Num60z0">
    <w:name w:val="WW8Num60z0"/>
    <w:qFormat/>
    <w:rPr>
      <w:rFonts w:ascii="Tms Rmn;Times New Roman" w:hAnsi="Tms Rmn;Times New Roman" w:cs="Tms Rmn;Times New Roman"/>
    </w:rPr>
  </w:style>
  <w:style w:type="character" w:styleId="WW8Num63z0">
    <w:name w:val="WW8Num63z0"/>
    <w:qFormat/>
    <w:rPr/>
  </w:style>
  <w:style w:type="character" w:styleId="WW8Num64z0">
    <w:name w:val="WW8Num64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80z0">
    <w:name w:val="WW8Num80z0"/>
    <w:qFormat/>
    <w:rPr/>
  </w:style>
  <w:style w:type="character" w:styleId="WW8Num80z1">
    <w:name w:val="WW8Num80z1"/>
    <w:qFormat/>
    <w:rPr>
      <w:rFonts w:ascii="Times New Roman" w:hAnsi="Times New Roman" w:eastAsia="Times New Roman" w:cs="Times New Roman"/>
    </w:rPr>
  </w:style>
  <w:style w:type="character" w:styleId="WW8Num81z1">
    <w:name w:val="WW8Num81z1"/>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style>
  <w:style w:type="character" w:styleId="WW8Num88z0">
    <w:name w:val="WW8Num88z0"/>
    <w:qFormat/>
    <w:rPr/>
  </w:style>
  <w:style w:type="character" w:styleId="WW8Num90z0">
    <w:name w:val="WW8Num90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2000-11-13T12:37:00Z</dcterms:created>
  <dc:creator>kyoung</dc:creator>
  <dc:description/>
  <dc:language>en-CA</dc:language>
  <cp:lastModifiedBy>kyoung</cp:lastModifiedBy>
  <cp:lastPrinted>2000-11-17T08:46:00Z</cp:lastPrinted>
  <dcterms:modified xsi:type="dcterms:W3CDTF">2000-11-27T14:30:00Z</dcterms:modified>
  <cp:revision>60</cp:revision>
  <dc:subject/>
  <dc:title>MEMO FORM</dc:title>
</cp:coreProperties>
</file>