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bidi w:val="0"/>
        <w:jc w:val="end"/>
        <w:rPr>
          <w:rFonts w:ascii="Times New Roman" w:hAnsi="Times New Roman"/>
          <w:color w:val="000000"/>
        </w:rPr>
      </w:pPr>
      <w:bookmarkStart w:id="0" w:name="_DV_C1"/>
      <w:r>
        <w:rPr>
          <w:rStyle w:val="DeltaViewInsertion"/>
        </w:rPr>
        <w:t xml:space="preserve"> </w:t>
      </w:r>
      <w:r>
        <w:rPr>
          <w:rStyle w:val="DeltaViewInsertion"/>
        </w:rPr>
        <w:t>LLGM Draft</w:t>
      </w:r>
      <w:bookmarkEnd w:id="0"/>
    </w:p>
    <w:p>
      <w:pPr>
        <w:pStyle w:val="EnvelopeReturn"/>
        <w:bidi w:val="0"/>
        <w:jc w:val="end"/>
        <w:rPr>
          <w:rFonts w:ascii="Times New Roman" w:hAnsi="Times New Roman"/>
          <w:color w:val="000000"/>
        </w:rPr>
      </w:pPr>
      <w:bookmarkStart w:id="1" w:name="_DV_IPM0"/>
      <w:bookmarkStart w:id="2" w:name="_DV_C2"/>
      <w:bookmarkEnd w:id="2"/>
      <w:r>
        <w:rPr>
          <w:rStyle w:val="DeltaViewInsertion"/>
        </w:rPr>
        <w:t>March 20, 2001</w:t>
      </w:r>
      <w:bookmarkEnd w:id="1"/>
    </w:p>
    <w:p>
      <w:pPr>
        <w:pStyle w:val="Normal"/>
        <w:pBdr>
          <w:bottom w:val="double" w:sz="4" w:space="1" w:color="000000"/>
        </w:pBdr>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CoverTitle"/>
        <w:bidi w:val="0"/>
        <w:rPr>
          <w:rFonts w:ascii="Times New Roman" w:hAnsi="Times New Roman"/>
          <w:color w:val="000000"/>
        </w:rPr>
      </w:pPr>
      <w:bookmarkStart w:id="3" w:name="_DV_M0"/>
      <w:bookmarkEnd w:id="3"/>
      <w:r>
        <w:rPr>
          <w:rFonts w:ascii="Times New Roman" w:hAnsi="Times New Roman"/>
          <w:color w:val="000000"/>
        </w:rPr>
        <w:t>Master Power</w:t>
      </w:r>
    </w:p>
    <w:p>
      <w:pPr>
        <w:pStyle w:val="CoverTitle"/>
        <w:bidi w:val="0"/>
        <w:rPr>
          <w:rFonts w:ascii="Times New Roman" w:hAnsi="Times New Roman"/>
          <w:color w:val="000000"/>
        </w:rPr>
      </w:pPr>
      <w:bookmarkStart w:id="4" w:name="_DV_M1"/>
      <w:bookmarkEnd w:id="4"/>
      <w:r>
        <w:rPr>
          <w:rFonts w:ascii="Times New Roman" w:hAnsi="Times New Roman"/>
          <w:color w:val="000000"/>
        </w:rPr>
        <w:t xml:space="preserve">Purchase </w:t>
      </w:r>
      <w:r>
        <w:rPr>
          <w:rFonts w:ascii="Times New Roman" w:hAnsi="Times New Roman"/>
          <w:color w:val="808080"/>
        </w:rPr>
        <w:t>&amp;</w:t>
      </w:r>
      <w:r>
        <w:rPr>
          <w:rFonts w:ascii="Times New Roman" w:hAnsi="Times New Roman"/>
          <w:color w:val="000000"/>
        </w:rPr>
        <w:t xml:space="preserve"> Sale</w:t>
      </w:r>
    </w:p>
    <w:p>
      <w:pPr>
        <w:pStyle w:val="CoverTitle"/>
        <w:bidi w:val="0"/>
        <w:rPr>
          <w:rFonts w:ascii="Times New Roman" w:hAnsi="Times New Roman"/>
          <w:color w:val="000000"/>
        </w:rPr>
      </w:pPr>
      <w:bookmarkStart w:id="5" w:name="_DV_M2"/>
      <w:bookmarkEnd w:id="5"/>
      <w:r>
        <w:rPr>
          <w:rFonts w:ascii="Times New Roman" w:hAnsi="Times New Roman"/>
          <w:color w:val="000000"/>
        </w:rPr>
        <w:t>Agreement</w:t>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pBdr>
          <w:bottom w:val="double" w:sz="4" w:space="1" w:color="000000"/>
        </w:pBdr>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ind w:firstLine="720"/>
        <w:jc w:val="start"/>
        <w:rPr>
          <w:color w:val="000000"/>
        </w:rPr>
      </w:pPr>
      <w:bookmarkStart w:id="6" w:name="_DV_M3"/>
      <w:bookmarkEnd w:id="6"/>
      <w:r>
        <w:rPr>
          <w:color w:val="000000"/>
        </w:rPr>
        <w:tab/>
        <w:tab/>
        <w:tab/>
        <w:t xml:space="preserve">                        </w:t>
      </w:r>
    </w:p>
    <w:p>
      <w:pPr>
        <w:sectPr>
          <w:footerReference w:type="even" r:id="rId2"/>
          <w:footerReference w:type="default" r:id="rId3"/>
          <w:footerReference w:type="first" r:id="rId4"/>
          <w:type w:val="nextPage"/>
          <w:pgSz w:w="12240" w:h="15840"/>
          <w:pgMar w:left="1440" w:right="1440" w:gutter="0" w:header="0" w:top="1440" w:footer="576" w:bottom="1440"/>
          <w:pgNumType w:fmt="decimal"/>
          <w:formProt w:val="false"/>
          <w:textDirection w:val="lrTb"/>
          <w:docGrid w:type="default" w:linePitch="100" w:charSpace="0"/>
        </w:sectPr>
        <w:pStyle w:val="Normal"/>
        <w:bidi w:val="0"/>
        <w:jc w:val="start"/>
        <w:rPr>
          <w:color w:val="000000"/>
        </w:rPr>
      </w:pPr>
      <w:r>
        <w:rPr>
          <w:color w:val="000000"/>
        </w:rPr>
      </w:r>
      <w:bookmarkStart w:id="7" w:name="_DV_IPM1"/>
      <w:bookmarkStart w:id="8" w:name="_DV_IPM1"/>
      <w:bookmarkEnd w:id="8"/>
    </w:p>
    <w:p>
      <w:pPr>
        <w:pStyle w:val="Title"/>
        <w:bidi w:val="0"/>
        <w:spacing w:before="0" w:after="120"/>
        <w:rPr>
          <w:rFonts w:ascii="Times New Roman" w:hAnsi="Times New Roman"/>
          <w:color w:val="000000"/>
        </w:rPr>
      </w:pPr>
      <w:bookmarkStart w:id="9" w:name="_DV_M4"/>
      <w:bookmarkEnd w:id="9"/>
      <w:r>
        <w:rPr>
          <w:color w:val="000000"/>
        </w:rPr>
        <w:t>MASTER POWER PURCHASE AND SALE AGREEMENT</w:t>
      </w:r>
    </w:p>
    <w:p>
      <w:pPr>
        <w:pStyle w:val="Title"/>
        <w:bidi w:val="0"/>
        <w:spacing w:before="0" w:after="120"/>
        <w:rPr>
          <w:rFonts w:ascii="Times New Roman" w:hAnsi="Times New Roman"/>
          <w:color w:val="000000"/>
          <w:u w:val="single"/>
        </w:rPr>
      </w:pPr>
      <w:bookmarkStart w:id="10" w:name="_DV_M5"/>
      <w:bookmarkEnd w:id="10"/>
      <w:r>
        <w:rPr>
          <w:color w:val="000000"/>
          <w:u w:val="single"/>
        </w:rPr>
        <w:t>COVER SHEET</w:t>
      </w:r>
    </w:p>
    <w:p>
      <w:pPr>
        <w:pStyle w:val="coverbody"/>
        <w:bidi w:val="0"/>
        <w:spacing w:before="0" w:after="120"/>
        <w:rPr>
          <w:rFonts w:ascii="Times New Roman" w:hAnsi="Times New Roman"/>
          <w:color w:val="000000"/>
        </w:rPr>
      </w:pPr>
      <w:bookmarkStart w:id="11" w:name="_DV_M6"/>
      <w:bookmarkEnd w:id="11"/>
      <w:r>
        <w:rPr>
          <w:color w:val="000000"/>
        </w:rPr>
        <w:t xml:space="preserve">This </w:t>
      </w:r>
      <w:r>
        <w:rPr>
          <w:i/>
          <w:color w:val="000000"/>
        </w:rPr>
        <w:t>Master Power Purchase and Sale Agreement</w:t>
      </w:r>
      <w:r>
        <w:rPr>
          <w:color w:val="000000"/>
        </w:rPr>
        <w:t xml:space="preserve"> (Version 2.1; modified 4/25/00) (“</w:t>
      </w:r>
      <w:r>
        <w:rPr>
          <w:i/>
          <w:color w:val="000000"/>
        </w:rPr>
        <w:t>Master Agreement”</w:t>
      </w:r>
      <w:r>
        <w:rPr>
          <w:color w:val="000000"/>
        </w:rPr>
        <w:t xml:space="preserve">) is made as of the following date: </w:t>
      </w:r>
      <w:bookmarkStart w:id="12" w:name="_DV_C6"/>
      <w:r>
        <w:rPr>
          <w:rStyle w:val="DeltaViewDeletion"/>
        </w:rPr>
        <w:t>February</w:t>
      </w:r>
      <w:bookmarkStart w:id="13" w:name="_DV_C5"/>
      <w:bookmarkEnd w:id="12"/>
      <w:r>
        <w:rPr>
          <w:rStyle w:val="DeltaViewInsertion"/>
        </w:rPr>
        <w:t>March</w:t>
      </w:r>
      <w:bookmarkEnd w:id="13"/>
      <w:r>
        <w:rPr>
          <w:color w:val="000000"/>
        </w:rPr>
        <w:t xml:space="preserve"> </w:t>
      </w:r>
      <w:bookmarkStart w:id="14" w:name="_DV_C8"/>
      <w:r>
        <w:rPr>
          <w:rStyle w:val="DeltaViewDeletion"/>
        </w:rPr>
        <w:t>22,</w:t>
      </w:r>
      <w:bookmarkStart w:id="15" w:name="_DV_C7"/>
      <w:bookmarkEnd w:id="14"/>
      <w:r>
        <w:rPr>
          <w:rStyle w:val="DeltaViewInsertion"/>
        </w:rPr>
        <w:t>[  ],</w:t>
      </w:r>
      <w:bookmarkStart w:id="16" w:name="_DV_C8_Copy_1"/>
      <w:bookmarkEnd w:id="15"/>
      <w:bookmarkEnd w:id="16"/>
      <w:r>
        <w:rPr>
          <w:color w:val="000000"/>
        </w:rPr>
        <w:t xml:space="preserve"> 2001 (“Effective Date”)</w:t>
      </w:r>
      <w:bookmarkStart w:id="17" w:name="_DV_M8"/>
      <w:r>
        <w:rPr>
          <w:rStyle w:val="DeltaViewInsertion"/>
        </w:rPr>
        <w:t>, and amends and restates in its entirety that certain Master Power Purchase and Sale Agreement dated February 22, 2001 between the Parties</w:t>
      </w:r>
      <w:bookmarkStart w:id="18" w:name="_DV_C9"/>
      <w:bookmarkEnd w:id="17"/>
      <w:bookmarkEnd w:id="18"/>
      <w:r>
        <w:rPr>
          <w:color w:val="000000"/>
        </w:rPr>
        <w:t xml:space="preserve">.  The </w:t>
      </w:r>
      <w:r>
        <w:rPr>
          <w:i/>
          <w:color w:val="000000"/>
        </w:rPr>
        <w:t>Master Agreement</w:t>
      </w:r>
      <w:r>
        <w:rPr>
          <w:color w:val="000000"/>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color w:val="000000"/>
        </w:rPr>
        <w:t>Master Agreement</w:t>
      </w:r>
      <w:r>
        <w:rPr>
          <w:color w:val="000000"/>
        </w:rPr>
        <w:t xml:space="preserve"> are the following:</w:t>
      </w:r>
    </w:p>
    <w:tbl>
      <w:tblPr>
        <w:tblW w:w="9468" w:type="dxa"/>
        <w:jc w:val="start"/>
        <w:tblInd w:w="108" w:type="dxa"/>
        <w:tblLayout w:type="fixed"/>
        <w:tblCellMar>
          <w:top w:w="0" w:type="dxa"/>
          <w:start w:w="108" w:type="dxa"/>
          <w:bottom w:w="0" w:type="dxa"/>
          <w:end w:w="108" w:type="dxa"/>
        </w:tblCellMar>
      </w:tblPr>
      <w:tblGrid>
        <w:gridCol w:w="4734"/>
        <w:gridCol w:w="4733"/>
      </w:tblGrid>
      <w:tr>
        <w:trPr/>
        <w:tc>
          <w:tcPr>
            <w:tcW w:w="4734" w:type="dxa"/>
            <w:tcBorders/>
          </w:tcPr>
          <w:p>
            <w:pPr>
              <w:pStyle w:val="Normal"/>
              <w:tabs>
                <w:tab w:val="clear" w:pos="720"/>
                <w:tab w:val="right" w:pos="4320" w:leader="none"/>
              </w:tabs>
              <w:bidi w:val="0"/>
              <w:spacing w:before="0" w:after="120"/>
              <w:jc w:val="start"/>
              <w:rPr/>
            </w:pPr>
            <w:bookmarkStart w:id="19" w:name="_DV_M9"/>
            <w:bookmarkEnd w:id="19"/>
            <w:r>
              <w:rPr>
                <w:b/>
                <w:sz w:val="20"/>
              </w:rPr>
              <w:t>Name:</w:t>
            </w:r>
            <w:r>
              <w:rPr>
                <w:sz w:val="20"/>
              </w:rPr>
              <w:t xml:space="preserve"> Enron Power Marketing, Inc. (“Party A”)</w:t>
            </w:r>
          </w:p>
        </w:tc>
        <w:tc>
          <w:tcPr>
            <w:tcW w:w="4733" w:type="dxa"/>
            <w:tcBorders/>
          </w:tcPr>
          <w:p>
            <w:pPr>
              <w:pStyle w:val="Normal"/>
              <w:tabs>
                <w:tab w:val="clear" w:pos="720"/>
                <w:tab w:val="right" w:pos="4475" w:leader="none"/>
              </w:tabs>
              <w:bidi w:val="0"/>
              <w:spacing w:before="0" w:after="120"/>
              <w:jc w:val="start"/>
              <w:rPr/>
            </w:pPr>
            <w:bookmarkStart w:id="20" w:name="_DV_M10"/>
            <w:bookmarkEnd w:id="20"/>
            <w:r>
              <w:rPr>
                <w:b/>
                <w:sz w:val="20"/>
              </w:rPr>
              <w:t>Name:</w:t>
            </w:r>
            <w:r>
              <w:rPr>
                <w:sz w:val="20"/>
              </w:rPr>
              <w:t xml:space="preserve">  Department of Water Resources</w:t>
            </w:r>
            <w:bookmarkStart w:id="21" w:name="_DV_M11"/>
            <w:r>
              <w:rPr>
                <w:rStyle w:val="DeltaViewDeletion"/>
                <w:sz w:val="20"/>
              </w:rPr>
              <w:t>,</w:t>
            </w:r>
            <w:bookmarkStart w:id="22" w:name="_DV_C10"/>
            <w:bookmarkEnd w:id="21"/>
            <w:bookmarkEnd w:id="22"/>
            <w:r>
              <w:rPr>
                <w:color w:val="000000"/>
                <w:sz w:val="20"/>
              </w:rPr>
              <w:t xml:space="preserve"> with respect to the Department of Water Resources Electric Power Fund separate and apart from its powers and responsibilities with respect to the State Water Resources Development System, a division of the State of California.  (“Counterparty” or “Party B”)</w:t>
            </w:r>
          </w:p>
        </w:tc>
      </w:tr>
      <w:tr>
        <w:trPr/>
        <w:tc>
          <w:tcPr>
            <w:tcW w:w="4734"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bidi w:val="0"/>
              <w:spacing w:before="0" w:after="120"/>
              <w:jc w:val="start"/>
              <w:rPr/>
            </w:pPr>
            <w:bookmarkStart w:id="23" w:name="_DV_M12"/>
            <w:bookmarkEnd w:id="23"/>
            <w:r>
              <w:rPr>
                <w:rFonts w:ascii="Times New Roman" w:hAnsi="Times New Roman"/>
                <w:b/>
              </w:rPr>
              <w:t>All Notices:</w:t>
              <w:tab/>
            </w:r>
            <w:r>
              <w:rPr>
                <w:rFonts w:ascii="Times New Roman" w:hAnsi="Times New Roman"/>
              </w:rPr>
              <w:t>P.O. Box 4428</w:t>
              <w:br/>
              <w:tab/>
              <w:t>Houston, Texas 77210-4428</w:t>
            </w:r>
          </w:p>
        </w:tc>
        <w:tc>
          <w:tcPr>
            <w:tcW w:w="4733" w:type="dxa"/>
            <w:tcBorders/>
          </w:tcPr>
          <w:p>
            <w:pPr>
              <w:pStyle w:val="Normal"/>
              <w:tabs>
                <w:tab w:val="clear" w:pos="720"/>
                <w:tab w:val="right" w:pos="4475" w:leader="none"/>
              </w:tabs>
              <w:bidi w:val="0"/>
              <w:spacing w:before="0" w:after="120"/>
              <w:jc w:val="start"/>
              <w:rPr/>
            </w:pPr>
            <w:bookmarkStart w:id="24" w:name="_DV_M13"/>
            <w:bookmarkEnd w:id="24"/>
            <w:r>
              <w:rPr>
                <w:b/>
                <w:sz w:val="20"/>
              </w:rPr>
              <w:t xml:space="preserve">All Notices:  </w:t>
            </w:r>
          </w:p>
        </w:tc>
      </w:tr>
      <w:tr>
        <w:trPr/>
        <w:tc>
          <w:tcPr>
            <w:tcW w:w="4734" w:type="dxa"/>
            <w:tcBorders/>
          </w:tcPr>
          <w:p>
            <w:pPr>
              <w:pStyle w:val="Normal"/>
              <w:tabs>
                <w:tab w:val="clear" w:pos="720"/>
                <w:tab w:val="right" w:pos="4320" w:leader="none"/>
              </w:tabs>
              <w:bidi w:val="0"/>
              <w:spacing w:before="0" w:after="120"/>
              <w:jc w:val="start"/>
              <w:rPr/>
            </w:pPr>
            <w:bookmarkStart w:id="25" w:name="_DV_M14"/>
            <w:bookmarkEnd w:id="25"/>
            <w:r>
              <w:rPr>
                <w:sz w:val="20"/>
              </w:rPr>
              <w:t>Street:  1400 Smith Street</w:t>
            </w:r>
          </w:p>
        </w:tc>
        <w:tc>
          <w:tcPr>
            <w:tcW w:w="4733" w:type="dxa"/>
            <w:tcBorders/>
          </w:tcPr>
          <w:p>
            <w:pPr>
              <w:pStyle w:val="Normal"/>
              <w:tabs>
                <w:tab w:val="clear" w:pos="720"/>
                <w:tab w:val="right" w:pos="4475" w:leader="none"/>
              </w:tabs>
              <w:bidi w:val="0"/>
              <w:spacing w:before="0" w:after="120"/>
              <w:jc w:val="start"/>
              <w:rPr/>
            </w:pPr>
            <w:bookmarkStart w:id="26" w:name="_DV_M15"/>
            <w:bookmarkEnd w:id="26"/>
            <w:r>
              <w:rPr>
                <w:sz w:val="20"/>
              </w:rPr>
              <w:t>Street:   3310 El Camino Avenue, Suite 200</w:t>
            </w:r>
          </w:p>
        </w:tc>
      </w:tr>
      <w:tr>
        <w:trPr/>
        <w:tc>
          <w:tcPr>
            <w:tcW w:w="4734" w:type="dxa"/>
            <w:tcBorders/>
          </w:tcPr>
          <w:p>
            <w:pPr>
              <w:pStyle w:val="Normal"/>
              <w:tabs>
                <w:tab w:val="clear" w:pos="720"/>
                <w:tab w:val="left" w:pos="2880" w:leader="none"/>
                <w:tab w:val="right" w:pos="4320" w:leader="none"/>
              </w:tabs>
              <w:bidi w:val="0"/>
              <w:spacing w:before="0" w:after="120"/>
              <w:jc w:val="start"/>
              <w:rPr/>
            </w:pPr>
            <w:bookmarkStart w:id="27" w:name="_DV_M16"/>
            <w:bookmarkEnd w:id="27"/>
            <w:r>
              <w:rPr>
                <w:sz w:val="20"/>
              </w:rPr>
              <w:t>City:   Houston</w:t>
              <w:tab/>
              <w:t>Zip: 77002</w:t>
            </w:r>
          </w:p>
        </w:tc>
        <w:tc>
          <w:tcPr>
            <w:tcW w:w="4733" w:type="dxa"/>
            <w:tcBorders/>
          </w:tcPr>
          <w:p>
            <w:pPr>
              <w:pStyle w:val="Normal"/>
              <w:tabs>
                <w:tab w:val="clear" w:pos="720"/>
                <w:tab w:val="left" w:pos="2880" w:leader="none"/>
                <w:tab w:val="right" w:pos="4475" w:leader="none"/>
              </w:tabs>
              <w:bidi w:val="0"/>
              <w:spacing w:before="0" w:after="120"/>
              <w:jc w:val="start"/>
              <w:rPr/>
            </w:pPr>
            <w:bookmarkStart w:id="28" w:name="_DV_M17"/>
            <w:bookmarkEnd w:id="28"/>
            <w:r>
              <w:rPr>
                <w:sz w:val="20"/>
              </w:rPr>
              <w:t xml:space="preserve">City:   Sacramento, CA </w:t>
              <w:tab/>
              <w:t>Zip:  95821</w:t>
            </w:r>
          </w:p>
        </w:tc>
      </w:tr>
      <w:tr>
        <w:trPr/>
        <w:tc>
          <w:tcPr>
            <w:tcW w:w="4734" w:type="dxa"/>
            <w:tcBorders/>
          </w:tcPr>
          <w:p>
            <w:pPr>
              <w:pStyle w:val="PlainText"/>
              <w:tabs>
                <w:tab w:val="clear" w:pos="720"/>
                <w:tab w:val="right" w:pos="4320" w:leader="none"/>
              </w:tabs>
              <w:bidi w:val="0"/>
              <w:spacing w:before="0" w:after="120"/>
              <w:jc w:val="start"/>
              <w:rPr/>
            </w:pPr>
            <w:bookmarkStart w:id="29" w:name="_DV_M18"/>
            <w:bookmarkEnd w:id="29"/>
            <w:r>
              <w:rPr/>
              <w:t xml:space="preserve">Attn: Power Contract Administration </w:t>
              <w:br/>
              <w:t>Phone:  (713) 853-1771</w:t>
              <w:br/>
              <w:t>Facsimile: (713) 646-2443</w:t>
              <w:br/>
              <w:t>Duns: 848921276</w:t>
              <w:br/>
              <w:t>Federal Tax ID Number: 76-0413675</w:t>
            </w:r>
          </w:p>
        </w:tc>
        <w:tc>
          <w:tcPr>
            <w:tcW w:w="4733" w:type="dxa"/>
            <w:tcBorders/>
          </w:tcPr>
          <w:p>
            <w:pPr>
              <w:pStyle w:val="Normal"/>
              <w:tabs>
                <w:tab w:val="clear" w:pos="720"/>
                <w:tab w:val="right" w:pos="4475" w:leader="none"/>
              </w:tabs>
              <w:bidi w:val="0"/>
              <w:spacing w:before="0" w:after="120"/>
              <w:jc w:val="start"/>
              <w:rPr/>
            </w:pPr>
            <w:bookmarkStart w:id="30" w:name="_DV_M19"/>
            <w:bookmarkEnd w:id="30"/>
            <w:r>
              <w:rPr>
                <w:sz w:val="20"/>
              </w:rPr>
              <w:t>Attn:  Jim Olson, Deputy Controller</w:t>
              <w:br/>
              <w:t>Phone:  (916) 574-2661</w:t>
              <w:br/>
              <w:t>Facsimile:   (916) 574-2785</w:t>
              <w:br/>
              <w:t xml:space="preserve">Duns: </w:t>
            </w:r>
            <w:r>
              <w:rPr>
                <w:sz w:val="20"/>
                <w:u w:val="single"/>
              </w:rPr>
              <w:tab/>
            </w:r>
            <w:r>
              <w:rPr>
                <w:sz w:val="20"/>
              </w:rPr>
              <w:br/>
              <w:t xml:space="preserve">Federal Tax ID Number: </w:t>
            </w:r>
            <w:r>
              <w:rPr>
                <w:sz w:val="20"/>
                <w:u w:val="single"/>
              </w:rPr>
              <w:tab/>
            </w:r>
          </w:p>
        </w:tc>
      </w:tr>
      <w:tr>
        <w:trPr/>
        <w:tc>
          <w:tcPr>
            <w:tcW w:w="4734" w:type="dxa"/>
            <w:tcBorders/>
          </w:tcPr>
          <w:p>
            <w:pPr>
              <w:pStyle w:val="Normal"/>
              <w:tabs>
                <w:tab w:val="clear" w:pos="720"/>
                <w:tab w:val="left" w:pos="972" w:leader="none"/>
                <w:tab w:val="right" w:pos="4320" w:leader="none"/>
              </w:tabs>
              <w:bidi w:val="0"/>
              <w:spacing w:before="0" w:after="120"/>
              <w:ind w:hanging="288" w:start="288"/>
              <w:jc w:val="start"/>
              <w:rPr/>
            </w:pPr>
            <w:bookmarkStart w:id="31" w:name="_DV_M20"/>
            <w:bookmarkEnd w:id="31"/>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tabs>
                <w:tab w:val="clear" w:pos="720"/>
                <w:tab w:val="right" w:pos="4475" w:leader="none"/>
              </w:tabs>
              <w:bidi w:val="0"/>
              <w:spacing w:before="0" w:after="120"/>
              <w:jc w:val="start"/>
              <w:rPr/>
            </w:pPr>
            <w:bookmarkStart w:id="32" w:name="_DV_M21"/>
            <w:bookmarkEnd w:id="32"/>
            <w:r>
              <w:rPr>
                <w:b/>
                <w:sz w:val="20"/>
              </w:rPr>
              <w:t>Invoices:</w:t>
            </w:r>
            <w:r>
              <w:rPr>
                <w:sz w:val="20"/>
              </w:rPr>
              <w:br/>
            </w:r>
            <w:bookmarkStart w:id="33" w:name="_DV_M22"/>
            <w:bookmarkEnd w:id="33"/>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left" w:pos="1332" w:leader="none"/>
                <w:tab w:val="right" w:pos="4320" w:leader="none"/>
              </w:tabs>
              <w:bidi w:val="0"/>
              <w:spacing w:before="0" w:after="120"/>
              <w:ind w:hanging="288" w:start="288"/>
              <w:jc w:val="start"/>
              <w:rPr/>
            </w:pPr>
            <w:bookmarkStart w:id="34" w:name="_DV_M23"/>
            <w:bookmarkEnd w:id="34"/>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br/>
            </w:r>
            <w:bookmarkStart w:id="35" w:name="_DV_M24"/>
            <w:bookmarkEnd w:id="35"/>
            <w:r>
              <w:rPr>
                <w:sz w:val="20"/>
              </w:rPr>
              <w:tab/>
              <w:t>(800) 684-1336 (West)</w:t>
              <w:br/>
              <w:t xml:space="preserve">Facsimile: </w:t>
            </w:r>
            <w:bookmarkStart w:id="36" w:name="_DV_M25"/>
            <w:bookmarkEnd w:id="36"/>
            <w:r>
              <w:rPr>
                <w:sz w:val="20"/>
              </w:rPr>
              <w:tab/>
              <w:t xml:space="preserve">(713) 646-8272 (East) </w:t>
              <w:br/>
            </w:r>
            <w:bookmarkStart w:id="37" w:name="_DV_M26"/>
            <w:bookmarkEnd w:id="37"/>
            <w:r>
              <w:rPr>
                <w:sz w:val="20"/>
              </w:rPr>
              <w:tab/>
              <w:t>(503) 464-3740 (West</w:t>
            </w:r>
            <w:bookmarkStart w:id="38" w:name="_DV_M27"/>
            <w:r>
              <w:rPr>
                <w:rStyle w:val="DeltaViewInsertion"/>
                <w:sz w:val="20"/>
              </w:rPr>
              <w:t>)</w:t>
            </w:r>
            <w:bookmarkStart w:id="39" w:name="_DV_C11"/>
            <w:bookmarkEnd w:id="38"/>
            <w:bookmarkEnd w:id="39"/>
          </w:p>
        </w:tc>
        <w:tc>
          <w:tcPr>
            <w:tcW w:w="4733" w:type="dxa"/>
            <w:tcBorders/>
          </w:tcPr>
          <w:p>
            <w:pPr>
              <w:pStyle w:val="Normal"/>
              <w:tabs>
                <w:tab w:val="clear" w:pos="720"/>
                <w:tab w:val="right" w:pos="4475" w:leader="none"/>
              </w:tabs>
              <w:bidi w:val="0"/>
              <w:spacing w:before="0" w:after="120"/>
              <w:jc w:val="start"/>
              <w:rPr/>
            </w:pPr>
            <w:bookmarkStart w:id="40" w:name="_DV_M28"/>
            <w:bookmarkEnd w:id="40"/>
            <w:r>
              <w:rPr>
                <w:b/>
                <w:sz w:val="20"/>
              </w:rPr>
              <w:t>Scheduling:</w:t>
            </w:r>
            <w:r>
              <w:rPr>
                <w:sz w:val="20"/>
              </w:rPr>
              <w:br/>
            </w:r>
            <w:bookmarkStart w:id="41" w:name="_DV_M29"/>
            <w:bookmarkEnd w:id="41"/>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right" w:pos="4320" w:leader="none"/>
              </w:tabs>
              <w:bidi w:val="0"/>
              <w:spacing w:before="0" w:after="120"/>
              <w:ind w:hanging="288" w:start="288"/>
              <w:jc w:val="start"/>
              <w:rPr/>
            </w:pPr>
            <w:bookmarkStart w:id="42" w:name="_DV_M30"/>
            <w:bookmarkEnd w:id="42"/>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bidi w:val="0"/>
              <w:spacing w:before="0" w:after="120"/>
              <w:jc w:val="start"/>
              <w:rPr>
                <w:sz w:val="20"/>
              </w:rPr>
            </w:pPr>
            <w:bookmarkStart w:id="43" w:name="_DV_M31"/>
            <w:bookmarkEnd w:id="43"/>
            <w:r>
              <w:rPr>
                <w:b/>
                <w:sz w:val="20"/>
              </w:rPr>
              <w:t>Payments:</w:t>
            </w:r>
            <w:r>
              <w:rPr>
                <w:sz w:val="20"/>
              </w:rPr>
              <w:br/>
            </w:r>
          </w:p>
          <w:p>
            <w:pPr>
              <w:pStyle w:val="Normal"/>
              <w:bidi w:val="0"/>
              <w:spacing w:before="0" w:after="120"/>
              <w:jc w:val="start"/>
              <w:rPr/>
            </w:pPr>
            <w:bookmarkStart w:id="44" w:name="_DV_IPM2"/>
            <w:bookmarkStart w:id="45" w:name="_DV_M32"/>
            <w:bookmarkEnd w:id="44"/>
            <w:bookmarkEnd w:id="45"/>
            <w:r>
              <w:rPr>
                <w:sz w:val="20"/>
              </w:rPr>
              <w:t xml:space="preserve">Attn: </w:t>
            </w:r>
            <w:r>
              <w:rPr>
                <w:sz w:val="20"/>
                <w:u w:val="single"/>
              </w:rPr>
              <w:tab/>
              <w:tab/>
              <w:tab/>
              <w:tab/>
              <w:tab/>
            </w:r>
            <w:bookmarkStart w:id="46" w:name="_DV_M33"/>
            <w:bookmarkEnd w:id="46"/>
            <w:r>
              <w:rPr>
                <w:sz w:val="20"/>
                <w:u w:val="single"/>
              </w:rPr>
              <w:tab/>
            </w:r>
            <w:r>
              <w:rPr>
                <w:sz w:val="20"/>
              </w:rPr>
              <w:br/>
              <w:t xml:space="preserve">Phone: </w:t>
            </w:r>
            <w:r>
              <w:rPr>
                <w:sz w:val="20"/>
                <w:u w:val="single"/>
              </w:rPr>
              <w:tab/>
              <w:tab/>
              <w:tab/>
              <w:tab/>
              <w:tab/>
              <w:tab/>
            </w:r>
            <w:bookmarkStart w:id="47" w:name="_DV_M34"/>
            <w:bookmarkEnd w:id="47"/>
            <w:r>
              <w:rPr>
                <w:sz w:val="20"/>
              </w:rPr>
              <w:br/>
              <w:t xml:space="preserve">Facsimile: </w:t>
            </w:r>
            <w:r>
              <w:rPr>
                <w:sz w:val="20"/>
                <w:u w:val="single"/>
              </w:rPr>
              <w:tab/>
              <w:tab/>
              <w:tab/>
              <w:tab/>
              <w:tab/>
            </w:r>
          </w:p>
        </w:tc>
      </w:tr>
      <w:tr>
        <w:trPr/>
        <w:tc>
          <w:tcPr>
            <w:tcW w:w="4734" w:type="dxa"/>
            <w:tcBorders/>
          </w:tcPr>
          <w:p>
            <w:pPr>
              <w:pStyle w:val="Normal"/>
              <w:tabs>
                <w:tab w:val="clear" w:pos="720"/>
                <w:tab w:val="left" w:pos="990" w:leader="none"/>
                <w:tab w:val="left" w:pos="1512" w:leader="none"/>
                <w:tab w:val="right" w:pos="4320" w:leader="none"/>
              </w:tabs>
              <w:bidi w:val="0"/>
              <w:ind w:hanging="288" w:start="288"/>
              <w:jc w:val="start"/>
              <w:rPr>
                <w:sz w:val="20"/>
              </w:rPr>
            </w:pPr>
            <w:bookmarkStart w:id="48" w:name="_DV_M35"/>
            <w:bookmarkEnd w:id="48"/>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 xml:space="preserve">Confirmation:  </w:t>
              <w:tab/>
            </w:r>
            <w:bookmarkStart w:id="49" w:name="_DV_M36"/>
            <w:bookmarkEnd w:id="49"/>
            <w:r>
              <w:rPr>
                <w:sz w:val="20"/>
              </w:rPr>
              <w:t>Enron Power Marketing, Inc.</w:t>
              <w:br/>
            </w:r>
          </w:p>
          <w:p>
            <w:pPr>
              <w:pStyle w:val="Normal"/>
              <w:tabs>
                <w:tab w:val="clear" w:pos="720"/>
                <w:tab w:val="left" w:pos="990" w:leader="none"/>
                <w:tab w:val="left" w:pos="1512" w:leader="none"/>
                <w:tab w:val="right" w:pos="4320" w:leader="none"/>
              </w:tabs>
              <w:bidi w:val="0"/>
              <w:ind w:hanging="288" w:start="288"/>
              <w:jc w:val="start"/>
              <w:rPr>
                <w:sz w:val="20"/>
              </w:rPr>
            </w:pPr>
            <w:bookmarkStart w:id="50" w:name="_DV_IPM3"/>
            <w:bookmarkStart w:id="51" w:name="_DV_M37"/>
            <w:bookmarkEnd w:id="50"/>
            <w:bookmarkEnd w:id="51"/>
            <w:r>
              <w:rPr>
                <w:b/>
                <w:sz w:val="20"/>
              </w:rPr>
              <w:tab/>
            </w:r>
            <w:r>
              <w:rPr>
                <w:sz w:val="20"/>
              </w:rPr>
              <w:t xml:space="preserve">             </w:t>
            </w:r>
            <w:r>
              <w:rPr>
                <w:b/>
                <w:sz w:val="20"/>
              </w:rPr>
              <w:tab/>
              <w:tab/>
            </w:r>
            <w:bookmarkStart w:id="52" w:name="_DV_M38"/>
            <w:bookmarkEnd w:id="52"/>
            <w:r>
              <w:rPr>
                <w:sz w:val="20"/>
              </w:rPr>
              <w:t>Credit and Collections</w:t>
              <w:br/>
            </w:r>
          </w:p>
          <w:p>
            <w:pPr>
              <w:pStyle w:val="Normal"/>
              <w:tabs>
                <w:tab w:val="clear" w:pos="720"/>
                <w:tab w:val="left" w:pos="990" w:leader="none"/>
                <w:tab w:val="left" w:pos="1512" w:leader="none"/>
                <w:tab w:val="right" w:pos="4320" w:leader="none"/>
              </w:tabs>
              <w:bidi w:val="0"/>
              <w:ind w:hanging="288" w:start="288"/>
              <w:jc w:val="start"/>
              <w:rPr/>
            </w:pPr>
            <w:bookmarkStart w:id="53" w:name="_DV_IPM4"/>
            <w:bookmarkStart w:id="54" w:name="_DV_M39"/>
            <w:bookmarkEnd w:id="53"/>
            <w:bookmarkEnd w:id="54"/>
            <w:r>
              <w:rPr>
                <w:sz w:val="20"/>
              </w:rPr>
              <w:tab/>
              <w:t xml:space="preserve">              </w:t>
              <w:tab/>
              <w:tab/>
            </w:r>
            <w:bookmarkStart w:id="55" w:name="_DV_M40"/>
            <w:bookmarkEnd w:id="55"/>
            <w:r>
              <w:rPr>
                <w:sz w:val="20"/>
              </w:rPr>
              <w:t>(713) 853-5667</w:t>
            </w:r>
          </w:p>
        </w:tc>
        <w:tc>
          <w:tcPr>
            <w:tcW w:w="4733" w:type="dxa"/>
            <w:tcBorders/>
          </w:tcPr>
          <w:p>
            <w:pPr>
              <w:pStyle w:val="Normal"/>
              <w:tabs>
                <w:tab w:val="clear" w:pos="720"/>
                <w:tab w:val="right" w:pos="4475" w:leader="none"/>
              </w:tabs>
              <w:bidi w:val="0"/>
              <w:spacing w:before="0" w:after="120"/>
              <w:jc w:val="start"/>
              <w:rPr/>
            </w:pPr>
            <w:bookmarkStart w:id="56" w:name="_DV_M41"/>
            <w:bookmarkEnd w:id="56"/>
            <w:r>
              <w:rPr>
                <w:b/>
                <w:sz w:val="20"/>
              </w:rPr>
              <w:t>Wire Transfer:</w:t>
              <w:br/>
            </w:r>
            <w:bookmarkStart w:id="57" w:name="_DV_M42"/>
            <w:bookmarkEnd w:id="57"/>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34" w:type="dxa"/>
            <w:tcBorders/>
          </w:tcPr>
          <w:p>
            <w:pPr>
              <w:pStyle w:val="Normal"/>
              <w:tabs>
                <w:tab w:val="clear" w:pos="720"/>
                <w:tab w:val="right" w:pos="4320" w:leader="none"/>
              </w:tabs>
              <w:bidi w:val="0"/>
              <w:spacing w:before="0" w:after="120"/>
              <w:ind w:hanging="288" w:start="288"/>
              <w:jc w:val="start"/>
              <w:rPr/>
            </w:pPr>
            <w:bookmarkStart w:id="58" w:name="_DV_M43"/>
            <w:bookmarkEnd w:id="58"/>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tabs>
                <w:tab w:val="clear" w:pos="720"/>
                <w:tab w:val="right" w:pos="4475" w:leader="none"/>
              </w:tabs>
              <w:bidi w:val="0"/>
              <w:spacing w:before="0" w:after="120"/>
              <w:jc w:val="start"/>
              <w:rPr/>
            </w:pPr>
            <w:bookmarkStart w:id="59" w:name="_DV_M44"/>
            <w:bookmarkEnd w:id="59"/>
            <w:r>
              <w:rPr>
                <w:b/>
                <w:sz w:val="20"/>
              </w:rPr>
              <w:t>Credit and Collections:</w:t>
            </w:r>
            <w:r>
              <w:rPr>
                <w:sz w:val="20"/>
              </w:rPr>
              <w:br/>
            </w:r>
            <w:bookmarkStart w:id="60" w:name="_DV_M45"/>
            <w:bookmarkEnd w:id="60"/>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BodyText2"/>
              <w:tabs>
                <w:tab w:val="clear" w:pos="4475"/>
                <w:tab w:val="right" w:pos="4320" w:leader="none"/>
              </w:tabs>
              <w:bidi w:val="0"/>
              <w:ind w:hanging="0" w:start="0"/>
              <w:jc w:val="start"/>
              <w:rPr>
                <w:rFonts w:ascii="Times New Roman" w:hAnsi="Times New Roman"/>
              </w:rPr>
            </w:pPr>
            <w:bookmarkStart w:id="61" w:name="_DV_M46"/>
            <w:bookmarkEnd w:id="61"/>
            <w:r>
              <w:rPr/>
              <w:t>With additional Notices of an Event of Default or Potential Event of Default to:</w:t>
            </w:r>
          </w:p>
          <w:p>
            <w:pPr>
              <w:pStyle w:val="Normal"/>
              <w:tabs>
                <w:tab w:val="clear" w:pos="720"/>
                <w:tab w:val="right" w:pos="4320" w:leader="none"/>
              </w:tabs>
              <w:bidi w:val="0"/>
              <w:ind w:hanging="0" w:start="245"/>
              <w:jc w:val="start"/>
              <w:rPr/>
            </w:pPr>
            <w:bookmarkStart w:id="62" w:name="_DV_M47"/>
            <w:bookmarkEnd w:id="62"/>
            <w:r>
              <w:rPr>
                <w:sz w:val="20"/>
              </w:rPr>
              <w:t>Enron Power Marketing, Inc.</w:t>
              <w:br/>
              <w:t>1400 Smith Street</w:t>
              <w:br/>
              <w:t>Houston, Texas  77002-7361</w:t>
              <w:br/>
              <w:t>Attn: Assistant General Counsel, Trading Group</w:t>
              <w:br/>
              <w:t>Facsimile: (713) 646-4818</w:t>
            </w:r>
          </w:p>
        </w:tc>
        <w:tc>
          <w:tcPr>
            <w:tcW w:w="4733" w:type="dxa"/>
            <w:tcBorders/>
          </w:tcPr>
          <w:p>
            <w:pPr>
              <w:pStyle w:val="BodyText2"/>
              <w:bidi w:val="0"/>
              <w:ind w:hanging="0" w:start="0"/>
              <w:jc w:val="start"/>
              <w:rPr>
                <w:rFonts w:ascii="Times New Roman" w:hAnsi="Times New Roman"/>
              </w:rPr>
            </w:pPr>
            <w:bookmarkStart w:id="63" w:name="_DV_M48"/>
            <w:bookmarkEnd w:id="63"/>
            <w:r>
              <w:rPr/>
              <w:t>With additional Notices of an Event of Default or Potential Event of Default to:</w:t>
            </w:r>
          </w:p>
          <w:p>
            <w:pPr>
              <w:pStyle w:val="BodyText2"/>
              <w:bidi w:val="0"/>
              <w:ind w:hanging="0" w:start="0"/>
              <w:jc w:val="start"/>
              <w:rPr>
                <w:rFonts w:ascii="Times New Roman" w:hAnsi="Times New Roman"/>
              </w:rPr>
            </w:pPr>
            <w:r>
              <w:rPr/>
            </w:r>
            <w:bookmarkStart w:id="64" w:name="_DV_IPM5"/>
            <w:bookmarkStart w:id="65" w:name="_DV_IPM5"/>
            <w:bookmarkEnd w:id="65"/>
          </w:p>
          <w:p>
            <w:pPr>
              <w:pStyle w:val="Normal"/>
              <w:tabs>
                <w:tab w:val="clear" w:pos="720"/>
                <w:tab w:val="right" w:pos="4475" w:leader="none"/>
              </w:tabs>
              <w:bidi w:val="0"/>
              <w:jc w:val="start"/>
              <w:rPr/>
            </w:pPr>
            <w:bookmarkStart w:id="66" w:name="_DV_M49"/>
            <w:bookmarkEnd w:id="66"/>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bidi w:val="0"/>
        <w:spacing w:before="120" w:after="0"/>
        <w:rPr>
          <w:rFonts w:ascii="Times New Roman" w:hAnsi="Times New Roman"/>
          <w:color w:val="000000"/>
        </w:rPr>
      </w:pPr>
      <w:bookmarkStart w:id="67" w:name="_DV_M50"/>
      <w:bookmarkEnd w:id="67"/>
      <w:r>
        <w:rPr>
          <w:color w:val="000000"/>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bidi w:val="0"/>
        <w:spacing w:before="120" w:after="0"/>
        <w:rPr>
          <w:rFonts w:ascii="Times New Roman" w:hAnsi="Times New Roman"/>
          <w:color w:val="000000"/>
        </w:rPr>
      </w:pPr>
      <w:bookmarkStart w:id="68" w:name="_DV_M51"/>
      <w:bookmarkEnd w:id="68"/>
      <w:r>
        <w:rPr>
          <w:color w:val="000000"/>
        </w:rPr>
        <w:t>Party A Tariff</w:t>
        <w:tab/>
        <w:t xml:space="preserve">Tariff  FERC                     </w:t>
      </w:r>
      <w:bookmarkStart w:id="69" w:name="_DV_M52"/>
      <w:bookmarkEnd w:id="69"/>
      <w:r>
        <w:rPr>
          <w:color w:val="000000"/>
        </w:rPr>
        <w:tab/>
        <w:tab/>
        <w:t xml:space="preserve">Dated   </w:t>
      </w:r>
      <w:bookmarkStart w:id="70" w:name="_DV_M53"/>
      <w:bookmarkEnd w:id="70"/>
      <w:r>
        <w:rPr>
          <w:color w:val="000000"/>
        </w:rPr>
        <w:t>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bidi w:val="0"/>
        <w:spacing w:before="120" w:after="120"/>
        <w:rPr>
          <w:rFonts w:ascii="Times New Roman" w:hAnsi="Times New Roman"/>
          <w:color w:val="000000"/>
        </w:rPr>
      </w:pPr>
      <w:bookmarkStart w:id="71" w:name="_DV_M54"/>
      <w:bookmarkEnd w:id="71"/>
      <w:r>
        <w:rPr>
          <w:color w:val="000000"/>
        </w:rPr>
        <w:t>Party B Tariff</w:t>
        <w:tab/>
        <w:t xml:space="preserve">Tariff </w:t>
      </w:r>
      <w:r>
        <w:rPr>
          <w:color w:val="000000"/>
          <w:u w:val="single"/>
        </w:rPr>
        <w:tab/>
      </w:r>
      <w:r>
        <w:rPr>
          <w:color w:val="000000"/>
        </w:rPr>
        <w:tab/>
        <w:t xml:space="preserve">Dated </w:t>
      </w:r>
      <w:r>
        <w:rPr>
          <w:color w:val="000000"/>
          <w:u w:val="single"/>
        </w:rPr>
        <w:tab/>
      </w:r>
      <w:r>
        <w:rPr>
          <w:color w:val="000000"/>
        </w:rPr>
        <w:tab/>
        <w:t xml:space="preserve">Docket Number </w:t>
      </w:r>
      <w:r>
        <w:rPr>
          <w:color w:val="000000"/>
          <w:u w:val="single"/>
        </w:rPr>
        <w:tab/>
      </w:r>
    </w:p>
    <w:tbl>
      <w:tblPr>
        <w:tblW w:w="9648" w:type="dxa"/>
        <w:jc w:val="start"/>
        <w:tblInd w:w="0" w:type="dxa"/>
        <w:tblLayout w:type="fixed"/>
        <w:tblCellMar>
          <w:top w:w="0" w:type="dxa"/>
          <w:start w:w="108" w:type="dxa"/>
          <w:bottom w:w="0" w:type="dxa"/>
          <w:end w:w="108" w:type="dxa"/>
        </w:tblCellMar>
      </w:tblPr>
      <w:tblGrid>
        <w:gridCol w:w="3707"/>
        <w:gridCol w:w="5940"/>
      </w:tblGrid>
      <w:tr>
        <w:trPr/>
        <w:tc>
          <w:tcPr>
            <w:tcW w:w="3707" w:type="dxa"/>
            <w:tcBorders>
              <w:top w:val="single" w:sz="6" w:space="0" w:color="000000"/>
            </w:tcBorders>
          </w:tcPr>
          <w:p>
            <w:pPr>
              <w:pStyle w:val="Normal"/>
              <w:tabs>
                <w:tab w:val="clear" w:pos="720"/>
              </w:tabs>
              <w:bidi w:val="0"/>
              <w:spacing w:before="120" w:after="120"/>
              <w:jc w:val="start"/>
              <w:rPr/>
            </w:pPr>
            <w:bookmarkStart w:id="72" w:name="_DV_M55"/>
            <w:bookmarkEnd w:id="72"/>
            <w:r>
              <w:rPr>
                <w:b/>
                <w:sz w:val="20"/>
                <w:u w:val="single"/>
              </w:rPr>
              <w:t xml:space="preserve">Article </w:t>
            </w:r>
            <w:r>
              <w:rPr>
                <w:rStyle w:val="ParaNum"/>
                <w:i w:val="false"/>
                <w:sz w:val="20"/>
                <w:u w:val="single"/>
              </w:rPr>
              <w:t>Tw</w:t>
            </w:r>
            <w:r>
              <w:rPr>
                <w:b/>
                <w:sz w:val="20"/>
                <w:u w:val="single"/>
              </w:rPr>
              <w:t>o</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73" w:name="_DV_M56"/>
            <w:bookmarkEnd w:id="73"/>
            <w:r>
              <w:rPr>
                <w:sz w:val="20"/>
              </w:rPr>
              <w:t>Transaction Terms and Conditions</w:t>
            </w:r>
          </w:p>
        </w:tc>
        <w:tc>
          <w:tcPr>
            <w:tcW w:w="5940" w:type="dxa"/>
            <w:tcBorders/>
          </w:tcPr>
          <w:p>
            <w:pPr>
              <w:pStyle w:val="Normal"/>
              <w:tabs>
                <w:tab w:val="clear" w:pos="720"/>
              </w:tabs>
              <w:bidi w:val="0"/>
              <w:spacing w:before="0" w:after="120"/>
              <w:ind w:end="144"/>
              <w:jc w:val="start"/>
              <w:rPr/>
            </w:pPr>
            <w:bookmarkStart w:id="74" w:name="_DV_M57"/>
            <w:bookmarkEnd w:id="74"/>
            <w:r>
              <w:rPr>
                <w:sz w:val="20"/>
              </w:rPr>
              <w:t xml:space="preserve">  </w:t>
            </w:r>
            <w:r>
              <w:rPr>
                <w:sz w:val="20"/>
              </w:rPr>
              <w:t>Optional provision in Section 2.4.   If not checked, inapplicable.</w:t>
            </w:r>
          </w:p>
        </w:tc>
      </w:tr>
      <w:tr>
        <w:trPr/>
        <w:tc>
          <w:tcPr>
            <w:tcW w:w="3707" w:type="dxa"/>
            <w:tcBorders>
              <w:top w:val="single" w:sz="6" w:space="0" w:color="000000"/>
            </w:tcBorders>
          </w:tcPr>
          <w:p>
            <w:pPr>
              <w:pStyle w:val="Normal"/>
              <w:tabs>
                <w:tab w:val="clear" w:pos="720"/>
              </w:tabs>
              <w:bidi w:val="0"/>
              <w:spacing w:before="120" w:after="120"/>
              <w:jc w:val="start"/>
              <w:rPr/>
            </w:pPr>
            <w:bookmarkStart w:id="75" w:name="_DV_M58"/>
            <w:bookmarkEnd w:id="75"/>
            <w:r>
              <w:rPr>
                <w:b/>
                <w:sz w:val="20"/>
                <w:u w:val="single"/>
              </w:rPr>
              <w:t xml:space="preserve">Article </w:t>
            </w:r>
            <w:r>
              <w:rPr>
                <w:rStyle w:val="ParaNum"/>
                <w:i w:val="false"/>
                <w:sz w:val="20"/>
                <w:u w:val="single"/>
              </w:rPr>
              <w:t>Fo</w:t>
            </w:r>
            <w:r>
              <w:rPr>
                <w:b/>
                <w:sz w:val="20"/>
                <w:u w:val="single"/>
              </w:rPr>
              <w:t>ur</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76" w:name="_DV_M59"/>
            <w:bookmarkEnd w:id="76"/>
            <w:r>
              <w:rPr>
                <w:sz w:val="20"/>
              </w:rPr>
              <w:t>Remedies for Failure to Deliver or Receive</w:t>
            </w:r>
          </w:p>
        </w:tc>
        <w:tc>
          <w:tcPr>
            <w:tcW w:w="5940" w:type="dxa"/>
            <w:tcBorders/>
          </w:tcPr>
          <w:p>
            <w:pPr>
              <w:pStyle w:val="Normal"/>
              <w:tabs>
                <w:tab w:val="clear" w:pos="720"/>
              </w:tabs>
              <w:bidi w:val="0"/>
              <w:spacing w:before="0" w:after="120"/>
              <w:ind w:end="144"/>
              <w:jc w:val="start"/>
              <w:rPr/>
            </w:pPr>
            <w:bookmarkStart w:id="77" w:name="_DV_M60"/>
            <w:bookmarkEnd w:id="77"/>
            <w:r>
              <w:rPr>
                <w:sz w:val="20"/>
              </w:rPr>
              <w:t xml:space="preserve">■  </w:t>
            </w:r>
            <w:r>
              <w:rPr>
                <w:sz w:val="20"/>
              </w:rPr>
              <w:t>Accelerated Payment of Damages. If not checked, inapplicable.</w:t>
            </w:r>
          </w:p>
        </w:tc>
      </w:tr>
      <w:tr>
        <w:trPr/>
        <w:tc>
          <w:tcPr>
            <w:tcW w:w="3707" w:type="dxa"/>
            <w:tcBorders>
              <w:top w:val="single" w:sz="6" w:space="0" w:color="000000"/>
            </w:tcBorders>
          </w:tcPr>
          <w:p>
            <w:pPr>
              <w:pStyle w:val="Normal"/>
              <w:tabs>
                <w:tab w:val="clear" w:pos="720"/>
              </w:tabs>
              <w:bidi w:val="0"/>
              <w:spacing w:before="120" w:after="120"/>
              <w:jc w:val="start"/>
              <w:rPr/>
            </w:pPr>
            <w:bookmarkStart w:id="78" w:name="_DV_M61"/>
            <w:bookmarkEnd w:id="78"/>
            <w:r>
              <w:rPr>
                <w:b/>
                <w:sz w:val="20"/>
                <w:u w:val="single"/>
              </w:rPr>
              <w:t xml:space="preserve">Article </w:t>
            </w:r>
            <w:r>
              <w:rPr>
                <w:rStyle w:val="ParaNum"/>
                <w:i w:val="false"/>
                <w:sz w:val="20"/>
                <w:u w:val="single"/>
              </w:rPr>
              <w:t>Fi</w:t>
            </w:r>
            <w:r>
              <w:rPr>
                <w:b/>
                <w:sz w:val="20"/>
                <w:u w:val="single"/>
              </w:rPr>
              <w:t>ve</w:t>
            </w:r>
          </w:p>
        </w:tc>
        <w:tc>
          <w:tcPr>
            <w:tcW w:w="5940" w:type="dxa"/>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bidi w:val="0"/>
              <w:spacing w:before="120" w:after="120"/>
              <w:ind w:end="144"/>
              <w:jc w:val="start"/>
              <w:rPr/>
            </w:pPr>
            <w:bookmarkStart w:id="79" w:name="_DV_M62"/>
            <w:bookmarkEnd w:id="79"/>
            <w:r>
              <w:rPr/>
              <w:t></w:t>
            </w:r>
            <w:r>
              <w:rPr>
                <w:rFonts w:ascii="Times New Roman" w:hAnsi="Times New Roman"/>
              </w:rPr>
              <w:t xml:space="preserve">  </w:t>
            </w:r>
            <w:r>
              <w:rPr>
                <w:rFonts w:ascii="Times New Roman" w:hAnsi="Times New Roman"/>
              </w:rPr>
              <w:t>Cross Default for Party A:</w:t>
            </w:r>
          </w:p>
        </w:tc>
      </w:tr>
      <w:tr>
        <w:trPr/>
        <w:tc>
          <w:tcPr>
            <w:tcW w:w="3707" w:type="dxa"/>
            <w:tcBorders/>
          </w:tcPr>
          <w:p>
            <w:pPr>
              <w:pStyle w:val="Normal"/>
              <w:tabs>
                <w:tab w:val="clear" w:pos="720"/>
              </w:tabs>
              <w:bidi w:val="0"/>
              <w:spacing w:before="0" w:after="120"/>
              <w:jc w:val="start"/>
              <w:rPr/>
            </w:pPr>
            <w:bookmarkStart w:id="80" w:name="_DV_M63"/>
            <w:bookmarkEnd w:id="80"/>
            <w:r>
              <w:rPr>
                <w:sz w:val="20"/>
              </w:rPr>
              <w:t>Events of Default; Remedies</w:t>
            </w:r>
          </w:p>
        </w:tc>
        <w:tc>
          <w:tcPr>
            <w:tcW w:w="5940" w:type="dxa"/>
            <w:tcBorders/>
          </w:tcPr>
          <w:p>
            <w:pPr>
              <w:pStyle w:val="Normal"/>
              <w:tabs>
                <w:tab w:val="clear" w:pos="720"/>
                <w:tab w:val="right" w:pos="2052" w:leader="none"/>
              </w:tabs>
              <w:bidi w:val="0"/>
              <w:spacing w:before="0" w:after="120"/>
              <w:ind w:end="144"/>
              <w:jc w:val="start"/>
              <w:rPr/>
            </w:pPr>
            <w:bookmarkStart w:id="81" w:name="_DV_M64"/>
            <w:bookmarkEnd w:id="81"/>
            <w:r>
              <w:rPr>
                <w:sz w:val="20"/>
              </w:rPr>
              <w:t xml:space="preserve">  </w:t>
            </w:r>
            <w:r>
              <w:rPr>
                <w:sz w:val="20"/>
              </w:rPr>
              <w:t>Party A:</w:t>
            </w:r>
            <w:r>
              <w:rPr>
                <w:sz w:val="20"/>
                <w:u w:val="single"/>
              </w:rPr>
              <w:tab/>
            </w:r>
            <w:r>
              <w:rPr>
                <w:sz w:val="20"/>
              </w:rPr>
              <w:tab/>
              <w:t>Cross Default Amount $</w:t>
            </w:r>
            <w:r>
              <w:rPr>
                <w:u w:val="single"/>
              </w:rPr>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2052" w:leader="none"/>
              </w:tabs>
              <w:bidi w:val="0"/>
              <w:spacing w:before="0" w:after="120"/>
              <w:ind w:end="144"/>
              <w:jc w:val="start"/>
              <w:rPr/>
            </w:pPr>
            <w:bookmarkStart w:id="82" w:name="_DV_M65"/>
            <w:bookmarkEnd w:id="82"/>
            <w:r>
              <w:rPr>
                <w:sz w:val="20"/>
              </w:rPr>
              <w:t xml:space="preserve">   </w:t>
            </w:r>
            <w:bookmarkStart w:id="83" w:name="_DV_M66"/>
            <w:bookmarkEnd w:id="83"/>
            <w:r>
              <w:rPr>
                <w:sz w:val="20"/>
              </w:rPr>
              <w:t>Other Entity:</w:t>
            </w:r>
            <w:bookmarkStart w:id="84" w:name="_DV_M67"/>
            <w:r>
              <w:rPr>
                <w:rStyle w:val="DeltaViewInsertion"/>
                <w:sz w:val="20"/>
              </w:rPr>
              <w:t>.</w:t>
            </w:r>
            <w:bookmarkStart w:id="85" w:name="_DV_C12"/>
            <w:bookmarkEnd w:id="84"/>
            <w:bookmarkEnd w:id="85"/>
            <w:r>
              <w:rPr>
                <w:color w:val="000000"/>
                <w:sz w:val="20"/>
                <w:u w:val="single"/>
              </w:rPr>
              <w:t xml:space="preserve"> </w:t>
              <w:tab/>
            </w:r>
            <w:bookmarkStart w:id="86" w:name="_DV_M68"/>
            <w:r>
              <w:rPr>
                <w:rStyle w:val="DeltaViewDeletion"/>
                <w:sz w:val="20"/>
              </w:rPr>
              <w:t>Enron Corp.</w:t>
            </w:r>
            <w:bookmarkStart w:id="87" w:name="_DV_C13"/>
            <w:bookmarkEnd w:id="86"/>
            <w:bookmarkEnd w:id="87"/>
            <w:r>
              <w:rPr>
                <w:color w:val="000000"/>
                <w:sz w:val="20"/>
              </w:rPr>
              <w:tab/>
              <w:t>Cross Default Amount $</w:t>
            </w:r>
            <w:r>
              <w:rPr>
                <w:color w:val="000000"/>
                <w:u w:val="single"/>
              </w:rPr>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ind w:end="144"/>
              <w:jc w:val="start"/>
              <w:rPr/>
            </w:pPr>
            <w:bookmarkStart w:id="88" w:name="_DV_M69"/>
            <w:bookmarkEnd w:id="88"/>
            <w:r>
              <w:rPr>
                <w:sz w:val="20"/>
              </w:rPr>
              <w:t xml:space="preserve">  </w:t>
            </w:r>
            <w:r>
              <w:rPr>
                <w:sz w:val="20"/>
              </w:rPr>
              <w:t>Cross Default for Party B:</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2052" w:leader="none"/>
              </w:tabs>
              <w:bidi w:val="0"/>
              <w:spacing w:before="0" w:after="120"/>
              <w:ind w:end="144"/>
              <w:jc w:val="start"/>
              <w:rPr/>
            </w:pPr>
            <w:bookmarkStart w:id="89" w:name="_DV_M70"/>
            <w:bookmarkEnd w:id="89"/>
            <w:r>
              <w:rPr>
                <w:sz w:val="20"/>
              </w:rPr>
              <w:t xml:space="preserve">  </w:t>
            </w:r>
            <w:r>
              <w:rPr>
                <w:sz w:val="20"/>
              </w:rPr>
              <w:t>Party B:</w:t>
            </w:r>
            <w:r>
              <w:rPr>
                <w:sz w:val="20"/>
                <w:u w:val="single"/>
              </w:rPr>
              <w:tab/>
            </w:r>
            <w:r>
              <w:rPr>
                <w:sz w:val="20"/>
              </w:rPr>
              <w:tab/>
              <w:t>Cross Default Amount $</w:t>
            </w:r>
            <w:r>
              <w:rPr>
                <w:sz w:val="20"/>
                <w:u w:val="single"/>
              </w:rPr>
              <w:tab/>
              <w:tab/>
            </w:r>
          </w:p>
        </w:tc>
      </w:tr>
      <w:tr>
        <w:trPr/>
        <w:tc>
          <w:tcPr>
            <w:tcW w:w="3707" w:type="dxa"/>
            <w:tcBorders/>
          </w:tcPr>
          <w:p>
            <w:pPr>
              <w:pStyle w:val="Normal"/>
              <w:bidi w:val="0"/>
              <w:spacing w:before="0" w:after="120"/>
              <w:jc w:val="start"/>
              <w:rPr>
                <w:sz w:val="20"/>
                <w:u w:val="single"/>
              </w:rPr>
            </w:pPr>
            <w:r>
              <w:rPr>
                <w:sz w:val="20"/>
                <w:u w:val="single"/>
              </w:rPr>
            </w:r>
          </w:p>
        </w:tc>
        <w:tc>
          <w:tcPr>
            <w:tcW w:w="59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052" w:leader="none"/>
              </w:tabs>
              <w:bidi w:val="0"/>
              <w:spacing w:before="0" w:after="120"/>
              <w:ind w:end="144"/>
              <w:jc w:val="start"/>
              <w:rPr/>
            </w:pPr>
            <w:bookmarkStart w:id="90" w:name="_DV_M71"/>
            <w:bookmarkEnd w:id="90"/>
            <w:r>
              <w:rPr>
                <w:rFonts w:ascii="Times New Roman" w:hAnsi="Times New Roman"/>
              </w:rPr>
              <w:t xml:space="preserve">  </w:t>
            </w:r>
            <w:r>
              <w:rPr>
                <w:rFonts w:ascii="Times New Roman" w:hAnsi="Times New Roman"/>
              </w:rPr>
              <w:t xml:space="preserve">Other Entity: </w:t>
            </w:r>
            <w:r>
              <w:rPr>
                <w:rFonts w:ascii="Times New Roman" w:hAnsi="Times New Roman"/>
                <w:u w:val="single"/>
              </w:rPr>
              <w:tab/>
            </w:r>
            <w:r>
              <w:rPr>
                <w:rFonts w:ascii="Times New Roman" w:hAnsi="Times New Roman"/>
              </w:rPr>
              <w:tab/>
              <w:t>Cross Default Amount $</w:t>
            </w:r>
            <w:r>
              <w:rPr>
                <w:rFonts w:ascii="Times New Roman" w:hAnsi="Times New Roman"/>
                <w:u w:val="single"/>
              </w:rPr>
              <w:tab/>
              <w:tab/>
            </w:r>
          </w:p>
        </w:tc>
      </w:tr>
      <w:tr>
        <w:trPr/>
        <w:tc>
          <w:tcPr>
            <w:tcW w:w="3707" w:type="dxa"/>
            <w:tcBorders/>
          </w:tcPr>
          <w:p>
            <w:pPr>
              <w:pStyle w:val="Normal"/>
              <w:bidi w:val="0"/>
              <w:spacing w:before="0" w:after="120"/>
              <w:jc w:val="start"/>
              <w:rPr/>
            </w:pPr>
            <w:r>
              <w:rPr/>
            </w:r>
          </w:p>
        </w:tc>
        <w:tc>
          <w:tcPr>
            <w:tcW w:w="5940" w:type="dxa"/>
            <w:tcBorders/>
          </w:tcPr>
          <w:p>
            <w:pPr>
              <w:pStyle w:val="Normal"/>
              <w:bidi w:val="0"/>
              <w:spacing w:before="0" w:after="120"/>
              <w:ind w:end="144"/>
              <w:jc w:val="start"/>
              <w:rPr/>
            </w:pPr>
            <w:bookmarkStart w:id="91" w:name="_DV_M72"/>
            <w:bookmarkEnd w:id="91"/>
            <w:r>
              <w:rPr>
                <w:rStyle w:val="ParaNum"/>
                <w:b w:val="false"/>
                <w:i w:val="false"/>
                <w:sz w:val="20"/>
                <w:u w:val="none"/>
              </w:rPr>
              <w:t>5.6</w:t>
            </w:r>
            <w:r>
              <w:rPr>
                <w:sz w:val="20"/>
              </w:rPr>
              <w:t xml:space="preserve">  Closeout Setoff</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2" w:end="144"/>
              <w:jc w:val="start"/>
              <w:rPr/>
            </w:pPr>
            <w:bookmarkStart w:id="92" w:name="_DV_M73"/>
            <w:bookmarkEnd w:id="92"/>
            <w:r>
              <w:rPr>
                <w:sz w:val="20"/>
              </w:rPr>
              <w:t></w:t>
            </w:r>
            <w:r>
              <w:rPr>
                <w:sz w:val="20"/>
              </w:rPr>
              <w:tab/>
              <w:t>Option A (Applicable if no other selection is made.)</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2" w:end="144"/>
              <w:jc w:val="start"/>
              <w:rPr/>
            </w:pPr>
            <w:bookmarkStart w:id="93" w:name="_DV_M74"/>
            <w:bookmarkEnd w:id="93"/>
            <w:r>
              <w:rPr>
                <w:sz w:val="20"/>
              </w:rPr>
              <w:t></w:t>
            </w:r>
            <w:r>
              <w:rPr>
                <w:sz w:val="20"/>
              </w:rPr>
              <w:tab/>
              <w:t>Option B - Affiliates shall have the meaning set forth in the Agreement unless otherwise specified as follows:</w:t>
            </w:r>
            <w:r>
              <w:rPr>
                <w:sz w:val="20"/>
                <w:u w:val="single"/>
              </w:rPr>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9" w:end="144"/>
              <w:jc w:val="start"/>
              <w:rPr/>
            </w:pPr>
            <w:bookmarkStart w:id="94" w:name="_DV_M75"/>
            <w:bookmarkEnd w:id="94"/>
            <w:r>
              <w:rPr>
                <w:sz w:val="20"/>
              </w:rPr>
              <w:t>■</w:t>
            </w:r>
            <w:r>
              <w:rPr>
                <w:sz w:val="20"/>
              </w:rPr>
              <w:tab/>
              <w:t>Option C (No Setoff)</w:t>
            </w:r>
          </w:p>
        </w:tc>
      </w:tr>
      <w:tr>
        <w:trPr>
          <w:cantSplit w:val="true"/>
        </w:trPr>
        <w:tc>
          <w:tcPr>
            <w:tcW w:w="3707" w:type="dxa"/>
            <w:tcBorders>
              <w:top w:val="single" w:sz="6" w:space="0" w:color="000000"/>
            </w:tcBorders>
          </w:tcPr>
          <w:p>
            <w:pPr>
              <w:pStyle w:val="Normal"/>
              <w:tabs>
                <w:tab w:val="clear" w:pos="720"/>
              </w:tabs>
              <w:bidi w:val="0"/>
              <w:spacing w:before="120" w:after="120"/>
              <w:jc w:val="start"/>
              <w:rPr/>
            </w:pPr>
            <w:bookmarkStart w:id="95" w:name="_DV_M76"/>
            <w:bookmarkEnd w:id="95"/>
            <w:r>
              <w:rPr>
                <w:b/>
                <w:sz w:val="20"/>
                <w:u w:val="single"/>
              </w:rPr>
              <w:t xml:space="preserve">Article </w:t>
            </w:r>
            <w:r>
              <w:rPr>
                <w:rStyle w:val="ParaNum"/>
                <w:i w:val="false"/>
                <w:sz w:val="20"/>
                <w:u w:val="single"/>
              </w:rPr>
              <w:t>8</w:t>
            </w:r>
          </w:p>
        </w:tc>
        <w:tc>
          <w:tcPr>
            <w:tcW w:w="5940" w:type="dxa"/>
            <w:vMerge w:val="restart"/>
            <w:tcBorders>
              <w:top w:val="single" w:sz="6" w:space="0" w:color="000000"/>
            </w:tcBorders>
          </w:tcPr>
          <w:p>
            <w:pPr>
              <w:pStyle w:val="Normal"/>
              <w:tabs>
                <w:tab w:val="clear" w:pos="720"/>
              </w:tabs>
              <w:bidi w:val="0"/>
              <w:spacing w:before="120" w:after="120"/>
              <w:ind w:end="144"/>
              <w:jc w:val="start"/>
              <w:rPr>
                <w:sz w:val="20"/>
              </w:rPr>
            </w:pPr>
            <w:r>
              <w:rPr>
                <w:sz w:val="20"/>
              </w:rPr>
              <w:t xml:space="preserve">8.1  </w:t>
            </w:r>
            <w:r>
              <w:rPr>
                <w:sz w:val="20"/>
                <w:u w:val="single"/>
              </w:rPr>
              <w:t>Party A Credit Protection</w:t>
            </w:r>
            <w:r>
              <w:rPr>
                <w:sz w:val="20"/>
              </w:rPr>
              <w:t>:</w:t>
            </w:r>
          </w:p>
          <w:p>
            <w:pPr>
              <w:pStyle w:val="Normal"/>
              <w:tabs>
                <w:tab w:val="clear" w:pos="720"/>
              </w:tabs>
              <w:bidi w:val="0"/>
              <w:spacing w:before="0" w:after="120"/>
              <w:ind w:hanging="0" w:start="259" w:end="144"/>
              <w:jc w:val="start"/>
              <w:rPr>
                <w:sz w:val="20"/>
              </w:rPr>
            </w:pPr>
            <w:r>
              <w:rPr>
                <w:rStyle w:val="ParaNum"/>
                <w:b w:val="false"/>
                <w:i w:val="false"/>
                <w:sz w:val="20"/>
                <w:u w:val="none"/>
              </w:rPr>
              <w:t>(a)</w:t>
            </w:r>
            <w:r>
              <w:rPr>
                <w:sz w:val="20"/>
              </w:rPr>
              <w:t xml:space="preserve">  Financial Information:</w:t>
            </w:r>
          </w:p>
          <w:p>
            <w:pPr>
              <w:pStyle w:val="Normal"/>
              <w:tabs>
                <w:tab w:val="clear" w:pos="720"/>
              </w:tabs>
              <w:bidi w:val="0"/>
              <w:ind w:firstLine="187" w:start="72" w:end="144"/>
              <w:jc w:val="start"/>
              <w:rPr>
                <w:sz w:val="20"/>
              </w:rPr>
            </w:pPr>
            <w:r>
              <w:rPr>
                <w:sz w:val="20"/>
              </w:rPr>
              <w:t></w:t>
            </w:r>
            <w:r>
              <w:rPr>
                <w:sz w:val="20"/>
              </w:rPr>
              <w:tab/>
              <w:t>Option A</w:t>
              <w:br/>
            </w:r>
          </w:p>
          <w:p>
            <w:pPr>
              <w:pStyle w:val="Normal"/>
              <w:tabs>
                <w:tab w:val="clear" w:pos="720"/>
              </w:tabs>
              <w:bidi w:val="0"/>
              <w:ind w:firstLine="187" w:start="72" w:end="144"/>
              <w:jc w:val="start"/>
              <w:rPr>
                <w:color w:val="000000"/>
                <w:sz w:val="20"/>
              </w:rPr>
            </w:pPr>
            <w:bookmarkStart w:id="96" w:name="_DV_IPM6"/>
            <w:bookmarkEnd w:id="96"/>
            <w:r>
              <w:rPr>
                <w:sz w:val="20"/>
              </w:rPr>
              <w:t></w:t>
            </w:r>
            <w:r>
              <w:rPr>
                <w:sz w:val="20"/>
              </w:rPr>
              <w:tab/>
              <w:t xml:space="preserve">Option B   Specify:  </w:t>
            </w:r>
            <w:bookmarkStart w:id="97" w:name="_DV_C14"/>
            <w:r>
              <w:rPr>
                <w:rStyle w:val="DeltaViewDeletion"/>
                <w:sz w:val="20"/>
              </w:rPr>
              <w:t>(To be clarified)</w:t>
              <w:br/>
            </w:r>
            <w:bookmarkEnd w:id="97"/>
          </w:p>
          <w:p>
            <w:pPr>
              <w:pStyle w:val="Normal"/>
              <w:tabs>
                <w:tab w:val="clear" w:pos="720"/>
              </w:tabs>
              <w:bidi w:val="0"/>
              <w:ind w:firstLine="187" w:start="72" w:end="144"/>
              <w:jc w:val="start"/>
              <w:rPr>
                <w:color w:val="000000"/>
                <w:sz w:val="20"/>
              </w:rPr>
            </w:pPr>
            <w:bookmarkStart w:id="98" w:name="_DV_IPM7"/>
            <w:bookmarkEnd w:id="98"/>
            <w:r>
              <w:rPr>
                <w:color w:val="000000"/>
                <w:sz w:val="20"/>
              </w:rPr>
              <w:t>■</w:t>
            </w:r>
            <w:r>
              <w:rPr>
                <w:color w:val="000000"/>
                <w:sz w:val="20"/>
              </w:rPr>
              <w:tab/>
              <w:t>Option C   Specify:  Annual audit, annual budget and all financial information sent to any seller under a power purchase agreement; Party B shall use reasonable commercial efforts to periodically prepare and make available to all sellers under power sales agreements, but not more frequently than quarterly, financial information reasonably intended to apprise all such sellers of the financial condition of the Fund</w:t>
            </w:r>
            <w:bookmarkStart w:id="99" w:name="_DV_C15"/>
            <w:r>
              <w:rPr>
                <w:rStyle w:val="DeltaViewInsertion"/>
                <w:sz w:val="20"/>
              </w:rPr>
              <w:t>, including but not limited to, any reports or submissions made to the CPUC concerning or relating to the establishment of Party B’s revenue requirements and/or the calculation of the rates to be set by the CPUC in respect thereof; provided, however, that for the first nine (9) months after the Effective Date, Party B shall furnish such information at least monthly</w:t>
            </w:r>
            <w:bookmarkEnd w:id="99"/>
            <w:r>
              <w:rPr>
                <w:color w:val="000000"/>
                <w:sz w:val="20"/>
              </w:rPr>
              <w:t>.</w:t>
            </w:r>
          </w:p>
          <w:p>
            <w:pPr>
              <w:pStyle w:val="Normal"/>
              <w:tabs>
                <w:tab w:val="clear" w:pos="720"/>
              </w:tabs>
              <w:bidi w:val="0"/>
              <w:ind w:firstLine="187" w:start="72" w:end="144"/>
              <w:jc w:val="start"/>
              <w:rPr/>
            </w:pPr>
            <w:r>
              <w:rPr/>
            </w:r>
            <w:bookmarkStart w:id="100" w:name="_DV_IPM8"/>
            <w:bookmarkStart w:id="101" w:name="_DV_IPM8"/>
            <w:bookmarkEnd w:id="101"/>
          </w:p>
        </w:tc>
      </w:tr>
      <w:tr>
        <w:trPr>
          <w:cantSplit w:val="true"/>
        </w:trPr>
        <w:tc>
          <w:tcPr>
            <w:tcW w:w="3707" w:type="dxa"/>
            <w:tcBorders/>
          </w:tcPr>
          <w:p>
            <w:pPr>
              <w:pStyle w:val="Normal"/>
              <w:tabs>
                <w:tab w:val="clear" w:pos="720"/>
              </w:tabs>
              <w:bidi w:val="0"/>
              <w:spacing w:before="0" w:after="120"/>
              <w:jc w:val="start"/>
              <w:rPr/>
            </w:pPr>
            <w:bookmarkStart w:id="102" w:name="_DV_M77"/>
            <w:bookmarkEnd w:id="102"/>
            <w:r>
              <w:rPr>
                <w:sz w:val="20"/>
              </w:rPr>
              <w:t>Credit and Collateral Requirements</w:t>
            </w:r>
          </w:p>
        </w:tc>
        <w:tc>
          <w:tcPr>
            <w:tcW w:w="5940" w:type="dxa"/>
            <w:vMerge w:val="continue"/>
            <w:tcBorders/>
          </w:tcPr>
          <w:p>
            <w:pPr>
              <w:pStyle w:val="Normal"/>
              <w:tabs>
                <w:tab w:val="clear" w:pos="720"/>
              </w:tabs>
              <w:bidi w:val="0"/>
              <w:spacing w:before="0" w:after="120"/>
              <w:jc w:val="start"/>
              <w:rPr/>
            </w:pPr>
            <w:r>
              <w:rPr/>
            </w:r>
            <w:bookmarkStart w:id="103" w:name="_DV_ZI__0"/>
            <w:bookmarkStart w:id="104" w:name="_DV_ZI__0"/>
            <w:bookmarkEnd w:id="104"/>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105" w:name="_DV_ZI__1"/>
            <w:bookmarkStart w:id="106" w:name="_DV_ZI__1"/>
            <w:bookmarkEnd w:id="106"/>
          </w:p>
        </w:tc>
      </w:tr>
      <w:tr>
        <w:trPr>
          <w:trHeight w:val="931" w:hRule="atLeast"/>
        </w:trPr>
        <w:tc>
          <w:tcPr>
            <w:tcW w:w="3707" w:type="dxa"/>
            <w:tcBorders/>
          </w:tcPr>
          <w:p>
            <w:pPr>
              <w:pStyle w:val="Normal"/>
              <w:keepNext w:val="true"/>
              <w:tabs>
                <w:tab w:val="clear" w:pos="720"/>
              </w:tabs>
              <w:bidi w:val="0"/>
              <w:spacing w:before="0" w:after="120"/>
              <w:jc w:val="start"/>
              <w:rPr/>
            </w:pPr>
            <w:r>
              <w:rPr/>
            </w:r>
          </w:p>
        </w:tc>
        <w:tc>
          <w:tcPr>
            <w:tcW w:w="5940" w:type="dxa"/>
            <w:tcBorders/>
          </w:tcPr>
          <w:p>
            <w:pPr>
              <w:pStyle w:val="Normal"/>
              <w:tabs>
                <w:tab w:val="clear" w:pos="720"/>
                <w:tab w:val="left" w:pos="1332" w:leader="none"/>
                <w:tab w:val="right" w:pos="4572" w:leader="none"/>
              </w:tabs>
              <w:bidi w:val="0"/>
              <w:spacing w:before="0" w:after="120"/>
              <w:ind w:hanging="0" w:start="259" w:end="144"/>
              <w:jc w:val="start"/>
              <w:rPr>
                <w:sz w:val="20"/>
              </w:rPr>
            </w:pPr>
            <w:bookmarkStart w:id="107" w:name="_DV_M78"/>
            <w:bookmarkEnd w:id="107"/>
            <w:r>
              <w:rPr>
                <w:rStyle w:val="ParaNum"/>
                <w:b w:val="false"/>
                <w:i w:val="false"/>
                <w:sz w:val="20"/>
                <w:u w:val="none"/>
              </w:rPr>
              <w:t>(b)</w:t>
            </w:r>
            <w:r>
              <w:rPr>
                <w:sz w:val="20"/>
              </w:rPr>
              <w:t xml:space="preserve">  Credit Assurances: </w:t>
            </w:r>
          </w:p>
          <w:p>
            <w:pPr>
              <w:pStyle w:val="Normal"/>
              <w:tabs>
                <w:tab w:val="clear" w:pos="720"/>
              </w:tabs>
              <w:bidi w:val="0"/>
              <w:ind w:hanging="0" w:start="259" w:end="144"/>
              <w:jc w:val="start"/>
              <w:rPr>
                <w:sz w:val="20"/>
              </w:rPr>
            </w:pPr>
            <w:bookmarkStart w:id="108" w:name="_DV_M79"/>
            <w:bookmarkEnd w:id="108"/>
            <w:r>
              <w:rPr>
                <w:sz w:val="20"/>
              </w:rPr>
              <w:t>■</w:t>
            </w:r>
            <w:r>
              <w:rPr>
                <w:sz w:val="20"/>
              </w:rPr>
              <w:tab/>
              <w:t>Not Applicable</w:t>
              <w:br/>
            </w:r>
          </w:p>
          <w:p>
            <w:pPr>
              <w:pStyle w:val="Normal"/>
              <w:tabs>
                <w:tab w:val="clear" w:pos="720"/>
              </w:tabs>
              <w:bidi w:val="0"/>
              <w:ind w:hanging="0" w:start="259" w:end="144"/>
              <w:jc w:val="start"/>
              <w:rPr/>
            </w:pPr>
            <w:bookmarkStart w:id="109" w:name="_DV_IPM9"/>
            <w:bookmarkStart w:id="110" w:name="_DV_M80"/>
            <w:bookmarkEnd w:id="109"/>
            <w:bookmarkEnd w:id="110"/>
            <w:r>
              <w:rPr>
                <w:sz w:val="20"/>
              </w:rPr>
              <w:t></w:t>
            </w:r>
            <w:r>
              <w:rPr>
                <w:sz w:val="20"/>
              </w:rPr>
              <w:tab/>
              <w:t>Applicable</w:t>
            </w:r>
          </w:p>
        </w:tc>
      </w:tr>
      <w:tr>
        <w:trPr>
          <w:cantSplit w:val="true"/>
        </w:trPr>
        <w:tc>
          <w:tcPr>
            <w:tcW w:w="3707" w:type="dxa"/>
            <w:tcBorders/>
            <w:shd w:color="auto" w:fill="FFFFFF"/>
          </w:tcPr>
          <w:p>
            <w:pPr>
              <w:pStyle w:val="Normal"/>
              <w:tabs>
                <w:tab w:val="clear" w:pos="720"/>
              </w:tabs>
              <w:bidi w:val="0"/>
              <w:spacing w:before="0" w:after="120"/>
              <w:jc w:val="start"/>
              <w:rPr/>
            </w:pPr>
            <w:r>
              <w:rPr/>
            </w:r>
            <w:bookmarkStart w:id="111" w:name="_DV_ZD_D2"/>
            <w:bookmarkStart w:id="112" w:name="_DV_ZD_D2"/>
            <w:bookmarkEnd w:id="112"/>
          </w:p>
        </w:tc>
        <w:tc>
          <w:tcPr>
            <w:tcW w:w="5940" w:type="dxa"/>
            <w:vMerge w:val="continue"/>
            <w:tcBorders/>
            <w:shd w:color="auto" w:fill="FFFFFF"/>
          </w:tcPr>
          <w:p>
            <w:pPr>
              <w:pStyle w:val="Normal"/>
              <w:tabs>
                <w:tab w:val="clear" w:pos="720"/>
                <w:tab w:val="left" w:pos="1332" w:leader="none"/>
                <w:tab w:val="right" w:pos="4572" w:leader="none"/>
              </w:tabs>
              <w:bidi w:val="0"/>
              <w:spacing w:before="0" w:after="120"/>
              <w:ind w:hanging="0" w:start="972"/>
              <w:jc w:val="start"/>
              <w:rPr/>
            </w:pPr>
            <w:r>
              <w:rPr/>
            </w:r>
            <w:bookmarkStart w:id="113" w:name="_DV_ZD_D3"/>
            <w:bookmarkStart w:id="114" w:name="_DV_ZD_D3"/>
            <w:bookmarkEnd w:id="114"/>
          </w:p>
        </w:tc>
      </w:tr>
      <w:tr>
        <w:trPr>
          <w:cantSplit w:val="true"/>
        </w:trPr>
        <w:tc>
          <w:tcPr>
            <w:tcW w:w="3707" w:type="dxa"/>
            <w:tcBorders/>
          </w:tcPr>
          <w:p>
            <w:pPr>
              <w:pStyle w:val="Normal"/>
              <w:tabs>
                <w:tab w:val="clear" w:pos="720"/>
              </w:tabs>
              <w:bidi w:val="0"/>
              <w:spacing w:before="0" w:after="120"/>
              <w:jc w:val="start"/>
              <w:rPr/>
            </w:pPr>
            <w:r>
              <w:rPr/>
            </w:r>
            <w:bookmarkStart w:id="115" w:name="_DV_M81"/>
            <w:bookmarkStart w:id="116" w:name="_DV_M81"/>
            <w:bookmarkEnd w:id="116"/>
          </w:p>
        </w:tc>
        <w:tc>
          <w:tcPr>
            <w:tcW w:w="5940" w:type="dxa"/>
            <w:vMerge w:val="restart"/>
            <w:tcBorders/>
          </w:tcPr>
          <w:p>
            <w:pPr>
              <w:pStyle w:val="Normal"/>
              <w:tabs>
                <w:tab w:val="clear" w:pos="720"/>
              </w:tabs>
              <w:bidi w:val="0"/>
              <w:spacing w:before="0" w:after="120"/>
              <w:ind w:hanging="0" w:start="259" w:end="144"/>
              <w:jc w:val="start"/>
              <w:rPr>
                <w:sz w:val="20"/>
              </w:rPr>
            </w:pPr>
            <w:r>
              <w:rPr>
                <w:rStyle w:val="ParaNum"/>
                <w:b w:val="false"/>
                <w:i w:val="false"/>
                <w:sz w:val="20"/>
                <w:u w:val="none"/>
              </w:rPr>
              <w:t>(c)</w:t>
            </w:r>
            <w:r>
              <w:rPr>
                <w:sz w:val="20"/>
              </w:rPr>
              <w:t xml:space="preserve">  Collateral Threshold:</w:t>
            </w:r>
          </w:p>
          <w:p>
            <w:pPr>
              <w:pStyle w:val="Normal"/>
              <w:tabs>
                <w:tab w:val="clear" w:pos="720"/>
              </w:tabs>
              <w:bidi w:val="0"/>
              <w:ind w:hanging="0" w:start="259" w:end="144"/>
              <w:jc w:val="start"/>
              <w:rPr>
                <w:sz w:val="20"/>
              </w:rPr>
            </w:pPr>
            <w:r>
              <w:rPr>
                <w:sz w:val="20"/>
              </w:rPr>
              <w:t>■</w:t>
            </w:r>
            <w:r>
              <w:rPr>
                <w:sz w:val="20"/>
              </w:rPr>
              <w:tab/>
              <w:t>Not Applicable</w:t>
              <w:br/>
            </w:r>
          </w:p>
          <w:p>
            <w:pPr>
              <w:pStyle w:val="Normal"/>
              <w:tabs>
                <w:tab w:val="clear" w:pos="720"/>
              </w:tabs>
              <w:bidi w:val="0"/>
              <w:ind w:hanging="0" w:start="259" w:end="144"/>
              <w:jc w:val="start"/>
              <w:rPr>
                <w:sz w:val="20"/>
              </w:rPr>
            </w:pPr>
            <w:bookmarkStart w:id="117" w:name="_DV_IPM10"/>
            <w:bookmarkEnd w:id="117"/>
            <w:r>
              <w:rPr>
                <w:sz w:val="20"/>
              </w:rPr>
              <w:t></w:t>
            </w:r>
            <w:r>
              <w:rPr>
                <w:sz w:val="20"/>
              </w:rPr>
              <w:tab/>
              <w:t>Applicable</w:t>
            </w:r>
          </w:p>
          <w:p>
            <w:pPr>
              <w:pStyle w:val="Normal"/>
              <w:tabs>
                <w:tab w:val="clear" w:pos="720"/>
              </w:tabs>
              <w:bidi w:val="0"/>
              <w:ind w:hanging="0" w:start="259" w:end="144"/>
              <w:jc w:val="start"/>
              <w:rPr/>
            </w:pPr>
            <w:r>
              <w:rPr/>
            </w:r>
            <w:bookmarkStart w:id="118" w:name="_DV_IPM11"/>
            <w:bookmarkStart w:id="119" w:name="_DV_IPM11"/>
            <w:bookmarkEnd w:id="119"/>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120" w:name="_DV_ZI__4"/>
            <w:bookmarkStart w:id="121" w:name="_DV_ZI__4"/>
            <w:bookmarkEnd w:id="121"/>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pPr>
            <w:bookmarkStart w:id="122" w:name="_DV_M82"/>
            <w:bookmarkEnd w:id="122"/>
            <w:r>
              <w:rPr>
                <w:sz w:val="20"/>
              </w:rPr>
              <w:t>If applicable, complete the following:</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9" w:end="144"/>
              <w:jc w:val="start"/>
              <w:rPr/>
            </w:pPr>
            <w:bookmarkStart w:id="123" w:name="_DV_M83"/>
            <w:bookmarkEnd w:id="123"/>
            <w:r>
              <w:rPr>
                <w:sz w:val="20"/>
              </w:rPr>
              <w:t>Party B Collateral Threshold: $</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9" w:end="144"/>
              <w:jc w:val="start"/>
              <w:rPr/>
            </w:pPr>
            <w:bookmarkStart w:id="124" w:name="_DV_M84"/>
            <w:bookmarkEnd w:id="124"/>
            <w:r>
              <w:rPr>
                <w:sz w:val="20"/>
              </w:rPr>
              <w:t>Party B Independent Amount: $</w:t>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9" w:end="144"/>
              <w:jc w:val="start"/>
              <w:rPr/>
            </w:pPr>
            <w:bookmarkStart w:id="125" w:name="_DV_M85"/>
            <w:bookmarkEnd w:id="125"/>
            <w:r>
              <w:rPr>
                <w:sz w:val="20"/>
              </w:rPr>
              <w:t xml:space="preserve">Party B Rounding Amount: </w:t>
              <w:tab/>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9" w:end="144"/>
              <w:jc w:val="start"/>
              <w:rPr>
                <w:b/>
                <w:sz w:val="20"/>
              </w:rPr>
            </w:pPr>
            <w:r>
              <w:rPr>
                <w:rStyle w:val="ParaNum"/>
                <w:b w:val="false"/>
                <w:i w:val="false"/>
                <w:sz w:val="20"/>
                <w:u w:val="none"/>
              </w:rPr>
              <w:t>(d)</w:t>
            </w:r>
            <w:r>
              <w:rPr>
                <w:sz w:val="20"/>
              </w:rPr>
              <w:t xml:space="preserve">  Downgrade Event: </w:t>
            </w:r>
          </w:p>
          <w:p>
            <w:pPr>
              <w:pStyle w:val="Normal"/>
              <w:tabs>
                <w:tab w:val="clear" w:pos="720"/>
                <w:tab w:val="left" w:pos="702" w:leader="none"/>
              </w:tabs>
              <w:bidi w:val="0"/>
              <w:spacing w:before="0" w:after="120"/>
              <w:ind w:hanging="0" w:start="259" w:end="144"/>
              <w:jc w:val="start"/>
              <w:rPr>
                <w:b/>
                <w:color w:val="000000"/>
                <w:sz w:val="20"/>
              </w:rPr>
            </w:pPr>
            <w:bookmarkStart w:id="126" w:name="_DV_C16"/>
            <w:r>
              <w:rPr>
                <w:rStyle w:val="DeltaViewDeletion"/>
                <w:sz w:val="20"/>
              </w:rPr>
              <w:t>■</w:t>
            </w:r>
            <w:bookmarkEnd w:id="126"/>
            <w:r>
              <w:rPr>
                <w:color w:val="000000"/>
                <w:sz w:val="20"/>
              </w:rPr>
              <w:t></w:t>
            </w:r>
            <w:r>
              <w:rPr>
                <w:color w:val="000000"/>
                <w:sz w:val="20"/>
              </w:rPr>
              <w:tab/>
              <w:t>Not Applicable</w:t>
              <w:br/>
              <w:t></w:t>
            </w:r>
            <w:bookmarkStart w:id="127" w:name="_DV_C17"/>
            <w:r>
              <w:rPr>
                <w:rStyle w:val="DeltaViewInsertion"/>
                <w:sz w:val="20"/>
              </w:rPr>
              <w:t>■</w:t>
            </w:r>
            <w:bookmarkEnd w:id="127"/>
            <w:r>
              <w:rPr>
                <w:color w:val="000000"/>
                <w:sz w:val="20"/>
              </w:rPr>
              <w:tab/>
              <w:t>Applicable</w:t>
            </w:r>
          </w:p>
          <w:p>
            <w:pPr>
              <w:pStyle w:val="Normal"/>
              <w:tabs>
                <w:tab w:val="clear" w:pos="720"/>
                <w:tab w:val="left" w:pos="702" w:leader="none"/>
              </w:tabs>
              <w:bidi w:val="0"/>
              <w:spacing w:before="0" w:after="120"/>
              <w:ind w:hanging="0" w:start="259" w:end="144"/>
              <w:jc w:val="start"/>
              <w:rPr/>
            </w:pPr>
            <w:r>
              <w:rPr>
                <w:color w:val="000000"/>
                <w:sz w:val="20"/>
              </w:rPr>
              <w:t>If applicable, complete the following:</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128" w:name="_DV_ZI__5"/>
            <w:bookmarkStart w:id="129" w:name="_DV_ZI__5"/>
            <w:bookmarkEnd w:id="129"/>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130" w:name="_DV_ZI__6"/>
            <w:bookmarkStart w:id="131" w:name="_DV_ZI__6"/>
            <w:bookmarkEnd w:id="131"/>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sz w:val="20"/>
                <w:u w:val="single"/>
              </w:rPr>
            </w:pPr>
            <w:r>
              <w:rPr>
                <w:sz w:val="20"/>
                <w:u w:val="single"/>
              </w:rPr>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BodyTextIndent2"/>
              <w:keepNext w:val="true"/>
              <w:keepLines/>
              <w:tabs>
                <w:tab w:val="clear" w:pos="6012"/>
              </w:tabs>
              <w:bidi w:val="0"/>
              <w:spacing w:before="0" w:after="120"/>
              <w:ind w:hanging="0" w:start="0" w:end="144"/>
              <w:jc w:val="start"/>
              <w:rPr/>
            </w:pPr>
            <w:r>
              <w:rPr/>
              <w:t></w:t>
            </w:r>
            <w:bookmarkStart w:id="132" w:name="_DV_M86"/>
            <w:r>
              <w:rPr>
                <w:rStyle w:val="DeltaViewInsertion"/>
              </w:rPr>
              <w:t>■</w:t>
            </w:r>
            <w:bookmarkStart w:id="133" w:name="_DV_C18"/>
            <w:bookmarkEnd w:id="132"/>
            <w:bookmarkEnd w:id="133"/>
            <w:r>
              <w:rPr>
                <w:color w:val="000000"/>
              </w:rPr>
              <w:tab/>
            </w:r>
            <w:bookmarkStart w:id="134" w:name="_DV_C20"/>
            <w:r>
              <w:rPr>
                <w:rStyle w:val="DeltaViewDeletion"/>
              </w:rPr>
              <w:t xml:space="preserve">Other: </w:t>
            </w:r>
            <w:bookmarkStart w:id="135" w:name="_DV_C19"/>
            <w:bookmarkEnd w:id="134"/>
            <w:r>
              <w:rPr>
                <w:rStyle w:val="DeltaViewInsertion"/>
              </w:rPr>
              <w:t xml:space="preserve">Other: It shall be a Downgrade Event for Party B if any bonds or other indebtedness issued by or on behalf of Party B pursuant to Sections 80130 </w:t>
            </w:r>
            <w:r>
              <w:rPr>
                <w:rStyle w:val="DeltaViewInsertion"/>
                <w:i/>
              </w:rPr>
              <w:t xml:space="preserve">et seq. </w:t>
            </w:r>
            <w:r>
              <w:rPr>
                <w:rStyle w:val="DeltaViewInsertion"/>
              </w:rPr>
              <w:t xml:space="preserve">of the Water Code (the “Bonds”) shall at any time during the Term have a Credit Rating below BBB- according to S&amp;P’s or Baa3 according to Moody’s (such minimum ratings, “Investment Grade”), or, in the event that no such Bonds are issued by or on behalf of Party B, and Party B secures a rating for the Fund from both S&amp;P’s and Moody’s with respect to the ability of the Fund to satisfy Party B’s obligations to pay for all power purchased by it pursuant to Sections 80100 </w:t>
            </w:r>
            <w:r>
              <w:rPr>
                <w:rStyle w:val="DeltaViewInsertion"/>
                <w:i/>
              </w:rPr>
              <w:t>et seq.</w:t>
            </w:r>
            <w:r>
              <w:rPr>
                <w:rStyle w:val="DeltaViewInsertion"/>
              </w:rPr>
              <w:t xml:space="preserve"> of the Water Code and all other obligations thereof, substantially equivalent to or better than Investment Grade, such rating falls below Investment Grade.</w:t>
            </w:r>
            <w:bookmarkEnd w:id="135"/>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36" w:name="_DV_M87"/>
            <w:bookmarkEnd w:id="136"/>
            <w:r>
              <w:rPr>
                <w:rStyle w:val="ParaNum"/>
                <w:b w:val="false"/>
                <w:i w:val="false"/>
                <w:sz w:val="20"/>
                <w:u w:val="none"/>
              </w:rPr>
              <w:t>(e)</w:t>
            </w:r>
            <w:r>
              <w:rPr>
                <w:sz w:val="20"/>
              </w:rPr>
              <w:t xml:space="preserve">  Guarantor for Party B:  Not Applicable</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37" w:name="_DV_M88"/>
            <w:bookmarkEnd w:id="137"/>
            <w:r>
              <w:rPr>
                <w:sz w:val="20"/>
              </w:rPr>
              <w:t>Guarantee Amount: $</w:t>
            </w:r>
            <w:r>
              <w:rPr>
                <w:sz w:val="20"/>
                <w:u w:val="single"/>
              </w:rPr>
              <w:tab/>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end="144"/>
              <w:jc w:val="start"/>
              <w:rPr>
                <w:sz w:val="20"/>
              </w:rPr>
            </w:pPr>
            <w:r>
              <w:rPr>
                <w:sz w:val="20"/>
              </w:rPr>
              <w:t xml:space="preserve">8.2  </w:t>
            </w:r>
            <w:r>
              <w:rPr>
                <w:sz w:val="20"/>
                <w:u w:val="single"/>
              </w:rPr>
              <w:t>Party B Credit Protection</w:t>
            </w:r>
            <w:r>
              <w:rPr>
                <w:sz w:val="20"/>
              </w:rPr>
              <w:t>:</w:t>
            </w:r>
          </w:p>
          <w:p>
            <w:pPr>
              <w:pStyle w:val="Normal"/>
              <w:keepNext w:val="true"/>
              <w:tabs>
                <w:tab w:val="clear" w:pos="720"/>
              </w:tabs>
              <w:bidi w:val="0"/>
              <w:spacing w:before="0" w:after="120"/>
              <w:ind w:hanging="0" w:start="252" w:end="144"/>
              <w:jc w:val="start"/>
              <w:rPr>
                <w:sz w:val="20"/>
              </w:rPr>
            </w:pPr>
            <w:r>
              <w:rPr>
                <w:rStyle w:val="ParaNum"/>
                <w:b w:val="false"/>
                <w:i w:val="false"/>
                <w:sz w:val="20"/>
                <w:u w:val="none"/>
              </w:rPr>
              <w:t>(a)</w:t>
            </w:r>
            <w:r>
              <w:rPr>
                <w:sz w:val="20"/>
              </w:rPr>
              <w:t xml:space="preserve">  Financial Information:</w:t>
            </w:r>
          </w:p>
          <w:p>
            <w:pPr>
              <w:pStyle w:val="Normal"/>
              <w:keepNext w:val="true"/>
              <w:tabs>
                <w:tab w:val="clear" w:pos="720"/>
              </w:tabs>
              <w:bidi w:val="0"/>
              <w:spacing w:before="0" w:after="120"/>
              <w:ind w:hanging="0" w:start="252" w:end="144"/>
              <w:jc w:val="start"/>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tab/>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continue"/>
            <w:tcBorders/>
          </w:tcPr>
          <w:p>
            <w:pPr>
              <w:pStyle w:val="Normal"/>
              <w:keepNext w:val="true"/>
              <w:tabs>
                <w:tab w:val="clear" w:pos="720"/>
              </w:tabs>
              <w:bidi w:val="0"/>
              <w:spacing w:before="0" w:after="120"/>
              <w:jc w:val="start"/>
              <w:rPr/>
            </w:pPr>
            <w:r>
              <w:rPr/>
            </w:r>
            <w:bookmarkStart w:id="138" w:name="_DV_ZI__7"/>
            <w:bookmarkStart w:id="139" w:name="_DV_ZI__7"/>
            <w:bookmarkEnd w:id="139"/>
          </w:p>
        </w:tc>
      </w:tr>
      <w:tr>
        <w:trPr>
          <w:cantSplit w:val="true"/>
        </w:trPr>
        <w:tc>
          <w:tcPr>
            <w:tcW w:w="3707" w:type="dxa"/>
            <w:tcBorders/>
          </w:tcPr>
          <w:p>
            <w:pPr>
              <w:pStyle w:val="Normal"/>
              <w:keepNext w:val="true"/>
              <w:bidi w:val="0"/>
              <w:spacing w:before="0" w:after="120"/>
              <w:jc w:val="start"/>
              <w:rPr>
                <w:sz w:val="20"/>
                <w:u w:val="single"/>
              </w:rPr>
            </w:pPr>
            <w:r>
              <w:rPr>
                <w:sz w:val="20"/>
                <w:u w:val="single"/>
              </w:rPr>
            </w:r>
          </w:p>
        </w:tc>
        <w:tc>
          <w:tcPr>
            <w:tcW w:w="5940" w:type="dxa"/>
            <w:vMerge w:val="continue"/>
            <w:tcBorders/>
          </w:tcPr>
          <w:p>
            <w:pPr>
              <w:pStyle w:val="Normal"/>
              <w:keepNext w:val="true"/>
              <w:bidi w:val="0"/>
              <w:spacing w:before="0" w:after="120"/>
              <w:jc w:val="start"/>
              <w:rPr/>
            </w:pPr>
            <w:r>
              <w:rPr/>
            </w:r>
            <w:bookmarkStart w:id="140" w:name="_DV_ZI__8"/>
            <w:bookmarkStart w:id="141" w:name="_DV_ZI__8"/>
            <w:bookmarkEnd w:id="141"/>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2" w:end="144"/>
              <w:jc w:val="start"/>
              <w:rPr>
                <w:b/>
                <w:sz w:val="20"/>
              </w:rPr>
            </w:pPr>
            <w:bookmarkStart w:id="142" w:name="_DV_M89"/>
            <w:bookmarkEnd w:id="142"/>
            <w:r>
              <w:rPr>
                <w:rStyle w:val="ParaNum"/>
                <w:b w:val="false"/>
                <w:i w:val="false"/>
                <w:sz w:val="20"/>
                <w:u w:val="none"/>
              </w:rPr>
              <w:t>(b)</w:t>
            </w:r>
            <w:r>
              <w:rPr>
                <w:sz w:val="20"/>
              </w:rPr>
              <w:t xml:space="preserve">  Credit Assurances:  </w:t>
            </w:r>
          </w:p>
          <w:p>
            <w:pPr>
              <w:pStyle w:val="Normal"/>
              <w:tabs>
                <w:tab w:val="clear" w:pos="720"/>
              </w:tabs>
              <w:bidi w:val="0"/>
              <w:spacing w:before="0" w:after="120"/>
              <w:ind w:hanging="0" w:start="252" w:end="144"/>
              <w:jc w:val="start"/>
              <w:rPr/>
            </w:pPr>
            <w:bookmarkStart w:id="143" w:name="_DV_M90"/>
            <w:bookmarkEnd w:id="143"/>
            <w:r>
              <w:rPr>
                <w:sz w:val="20"/>
              </w:rPr>
              <w:t>■</w:t>
            </w:r>
            <w:r>
              <w:rPr>
                <w:sz w:val="20"/>
              </w:rPr>
              <w:tab/>
              <w:t>Not Applicable</w:t>
              <w:br/>
              <w:t></w:t>
              <w:tab/>
              <w:t>Applicable</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 w:val="left" w:pos="1332" w:leader="none"/>
                <w:tab w:val="right" w:pos="4572" w:leader="none"/>
              </w:tabs>
              <w:bidi w:val="0"/>
              <w:spacing w:before="0" w:after="120"/>
              <w:ind w:end="144"/>
              <w:jc w:val="start"/>
              <w:rPr>
                <w:sz w:val="20"/>
                <w:u w:val="single"/>
              </w:rPr>
            </w:pPr>
            <w:r>
              <w:rPr>
                <w:sz w:val="20"/>
                <w:u w:val="single"/>
              </w:rPr>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2" w:end="144"/>
              <w:jc w:val="start"/>
              <w:rPr>
                <w:sz w:val="20"/>
              </w:rPr>
            </w:pPr>
            <w:r>
              <w:rPr>
                <w:rStyle w:val="ParaNum"/>
                <w:b w:val="false"/>
                <w:i w:val="false"/>
                <w:sz w:val="20"/>
                <w:u w:val="none"/>
              </w:rPr>
              <w:t>(c)</w:t>
            </w:r>
            <w:r>
              <w:rPr>
                <w:sz w:val="20"/>
              </w:rPr>
              <w:t xml:space="preserve">  Collateral Threshold:</w:t>
            </w:r>
          </w:p>
          <w:p>
            <w:pPr>
              <w:pStyle w:val="Normal"/>
              <w:tabs>
                <w:tab w:val="clear" w:pos="720"/>
              </w:tabs>
              <w:bidi w:val="0"/>
              <w:spacing w:before="0" w:after="120"/>
              <w:ind w:hanging="0" w:start="252" w:end="144"/>
              <w:jc w:val="start"/>
              <w:rPr/>
            </w:pPr>
            <w:r>
              <w:rPr>
                <w:sz w:val="20"/>
              </w:rPr>
              <w:t>■</w:t>
            </w:r>
            <w:r>
              <w:rPr>
                <w:sz w:val="20"/>
              </w:rPr>
              <w:tab/>
              <w:t>Not Applicable</w:t>
              <w:br/>
              <w:t></w:t>
              <w:tab/>
              <w:t>Applicable</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144" w:name="_DV_ZI__9"/>
            <w:bookmarkStart w:id="145" w:name="_DV_ZI__9"/>
            <w:bookmarkEnd w:id="145"/>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2" w:end="144"/>
              <w:jc w:val="start"/>
              <w:rPr/>
            </w:pPr>
            <w:bookmarkStart w:id="146" w:name="_DV_M91"/>
            <w:bookmarkEnd w:id="146"/>
            <w:r>
              <w:rPr>
                <w:sz w:val="20"/>
              </w:rPr>
              <w:t>If applicable, complete the following:</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47" w:name="_DV_M92"/>
            <w:bookmarkEnd w:id="147"/>
            <w:r>
              <w:rPr>
                <w:sz w:val="20"/>
              </w:rPr>
              <w:t xml:space="preserve">Party A Collateral Threshold: </w:t>
            </w:r>
          </w:p>
        </w:tc>
      </w:tr>
      <w:tr>
        <w:trPr/>
        <w:tc>
          <w:tcPr>
            <w:tcW w:w="3707" w:type="dxa"/>
            <w:tcBorders/>
          </w:tcPr>
          <w:p>
            <w:pPr>
              <w:pStyle w:val="Normal"/>
              <w:keepNext w:val="true"/>
              <w:bidi w:val="0"/>
              <w:spacing w:before="0" w:after="120"/>
              <w:jc w:val="start"/>
              <w:rPr>
                <w:sz w:val="20"/>
              </w:rPr>
            </w:pPr>
            <w:r>
              <w:rPr>
                <w:sz w:val="20"/>
              </w:rPr>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bidi w:val="0"/>
              <w:spacing w:before="0" w:after="120"/>
              <w:ind w:hanging="0" w:start="252" w:end="144"/>
              <w:jc w:val="start"/>
              <w:rPr/>
            </w:pPr>
            <w:bookmarkStart w:id="148" w:name="_DV_M93"/>
            <w:bookmarkEnd w:id="148"/>
            <w:r>
              <w:rPr>
                <w:rFonts w:ascii="Times New Roman" w:hAnsi="Times New Roman"/>
              </w:rPr>
              <w:t xml:space="preserve">Party A Independent Amount: </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2" w:end="144"/>
              <w:jc w:val="start"/>
              <w:rPr/>
            </w:pPr>
            <w:bookmarkStart w:id="149" w:name="_DV_M94"/>
            <w:bookmarkEnd w:id="149"/>
            <w:r>
              <w:rPr>
                <w:sz w:val="20"/>
              </w:rPr>
              <w:t xml:space="preserve">Party A Rounding Amount: </w:t>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restart"/>
            <w:tcBorders/>
          </w:tcPr>
          <w:p>
            <w:pPr>
              <w:pStyle w:val="Normal"/>
              <w:keepNext w:val="true"/>
              <w:tabs>
                <w:tab w:val="clear" w:pos="720"/>
              </w:tabs>
              <w:bidi w:val="0"/>
              <w:spacing w:before="0" w:after="120"/>
              <w:ind w:hanging="0" w:start="252" w:end="144"/>
              <w:jc w:val="start"/>
              <w:rPr>
                <w:sz w:val="20"/>
              </w:rPr>
            </w:pPr>
            <w:r>
              <w:rPr>
                <w:rStyle w:val="ParaNum"/>
                <w:b w:val="false"/>
                <w:i w:val="false"/>
                <w:sz w:val="20"/>
                <w:u w:val="none"/>
              </w:rPr>
              <w:t>(d)</w:t>
            </w:r>
            <w:r>
              <w:rPr>
                <w:sz w:val="20"/>
              </w:rPr>
              <w:t xml:space="preserve">  Downgrade Event: </w:t>
            </w:r>
          </w:p>
          <w:p>
            <w:pPr>
              <w:pStyle w:val="Normal"/>
              <w:keepNext w:val="true"/>
              <w:tabs>
                <w:tab w:val="clear" w:pos="720"/>
                <w:tab w:val="left" w:pos="702" w:leader="none"/>
              </w:tabs>
              <w:bidi w:val="0"/>
              <w:spacing w:before="0" w:after="120"/>
              <w:ind w:hanging="0" w:start="252" w:end="144"/>
              <w:jc w:val="start"/>
              <w:rPr>
                <w:sz w:val="20"/>
              </w:rPr>
            </w:pPr>
            <w:r>
              <w:rPr>
                <w:sz w:val="20"/>
              </w:rPr>
              <w:t>■</w:t>
            </w:r>
            <w:r>
              <w:rPr>
                <w:sz w:val="20"/>
              </w:rPr>
              <w:tab/>
              <w:t>Not Applicable</w:t>
              <w:br/>
              <w:t></w:t>
              <w:tab/>
              <w:t>Applicable</w:t>
            </w:r>
          </w:p>
          <w:p>
            <w:pPr>
              <w:pStyle w:val="Normal"/>
              <w:keepNext w:val="true"/>
              <w:tabs>
                <w:tab w:val="clear" w:pos="720"/>
                <w:tab w:val="left" w:pos="702" w:leader="none"/>
              </w:tabs>
              <w:bidi w:val="0"/>
              <w:spacing w:before="0" w:after="120"/>
              <w:ind w:hanging="0" w:start="252" w:end="144"/>
              <w:jc w:val="start"/>
              <w:rPr/>
            </w:pPr>
            <w:r>
              <w:rPr>
                <w:sz w:val="20"/>
              </w:rPr>
              <w:t>If applicable, complete the following:</w:t>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continue"/>
            <w:tcBorders/>
          </w:tcPr>
          <w:p>
            <w:pPr>
              <w:pStyle w:val="Normal"/>
              <w:keepNext w:val="true"/>
              <w:tabs>
                <w:tab w:val="clear" w:pos="720"/>
              </w:tabs>
              <w:bidi w:val="0"/>
              <w:spacing w:before="0" w:after="120"/>
              <w:jc w:val="start"/>
              <w:rPr/>
            </w:pPr>
            <w:r>
              <w:rPr/>
            </w:r>
            <w:bookmarkStart w:id="150" w:name="_DV_ZI__10"/>
            <w:bookmarkStart w:id="151" w:name="_DV_ZI__10"/>
            <w:bookmarkEnd w:id="151"/>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152" w:name="_DV_ZI__11"/>
            <w:bookmarkStart w:id="153" w:name="_DV_ZI__11"/>
            <w:bookmarkEnd w:id="153"/>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sz w:val="20"/>
                <w:u w:val="single"/>
              </w:rPr>
            </w:pPr>
            <w:r>
              <w:rPr>
                <w:sz w:val="20"/>
                <w:u w:val="single"/>
              </w:rPr>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54" w:name="_DV_M95"/>
            <w:bookmarkEnd w:id="154"/>
            <w:r>
              <w:rPr>
                <w:sz w:val="20"/>
              </w:rPr>
              <w:t></w:t>
            </w:r>
            <w:r>
              <w:rPr>
                <w:sz w:val="20"/>
              </w:rPr>
              <w:tab/>
              <w:t xml:space="preserve">Other: </w:t>
              <w:br/>
              <w:t>Specify:</w:t>
            </w:r>
            <w:r>
              <w:rPr>
                <w:sz w:val="20"/>
                <w:u w:val="single"/>
              </w:rPr>
              <w:tab/>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55" w:name="_DV_M96"/>
            <w:bookmarkEnd w:id="155"/>
            <w:r>
              <w:rPr>
                <w:rStyle w:val="ParaNum"/>
                <w:b w:val="false"/>
                <w:i w:val="false"/>
                <w:sz w:val="20"/>
                <w:u w:val="none"/>
              </w:rPr>
              <w:t>(e)</w:t>
            </w:r>
            <w:r>
              <w:rPr>
                <w:sz w:val="20"/>
              </w:rPr>
              <w:t xml:space="preserve">  Guarantor for Party A:</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56" w:name="_DV_M97"/>
            <w:bookmarkEnd w:id="156"/>
            <w:r>
              <w:rPr>
                <w:sz w:val="20"/>
              </w:rPr>
              <w:t>Guarantee Amount: $</w:t>
            </w:r>
            <w:bookmarkStart w:id="157" w:name="_DV_C21"/>
            <w:r>
              <w:rPr>
                <w:rStyle w:val="DeltaViewDeletion"/>
                <w:sz w:val="20"/>
              </w:rPr>
              <w:t>____________</w:t>
            </w:r>
            <w:bookmarkEnd w:id="157"/>
            <w:r>
              <w:rPr>
                <w:color w:val="000000"/>
                <w:sz w:val="20"/>
                <w:u w:val="single"/>
              </w:rPr>
              <w:tab/>
              <w:tab/>
              <w:tab/>
              <w:tab/>
              <w:tab/>
            </w:r>
          </w:p>
        </w:tc>
      </w:tr>
      <w:tr>
        <w:trPr/>
        <w:tc>
          <w:tcPr>
            <w:tcW w:w="3707" w:type="dxa"/>
            <w:tcBorders>
              <w:top w:val="single" w:sz="6" w:space="0" w:color="000000"/>
            </w:tcBorders>
          </w:tcPr>
          <w:p>
            <w:pPr>
              <w:pStyle w:val="Normal"/>
              <w:tabs>
                <w:tab w:val="clear" w:pos="720"/>
              </w:tabs>
              <w:bidi w:val="0"/>
              <w:spacing w:before="120" w:after="120"/>
              <w:jc w:val="start"/>
              <w:rPr/>
            </w:pPr>
            <w:bookmarkStart w:id="158" w:name="_DV_M98"/>
            <w:bookmarkEnd w:id="158"/>
            <w:r>
              <w:rPr>
                <w:b/>
                <w:sz w:val="20"/>
                <w:u w:val="single"/>
              </w:rPr>
              <w:t xml:space="preserve">Article </w:t>
            </w:r>
            <w:r>
              <w:rPr>
                <w:rStyle w:val="ParaNum"/>
                <w:i w:val="false"/>
                <w:sz w:val="20"/>
                <w:u w:val="single"/>
              </w:rPr>
              <w:t>10</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159" w:name="_DV_M99"/>
            <w:bookmarkEnd w:id="159"/>
            <w:r>
              <w:rPr>
                <w:sz w:val="20"/>
              </w:rPr>
              <w:t>Confidentiality</w:t>
            </w:r>
          </w:p>
        </w:tc>
        <w:tc>
          <w:tcPr>
            <w:tcW w:w="5940" w:type="dxa"/>
            <w:tcBorders/>
          </w:tcPr>
          <w:p>
            <w:pPr>
              <w:pStyle w:val="Normal"/>
              <w:tabs>
                <w:tab w:val="clear" w:pos="720"/>
                <w:tab w:val="left" w:pos="252" w:leader="none"/>
              </w:tabs>
              <w:bidi w:val="0"/>
              <w:spacing w:before="0" w:after="120"/>
              <w:ind w:hanging="0" w:start="252" w:end="144"/>
              <w:jc w:val="start"/>
              <w:rPr/>
            </w:pPr>
            <w:bookmarkStart w:id="160" w:name="_DV_M100"/>
            <w:bookmarkEnd w:id="160"/>
            <w:r>
              <w:rPr>
                <w:sz w:val="20"/>
              </w:rPr>
              <w:t xml:space="preserve">■  </w:t>
            </w:r>
            <w:r>
              <w:rPr>
                <w:sz w:val="20"/>
              </w:rPr>
              <w:t>Confidentiality Applicable</w:t>
              <w:tab/>
              <w:t>If not checked, inapplicable.</w:t>
            </w:r>
          </w:p>
        </w:tc>
      </w:tr>
      <w:tr>
        <w:trPr/>
        <w:tc>
          <w:tcPr>
            <w:tcW w:w="3707" w:type="dxa"/>
            <w:tcBorders>
              <w:top w:val="single" w:sz="4" w:space="0" w:color="000000"/>
            </w:tcBorders>
          </w:tcPr>
          <w:p>
            <w:pPr>
              <w:pStyle w:val="Normal"/>
              <w:tabs>
                <w:tab w:val="clear" w:pos="720"/>
              </w:tabs>
              <w:bidi w:val="0"/>
              <w:jc w:val="start"/>
              <w:rPr/>
            </w:pPr>
            <w:bookmarkStart w:id="161" w:name="_DV_M101"/>
            <w:bookmarkEnd w:id="161"/>
            <w:r>
              <w:rPr>
                <w:b/>
                <w:sz w:val="20"/>
                <w:u w:val="single"/>
              </w:rPr>
              <w:t>Schedule M</w:t>
            </w:r>
          </w:p>
        </w:tc>
        <w:tc>
          <w:tcPr>
            <w:tcW w:w="5940" w:type="dxa"/>
            <w:tcBorders>
              <w:top w:val="single" w:sz="4" w:space="0" w:color="000000"/>
            </w:tcBorders>
          </w:tcPr>
          <w:p>
            <w:pPr>
              <w:pStyle w:val="Normal"/>
              <w:tabs>
                <w:tab w:val="clear" w:pos="720"/>
              </w:tabs>
              <w:bidi w:val="0"/>
              <w:ind w:hanging="0" w:start="252" w:end="144"/>
              <w:jc w:val="start"/>
              <w:rPr/>
            </w:pPr>
            <w:bookmarkStart w:id="162" w:name="_DV_M102"/>
            <w:bookmarkEnd w:id="162"/>
            <w:r>
              <w:rPr>
                <w:sz w:val="20"/>
              </w:rPr>
              <w:t xml:space="preserve">  </w:t>
            </w:r>
            <w:r>
              <w:rPr>
                <w:sz w:val="20"/>
              </w:rPr>
              <w:t>Party A is a Governmental Entity or Public Power System</w:t>
            </w:r>
          </w:p>
        </w:tc>
      </w:tr>
      <w:tr>
        <w:trPr/>
        <w:tc>
          <w:tcPr>
            <w:tcW w:w="3707" w:type="dxa"/>
            <w:tcBorders/>
          </w:tcPr>
          <w:p>
            <w:pPr>
              <w:pStyle w:val="Normal"/>
              <w:tabs>
                <w:tab w:val="clear" w:pos="720"/>
              </w:tabs>
              <w:bidi w:val="0"/>
              <w:jc w:val="start"/>
              <w:rPr/>
            </w:pPr>
            <w:r>
              <w:rPr/>
            </w:r>
          </w:p>
        </w:tc>
        <w:tc>
          <w:tcPr>
            <w:tcW w:w="5940" w:type="dxa"/>
            <w:tcBorders/>
          </w:tcPr>
          <w:p>
            <w:pPr>
              <w:pStyle w:val="Normal"/>
              <w:tabs>
                <w:tab w:val="clear" w:pos="720"/>
              </w:tabs>
              <w:bidi w:val="0"/>
              <w:ind w:hanging="0" w:start="252" w:end="144"/>
              <w:jc w:val="start"/>
              <w:rPr/>
            </w:pPr>
            <w:bookmarkStart w:id="163" w:name="_DV_M103"/>
            <w:bookmarkEnd w:id="163"/>
            <w:r>
              <w:rPr>
                <w:sz w:val="20"/>
              </w:rPr>
              <w:t xml:space="preserve">■  </w:t>
            </w:r>
            <w:r>
              <w:rPr>
                <w:sz w:val="20"/>
              </w:rPr>
              <w:t>Party B is a Governmental Entity or Public Power System</w:t>
            </w:r>
          </w:p>
        </w:tc>
      </w:tr>
      <w:tr>
        <w:trPr/>
        <w:tc>
          <w:tcPr>
            <w:tcW w:w="3707" w:type="dxa"/>
            <w:tcBorders/>
          </w:tcPr>
          <w:p>
            <w:pPr>
              <w:pStyle w:val="Normal"/>
              <w:bidi w:val="0"/>
              <w:jc w:val="start"/>
              <w:rPr>
                <w:sz w:val="20"/>
              </w:rPr>
            </w:pPr>
            <w:r>
              <w:rPr>
                <w:sz w:val="20"/>
              </w:rPr>
            </w:r>
          </w:p>
        </w:tc>
        <w:tc>
          <w:tcPr>
            <w:tcW w:w="5940" w:type="dxa"/>
            <w:tcBorders/>
          </w:tcPr>
          <w:p>
            <w:pPr>
              <w:pStyle w:val="Normal"/>
              <w:bidi w:val="0"/>
              <w:ind w:hanging="0" w:start="252" w:end="144"/>
              <w:jc w:val="start"/>
              <w:rPr/>
            </w:pPr>
            <w:bookmarkStart w:id="164" w:name="_DV_M104"/>
            <w:bookmarkEnd w:id="164"/>
            <w:r>
              <w:rPr>
                <w:sz w:val="20"/>
              </w:rPr>
              <w:t xml:space="preserve">  </w:t>
            </w:r>
            <w:r>
              <w:rPr>
                <w:sz w:val="20"/>
              </w:rPr>
              <w:t>Add Section 3.6.  If not checked, inapplicable</w:t>
            </w:r>
          </w:p>
        </w:tc>
      </w:tr>
      <w:tr>
        <w:trPr/>
        <w:tc>
          <w:tcPr>
            <w:tcW w:w="3707" w:type="dxa"/>
            <w:tcBorders/>
          </w:tcPr>
          <w:p>
            <w:pPr>
              <w:pStyle w:val="Normal"/>
              <w:bidi w:val="0"/>
              <w:spacing w:before="0" w:after="60"/>
              <w:jc w:val="start"/>
              <w:rPr>
                <w:sz w:val="20"/>
              </w:rPr>
            </w:pPr>
            <w:r>
              <w:rPr>
                <w:sz w:val="20"/>
              </w:rPr>
            </w:r>
          </w:p>
        </w:tc>
        <w:tc>
          <w:tcPr>
            <w:tcW w:w="5940" w:type="dxa"/>
            <w:tcBorders/>
          </w:tcPr>
          <w:p>
            <w:pPr>
              <w:pStyle w:val="Normal"/>
              <w:bidi w:val="0"/>
              <w:spacing w:before="0" w:after="60"/>
              <w:ind w:hanging="0" w:start="252" w:end="144"/>
              <w:jc w:val="start"/>
              <w:rPr>
                <w:sz w:val="20"/>
              </w:rPr>
            </w:pPr>
            <w:bookmarkStart w:id="165" w:name="_DV_M105"/>
            <w:bookmarkEnd w:id="165"/>
            <w:r>
              <w:rPr>
                <w:sz w:val="20"/>
              </w:rPr>
              <w:t xml:space="preserve">  </w:t>
            </w:r>
            <w:r>
              <w:rPr>
                <w:sz w:val="20"/>
              </w:rPr>
              <w:t>Add Section 8.6.  If not checked, inapplicable</w:t>
            </w:r>
          </w:p>
          <w:p>
            <w:pPr>
              <w:pStyle w:val="Normal"/>
              <w:bidi w:val="0"/>
              <w:spacing w:before="0" w:after="60"/>
              <w:ind w:hanging="0" w:start="252" w:end="144"/>
              <w:jc w:val="start"/>
              <w:rPr/>
            </w:pPr>
            <w:r>
              <w:rPr/>
            </w:r>
            <w:bookmarkStart w:id="166" w:name="_DV_IPM12"/>
            <w:bookmarkStart w:id="167" w:name="_DV_IPM12"/>
            <w:bookmarkEnd w:id="167"/>
          </w:p>
        </w:tc>
      </w:tr>
      <w:tr>
        <w:trPr/>
        <w:tc>
          <w:tcPr>
            <w:tcW w:w="3707" w:type="dxa"/>
            <w:tcBorders/>
          </w:tcPr>
          <w:p>
            <w:pPr>
              <w:pStyle w:val="Normal"/>
              <w:keepNext w:val="true"/>
              <w:tabs>
                <w:tab w:val="clear" w:pos="720"/>
                <w:tab w:val="right" w:pos="3060" w:leader="none"/>
              </w:tabs>
              <w:bidi w:val="0"/>
              <w:spacing w:before="0" w:after="120"/>
              <w:jc w:val="start"/>
              <w:rPr/>
            </w:pPr>
            <w:bookmarkStart w:id="168" w:name="_DV_M106"/>
            <w:bookmarkEnd w:id="168"/>
            <w:r>
              <w:rPr>
                <w:b/>
                <w:sz w:val="20"/>
                <w:u w:val="single"/>
              </w:rPr>
              <w:t>Other Changes</w:t>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bidi w:val="0"/>
              <w:spacing w:before="0" w:after="120"/>
              <w:ind w:hanging="0" w:start="252" w:end="144"/>
              <w:jc w:val="start"/>
              <w:rPr/>
            </w:pPr>
            <w:bookmarkStart w:id="169" w:name="_DV_M107"/>
            <w:bookmarkEnd w:id="169"/>
            <w:r>
              <w:rPr>
                <w:rFonts w:ascii="Times New Roman" w:hAnsi="Times New Roman"/>
              </w:rPr>
              <w:t>Specify, if any: Yes, the following changes shall be applicable:</w:t>
            </w:r>
          </w:p>
        </w:tc>
      </w:tr>
    </w:tbl>
    <w:p>
      <w:pPr>
        <w:pStyle w:val="Normal"/>
        <w:bidi w:val="0"/>
        <w:jc w:val="start"/>
        <w:rPr>
          <w:color w:val="000000"/>
          <w:sz w:val="20"/>
        </w:rPr>
      </w:pPr>
      <w:bookmarkStart w:id="170" w:name="_DV_M108"/>
      <w:bookmarkEnd w:id="170"/>
      <w:r>
        <w:rPr>
          <w:b/>
          <w:color w:val="000000"/>
          <w:sz w:val="20"/>
        </w:rPr>
        <w:t>(a)  Definitions</w:t>
      </w:r>
      <w:r>
        <w:rPr>
          <w:color w:val="000000"/>
          <w:sz w:val="20"/>
        </w:rPr>
        <w:t>.</w:t>
      </w:r>
    </w:p>
    <w:p>
      <w:pPr>
        <w:pStyle w:val="Normal"/>
        <w:bidi w:val="0"/>
        <w:jc w:val="start"/>
        <w:rPr>
          <w:b/>
          <w:color w:val="000000"/>
          <w:sz w:val="20"/>
        </w:rPr>
      </w:pPr>
      <w:r>
        <w:rPr>
          <w:b/>
          <w:color w:val="000000"/>
          <w:sz w:val="20"/>
        </w:rPr>
      </w:r>
    </w:p>
    <w:p>
      <w:pPr>
        <w:pStyle w:val="Normal"/>
        <w:bidi w:val="0"/>
        <w:jc w:val="start"/>
        <w:rPr>
          <w:color w:val="000000"/>
          <w:sz w:val="20"/>
        </w:rPr>
      </w:pPr>
      <w:bookmarkStart w:id="171" w:name="_DV_M109"/>
      <w:bookmarkEnd w:id="171"/>
      <w:r>
        <w:rPr>
          <w:color w:val="000000"/>
          <w:sz w:val="20"/>
        </w:rPr>
        <w:t>(1)  Section 1.11 is amended by adding the following sentence at the end of the current definition:  “The Non-Defaulting Party shall use commercially reasonable efforts to mitigate</w:t>
      </w:r>
      <w:bookmarkStart w:id="172" w:name="_DV_M110"/>
      <w:r>
        <w:rPr>
          <w:rStyle w:val="DeltaViewDeletion"/>
          <w:sz w:val="20"/>
        </w:rPr>
        <w:t xml:space="preserve"> or eliminate</w:t>
      </w:r>
      <w:bookmarkStart w:id="173" w:name="_DV_C22"/>
      <w:bookmarkEnd w:id="172"/>
      <w:bookmarkEnd w:id="173"/>
      <w:r>
        <w:rPr>
          <w:color w:val="000000"/>
          <w:sz w:val="20"/>
        </w:rPr>
        <w:t xml:space="preserve"> these Costs.”</w:t>
      </w:r>
    </w:p>
    <w:p>
      <w:pPr>
        <w:pStyle w:val="Normal"/>
        <w:bidi w:val="0"/>
        <w:jc w:val="start"/>
        <w:rPr>
          <w:color w:val="000000"/>
          <w:sz w:val="20"/>
        </w:rPr>
      </w:pPr>
      <w:r>
        <w:rPr>
          <w:color w:val="000000"/>
          <w:sz w:val="20"/>
        </w:rPr>
      </w:r>
    </w:p>
    <w:p>
      <w:pPr>
        <w:pStyle w:val="Normal"/>
        <w:widowControl w:val="false"/>
        <w:tabs>
          <w:tab w:val="clear" w:pos="720"/>
          <w:tab w:val="left" w:pos="334" w:leader="none"/>
        </w:tabs>
        <w:bidi w:val="0"/>
        <w:jc w:val="both"/>
        <w:rPr>
          <w:color w:val="000000"/>
          <w:sz w:val="20"/>
        </w:rPr>
      </w:pPr>
      <w:bookmarkStart w:id="174" w:name="_DV_M111"/>
      <w:bookmarkEnd w:id="174"/>
      <w:r>
        <w:rPr>
          <w:color w:val="000000"/>
          <w:sz w:val="20"/>
        </w:rPr>
        <w:t>(2)</w:t>
        <w:tab/>
        <w:t>Section 1.51, “Replacement Price” shall be amended on the fifth line by deleting the phrase “at Buyer’s option” and inserting the following phrase: “absent a purchase”.</w:t>
      </w:r>
    </w:p>
    <w:p>
      <w:pPr>
        <w:pStyle w:val="BodyTextIndent2"/>
        <w:bidi w:val="0"/>
        <w:rPr>
          <w:rFonts w:ascii="Times New Roman" w:hAnsi="Times New Roman"/>
          <w:color w:val="000000"/>
        </w:rPr>
      </w:pPr>
      <w:r>
        <w:rPr>
          <w:color w:val="000000"/>
        </w:rPr>
      </w:r>
    </w:p>
    <w:p>
      <w:pPr>
        <w:pStyle w:val="Normal"/>
        <w:widowControl w:val="false"/>
        <w:tabs>
          <w:tab w:val="clear" w:pos="720"/>
          <w:tab w:val="left" w:pos="334" w:leader="none"/>
        </w:tabs>
        <w:bidi w:val="0"/>
        <w:jc w:val="both"/>
        <w:rPr>
          <w:color w:val="000000"/>
          <w:sz w:val="20"/>
        </w:rPr>
      </w:pPr>
      <w:bookmarkStart w:id="175" w:name="_DV_M112"/>
      <w:bookmarkEnd w:id="175"/>
      <w:r>
        <w:rPr>
          <w:color w:val="000000"/>
          <w:sz w:val="20"/>
        </w:rPr>
        <w:t>(3)</w:t>
        <w:tab/>
        <w:t xml:space="preserve">Section 1.53, “Sales Price” shall be amended on the fifth line </w:t>
      </w:r>
      <w:bookmarkStart w:id="176" w:name="_DV_M113"/>
      <w:r>
        <w:rPr>
          <w:rStyle w:val="DeltaViewDeletion"/>
          <w:sz w:val="20"/>
        </w:rPr>
        <w:t xml:space="preserve">of </w:t>
      </w:r>
      <w:bookmarkStart w:id="177" w:name="_DV_C23"/>
      <w:bookmarkEnd w:id="176"/>
      <w:bookmarkEnd w:id="177"/>
      <w:r>
        <w:rPr>
          <w:color w:val="000000"/>
          <w:sz w:val="20"/>
        </w:rPr>
        <w:t>by deleting the phrase “at Seller’s option” and inserting the following phrase: “absent a sale”.</w:t>
      </w:r>
    </w:p>
    <w:p>
      <w:pPr>
        <w:pStyle w:val="Normal"/>
        <w:widowControl w:val="false"/>
        <w:tabs>
          <w:tab w:val="clear" w:pos="720"/>
          <w:tab w:val="left" w:pos="334" w:leader="none"/>
        </w:tabs>
        <w:bidi w:val="0"/>
        <w:jc w:val="both"/>
        <w:rPr>
          <w:color w:val="000000"/>
          <w:sz w:val="20"/>
        </w:rPr>
      </w:pPr>
      <w:r>
        <w:rPr>
          <w:color w:val="000000"/>
          <w:sz w:val="20"/>
        </w:rPr>
      </w:r>
    </w:p>
    <w:p>
      <w:pPr>
        <w:pStyle w:val="Normal"/>
        <w:widowControl w:val="false"/>
        <w:tabs>
          <w:tab w:val="clear" w:pos="720"/>
          <w:tab w:val="left" w:pos="334" w:leader="none"/>
        </w:tabs>
        <w:bidi w:val="0"/>
        <w:jc w:val="both"/>
        <w:rPr>
          <w:color w:val="000000"/>
          <w:sz w:val="20"/>
        </w:rPr>
      </w:pPr>
      <w:bookmarkStart w:id="178" w:name="_DV_C24"/>
      <w:r>
        <w:rPr>
          <w:rStyle w:val="DeltaViewDeletion"/>
          <w:sz w:val="20"/>
        </w:rPr>
        <w:t>(4)</w:t>
        <w:tab/>
        <w:t>Section 1.46 “Potential Event of Default” is deleted.</w:t>
      </w:r>
      <w:bookmarkEnd w:id="178"/>
    </w:p>
    <w:p>
      <w:pPr>
        <w:pStyle w:val="Normal"/>
        <w:widowControl w:val="false"/>
        <w:tabs>
          <w:tab w:val="clear" w:pos="720"/>
          <w:tab w:val="left" w:pos="334" w:leader="none"/>
        </w:tabs>
        <w:bidi w:val="0"/>
        <w:jc w:val="both"/>
        <w:rPr>
          <w:color w:val="000000"/>
          <w:sz w:val="20"/>
        </w:rPr>
      </w:pPr>
      <w:r>
        <w:rPr>
          <w:color w:val="000000"/>
          <w:sz w:val="20"/>
        </w:rPr>
      </w:r>
    </w:p>
    <w:p>
      <w:pPr>
        <w:pStyle w:val="Normal"/>
        <w:widowControl w:val="false"/>
        <w:tabs>
          <w:tab w:val="clear" w:pos="720"/>
          <w:tab w:val="left" w:pos="334" w:leader="none"/>
        </w:tabs>
        <w:bidi w:val="0"/>
        <w:jc w:val="both"/>
        <w:rPr>
          <w:color w:val="000000"/>
          <w:sz w:val="20"/>
        </w:rPr>
      </w:pPr>
      <w:bookmarkStart w:id="179" w:name="_DV_C26"/>
      <w:r>
        <w:rPr>
          <w:rStyle w:val="DeltaViewDeletion"/>
          <w:sz w:val="20"/>
        </w:rPr>
        <w:t xml:space="preserve">(5) </w:t>
      </w:r>
      <w:bookmarkStart w:id="180" w:name="_DV_C25"/>
      <w:bookmarkEnd w:id="179"/>
      <w:r>
        <w:rPr>
          <w:rStyle w:val="DeltaViewInsertion"/>
          <w:sz w:val="20"/>
        </w:rPr>
        <w:t xml:space="preserve">(4) </w:t>
      </w:r>
      <w:bookmarkStart w:id="181" w:name="_DV_C26_Copy_1"/>
      <w:bookmarkEnd w:id="180"/>
      <w:bookmarkEnd w:id="181"/>
      <w:r>
        <w:rPr>
          <w:color w:val="000000"/>
          <w:sz w:val="20"/>
        </w:rPr>
        <w:t>Sections 1.6, 1.24, 1.28, 1.33, 1.34, 1.35, 1.36, 1.43, 1.44, 1.48 and 1.56 are amended by deleting the text in each of such sections and substituting therefor “[Intentionally omitted.]”</w:t>
      </w:r>
    </w:p>
    <w:p>
      <w:pPr>
        <w:pStyle w:val="Normal"/>
        <w:bidi w:val="0"/>
        <w:jc w:val="start"/>
        <w:rPr>
          <w:color w:val="000000"/>
          <w:sz w:val="20"/>
        </w:rPr>
      </w:pPr>
      <w:r>
        <w:rPr>
          <w:color w:val="000000"/>
          <w:sz w:val="20"/>
        </w:rPr>
      </w:r>
    </w:p>
    <w:p>
      <w:pPr>
        <w:pStyle w:val="BodyTextIndent2"/>
        <w:bidi w:val="0"/>
        <w:spacing w:before="0" w:after="0"/>
        <w:ind w:hanging="0" w:start="0"/>
        <w:rPr>
          <w:rFonts w:ascii="Times New Roman" w:hAnsi="Times New Roman"/>
          <w:color w:val="000000"/>
        </w:rPr>
      </w:pPr>
      <w:bookmarkStart w:id="182" w:name="_DV_M115"/>
      <w:bookmarkEnd w:id="182"/>
      <w:r>
        <w:rPr>
          <w:color w:val="000000"/>
        </w:rPr>
        <w:t>(</w:t>
      </w:r>
      <w:bookmarkStart w:id="183" w:name="_DV_C28"/>
      <w:r>
        <w:rPr>
          <w:rStyle w:val="DeltaViewDeletion"/>
        </w:rPr>
        <w:t>6</w:t>
      </w:r>
      <w:bookmarkStart w:id="184" w:name="_DV_C27"/>
      <w:bookmarkEnd w:id="183"/>
      <w:r>
        <w:rPr>
          <w:rStyle w:val="DeltaViewInsertion"/>
        </w:rPr>
        <w:t>5</w:t>
      </w:r>
      <w:bookmarkStart w:id="185" w:name="_DV_C28_Copy_1"/>
      <w:bookmarkEnd w:id="184"/>
      <w:bookmarkEnd w:id="185"/>
      <w:r>
        <w:rPr>
          <w:color w:val="000000"/>
        </w:rPr>
        <w:t>) Section 1.59 is amended by changing “Section 5.3” to “Section 5.2.”</w:t>
      </w:r>
    </w:p>
    <w:p>
      <w:pPr>
        <w:pStyle w:val="BodyTextIndent2"/>
        <w:bidi w:val="0"/>
        <w:spacing w:before="0" w:after="0"/>
        <w:ind w:hanging="0" w:start="0"/>
        <w:rPr>
          <w:rFonts w:ascii="Times New Roman" w:hAnsi="Times New Roman"/>
          <w:color w:val="000000"/>
        </w:rPr>
      </w:pPr>
      <w:r>
        <w:rPr>
          <w:color w:val="000000"/>
        </w:rPr>
      </w:r>
    </w:p>
    <w:p>
      <w:pPr>
        <w:pStyle w:val="BodyTextIndent2"/>
        <w:bidi w:val="0"/>
        <w:ind w:hanging="0" w:start="0"/>
        <w:rPr>
          <w:rFonts w:ascii="Times New Roman" w:hAnsi="Times New Roman"/>
          <w:color w:val="000000"/>
        </w:rPr>
      </w:pPr>
      <w:bookmarkStart w:id="186" w:name="_DV_M117"/>
      <w:bookmarkEnd w:id="186"/>
      <w:r>
        <w:rPr>
          <w:color w:val="000000"/>
        </w:rPr>
        <w:t>(</w:t>
      </w:r>
      <w:bookmarkStart w:id="187" w:name="_DV_C30"/>
      <w:r>
        <w:rPr>
          <w:rStyle w:val="DeltaViewDeletion"/>
        </w:rPr>
        <w:t>7</w:t>
      </w:r>
      <w:bookmarkStart w:id="188" w:name="_DV_C29"/>
      <w:bookmarkEnd w:id="187"/>
      <w:r>
        <w:rPr>
          <w:rStyle w:val="DeltaViewInsertion"/>
        </w:rPr>
        <w:t>6</w:t>
      </w:r>
      <w:bookmarkStart w:id="189" w:name="_DV_C30_Copy_1"/>
      <w:bookmarkEnd w:id="188"/>
      <w:bookmarkEnd w:id="189"/>
      <w:r>
        <w:rPr>
          <w:color w:val="000000"/>
        </w:rPr>
        <w:t xml:space="preserve">)  Sections 1.62 through </w:t>
      </w:r>
      <w:bookmarkStart w:id="190" w:name="_DV_C32"/>
      <w:r>
        <w:rPr>
          <w:rStyle w:val="DeltaViewDeletion"/>
        </w:rPr>
        <w:t>1.69</w:t>
      </w:r>
      <w:bookmarkStart w:id="191" w:name="_DV_C31"/>
      <w:bookmarkEnd w:id="190"/>
      <w:r>
        <w:rPr>
          <w:rStyle w:val="DeltaViewInsertion"/>
        </w:rPr>
        <w:t>1.71</w:t>
      </w:r>
      <w:bookmarkStart w:id="192" w:name="_DV_C32_Copy_1"/>
      <w:bookmarkEnd w:id="191"/>
      <w:bookmarkEnd w:id="192"/>
      <w:r>
        <w:rPr>
          <w:color w:val="000000"/>
        </w:rPr>
        <w:t xml:space="preserve"> are added to Article One as follows:</w:t>
      </w:r>
    </w:p>
    <w:p>
      <w:pPr>
        <w:pStyle w:val="Normal"/>
        <w:tabs>
          <w:tab w:val="clear" w:pos="720"/>
          <w:tab w:val="left" w:pos="1440" w:leader="none"/>
        </w:tabs>
        <w:bidi w:val="0"/>
        <w:spacing w:before="0" w:after="120"/>
        <w:ind w:hanging="446" w:start="720"/>
        <w:jc w:val="both"/>
        <w:rPr>
          <w:color w:val="000000"/>
          <w:sz w:val="20"/>
        </w:rPr>
      </w:pPr>
      <w:bookmarkStart w:id="193" w:name="_DV_IPM13"/>
      <w:bookmarkStart w:id="194" w:name="_DV_C33"/>
      <w:bookmarkEnd w:id="194"/>
      <w:r>
        <w:rPr>
          <w:rStyle w:val="DeltaViewInsertion"/>
          <w:sz w:val="20"/>
        </w:rPr>
        <w:t>1.62 “CDWR Revenue Order” means CPUC Decision D.01-03-009, or any successor thereto.</w:t>
      </w:r>
      <w:bookmarkEnd w:id="193"/>
    </w:p>
    <w:p>
      <w:pPr>
        <w:pStyle w:val="Normal"/>
        <w:tabs>
          <w:tab w:val="clear" w:pos="720"/>
          <w:tab w:val="left" w:pos="1440" w:leader="none"/>
        </w:tabs>
        <w:bidi w:val="0"/>
        <w:spacing w:before="0" w:after="120"/>
        <w:ind w:hanging="446" w:start="720"/>
        <w:jc w:val="both"/>
        <w:rPr>
          <w:color w:val="000000"/>
          <w:sz w:val="20"/>
        </w:rPr>
      </w:pPr>
      <w:bookmarkStart w:id="195" w:name="_DV_C35"/>
      <w:r>
        <w:rPr>
          <w:rStyle w:val="DeltaViewDeletion"/>
          <w:sz w:val="20"/>
        </w:rPr>
        <w:t>1.62</w:t>
      </w:r>
      <w:bookmarkStart w:id="196" w:name="_DV_C34"/>
      <w:bookmarkEnd w:id="195"/>
      <w:r>
        <w:rPr>
          <w:rStyle w:val="DeltaViewInsertion"/>
          <w:sz w:val="20"/>
        </w:rPr>
        <w:t>1.63</w:t>
      </w:r>
      <w:bookmarkStart w:id="197" w:name="_DV_C35_Copy_1"/>
      <w:bookmarkEnd w:id="196"/>
      <w:bookmarkEnd w:id="197"/>
      <w:r>
        <w:rPr>
          <w:color w:val="000000"/>
          <w:sz w:val="20"/>
        </w:rPr>
        <w:t xml:space="preserve"> “</w:t>
      </w:r>
      <w:r>
        <w:rPr>
          <w:color w:val="000000"/>
          <w:sz w:val="20"/>
          <w:u w:val="single"/>
        </w:rPr>
        <w:t>Fund</w:t>
      </w:r>
      <w:r>
        <w:rPr>
          <w:color w:val="000000"/>
          <w:sz w:val="20"/>
        </w:rPr>
        <w:t>” means the Department of Water Resources Electric Power Fund established by Section 80200 of the Water Code.</w:t>
      </w:r>
    </w:p>
    <w:p>
      <w:pPr>
        <w:pStyle w:val="BodyText"/>
        <w:bidi w:val="0"/>
        <w:ind w:hanging="450" w:start="720"/>
        <w:jc w:val="both"/>
        <w:rPr>
          <w:rFonts w:ascii="Times New Roman" w:hAnsi="Times New Roman"/>
          <w:color w:val="000000"/>
        </w:rPr>
      </w:pPr>
      <w:bookmarkStart w:id="198" w:name="_DV_C37"/>
      <w:r>
        <w:rPr>
          <w:rStyle w:val="DeltaViewDeletion"/>
        </w:rPr>
        <w:t>1.63</w:t>
      </w:r>
      <w:bookmarkStart w:id="199" w:name="_DV_C36"/>
      <w:bookmarkEnd w:id="198"/>
      <w:r>
        <w:rPr>
          <w:rStyle w:val="DeltaViewInsertion"/>
        </w:rPr>
        <w:t>1.64</w:t>
      </w:r>
      <w:bookmarkStart w:id="200" w:name="_DV_C37_Copy_1"/>
      <w:bookmarkEnd w:id="199"/>
      <w:bookmarkEnd w:id="200"/>
      <w:r>
        <w:rPr>
          <w:color w:val="000000"/>
        </w:rPr>
        <w:t xml:space="preserve"> “</w:t>
      </w:r>
      <w:r>
        <w:rPr>
          <w:color w:val="000000"/>
          <w:u w:val="single"/>
        </w:rPr>
        <w:t>Market Quotation Average Price</w:t>
      </w:r>
      <w:r>
        <w:rPr>
          <w:color w:val="000000"/>
        </w:rPr>
        <w:t>” shall mean the average of the good faith quotations solicited from not less than three (3) Reference Market-makers; provided, however, that the Party soliciting such quotations shall use commercially reasonable efforts to obtain good faith quotations from at least five (5) Reference Market-makers and, if at least five (5) such quotations are obtained, the Market Quotation Average Price shall be determined disregarding the highest and lowest quotations.</w:t>
      </w:r>
    </w:p>
    <w:p>
      <w:pPr>
        <w:pStyle w:val="BodyText"/>
        <w:bidi w:val="0"/>
        <w:ind w:hanging="450" w:start="720"/>
        <w:jc w:val="both"/>
        <w:rPr>
          <w:rFonts w:ascii="Times New Roman" w:hAnsi="Times New Roman"/>
          <w:color w:val="000000"/>
        </w:rPr>
      </w:pPr>
      <w:bookmarkStart w:id="201" w:name="_DV_C39"/>
      <w:r>
        <w:rPr>
          <w:rStyle w:val="DeltaViewDeletion"/>
        </w:rPr>
        <w:t xml:space="preserve">1.64   </w:t>
      </w:r>
      <w:bookmarkStart w:id="202" w:name="_DV_C38"/>
      <w:bookmarkEnd w:id="201"/>
      <w:r>
        <w:rPr>
          <w:rStyle w:val="DeltaViewInsertion"/>
        </w:rPr>
        <w:t xml:space="preserve">1.65  </w:t>
      </w:r>
      <w:bookmarkStart w:id="203" w:name="_DV_C39_Copy_1"/>
      <w:bookmarkEnd w:id="202"/>
      <w:bookmarkEnd w:id="203"/>
      <w:r>
        <w:rPr>
          <w:color w:val="000000"/>
        </w:rPr>
        <w:t>“</w:t>
      </w:r>
      <w:r>
        <w:rPr>
          <w:color w:val="000000"/>
          <w:u w:val="single"/>
        </w:rPr>
        <w:t>Market Value</w:t>
      </w:r>
      <w:r>
        <w:rPr>
          <w:color w:val="000000"/>
        </w:rPr>
        <w:t>” shall have the meaning set forth in Section 5.3.</w:t>
      </w:r>
    </w:p>
    <w:p>
      <w:pPr>
        <w:pStyle w:val="BodyText"/>
        <w:bidi w:val="0"/>
        <w:ind w:hanging="450" w:start="720"/>
        <w:jc w:val="both"/>
        <w:rPr>
          <w:rFonts w:ascii="Times New Roman" w:hAnsi="Times New Roman"/>
          <w:color w:val="000000"/>
        </w:rPr>
      </w:pPr>
      <w:bookmarkStart w:id="204" w:name="_DV_IPM14"/>
      <w:bookmarkStart w:id="205" w:name="_DV_C40"/>
      <w:bookmarkEnd w:id="205"/>
      <w:r>
        <w:rPr>
          <w:rStyle w:val="DeltaViewInsertion"/>
        </w:rPr>
        <w:t xml:space="preserve">1.66 “Material Regulatory Change” means any amendment, modification, nullification, suspension or other change in or affecting applicable [federal], California state or local law (including any law, rule, regulation, ordinance, order (including the CDWR Revenue Order), interpretation, judgment, decree, directive, policy or similar decision of any [federal], California state or local governmental authority), with or without the consent of Party B, or any determination or action by Party B, the CPUC, a court of competent jurisdiction, voter initiative or any [federal], California state or local governmental authority (including, without limitation, any revenue requirement determination or CPUC rate implementation plan relating thereto as contemplated by the Water Code) that results in (i) a material adverse effect upon the ability of Party B to satisfy its obligations to pay for power supplied or to be supplied to Party B under this Agreement or any other power purchase agreement (including any applicable termination payments thereunder) or (ii) the performance by either Party A or Party B of its obligations under this Agreement becoming illegal or unenforceable.  [Need to discuss impact of federal Material Regulatory Change.] </w:t>
      </w:r>
      <w:bookmarkEnd w:id="204"/>
    </w:p>
    <w:p>
      <w:pPr>
        <w:pStyle w:val="BodyText"/>
        <w:bidi w:val="0"/>
        <w:ind w:hanging="450" w:start="720"/>
        <w:jc w:val="both"/>
        <w:rPr>
          <w:rFonts w:ascii="Times New Roman" w:hAnsi="Times New Roman"/>
          <w:color w:val="000000"/>
        </w:rPr>
      </w:pPr>
      <w:bookmarkStart w:id="206" w:name="_DV_C42"/>
      <w:r>
        <w:rPr>
          <w:rStyle w:val="DeltaViewDeletion"/>
        </w:rPr>
        <w:t xml:space="preserve">1.65   </w:t>
      </w:r>
      <w:bookmarkStart w:id="207" w:name="_DV_C41"/>
      <w:bookmarkEnd w:id="206"/>
      <w:r>
        <w:rPr>
          <w:rStyle w:val="DeltaViewInsertion"/>
        </w:rPr>
        <w:t xml:space="preserve">1.67  </w:t>
      </w:r>
      <w:bookmarkStart w:id="208" w:name="_DV_C42_Copy_1"/>
      <w:bookmarkEnd w:id="207"/>
      <w:bookmarkEnd w:id="208"/>
      <w:r>
        <w:rPr>
          <w:color w:val="000000"/>
        </w:rPr>
        <w:t>“</w:t>
      </w:r>
      <w:r>
        <w:rPr>
          <w:color w:val="000000"/>
          <w:u w:val="single"/>
        </w:rPr>
        <w:t>Per Unit Market Price</w:t>
      </w:r>
      <w:r>
        <w:rPr>
          <w:color w:val="000000"/>
        </w:rPr>
        <w:t>” means the applicable price per MWh determined in accordance with Section 5.3.</w:t>
      </w:r>
    </w:p>
    <w:p>
      <w:pPr>
        <w:pStyle w:val="BodyText"/>
        <w:bidi w:val="0"/>
        <w:ind w:hanging="450" w:start="720"/>
        <w:jc w:val="both"/>
        <w:rPr>
          <w:rFonts w:ascii="Times New Roman" w:hAnsi="Times New Roman"/>
          <w:color w:val="000000"/>
        </w:rPr>
      </w:pPr>
      <w:bookmarkStart w:id="209" w:name="_DV_C44"/>
      <w:r>
        <w:rPr>
          <w:rStyle w:val="DeltaViewDeletion"/>
        </w:rPr>
        <w:t xml:space="preserve">1.66   </w:t>
      </w:r>
      <w:bookmarkStart w:id="210" w:name="_DV_C43"/>
      <w:bookmarkEnd w:id="209"/>
      <w:r>
        <w:rPr>
          <w:rStyle w:val="DeltaViewInsertion"/>
        </w:rPr>
        <w:t xml:space="preserve">1.68  </w:t>
      </w:r>
      <w:bookmarkStart w:id="211" w:name="_DV_C44_Copy_1"/>
      <w:bookmarkEnd w:id="210"/>
      <w:bookmarkEnd w:id="211"/>
      <w:r>
        <w:rPr>
          <w:color w:val="000000"/>
        </w:rPr>
        <w:t>“</w:t>
      </w:r>
      <w:r>
        <w:rPr>
          <w:color w:val="000000"/>
          <w:u w:val="single"/>
        </w:rPr>
        <w:t>Reference Market-maker</w:t>
      </w:r>
      <w:r>
        <w:rPr>
          <w:color w:val="000000"/>
        </w:rPr>
        <w:t xml:space="preserve">” means any marketer, trader or seller of or dealer in firm energy products whose long-term unsecured senior debt </w:t>
      </w:r>
      <w:bookmarkStart w:id="212" w:name="_DV_M125"/>
      <w:r>
        <w:rPr>
          <w:rStyle w:val="DeltaViewInsertion"/>
        </w:rPr>
        <w:t xml:space="preserve">(or the debt of its ultimate parent company) </w:t>
      </w:r>
      <w:bookmarkStart w:id="213" w:name="_DV_C45"/>
      <w:bookmarkEnd w:id="212"/>
      <w:bookmarkEnd w:id="213"/>
      <w:r>
        <w:rPr>
          <w:color w:val="000000"/>
        </w:rPr>
        <w:t xml:space="preserve">is rated BBB or better by </w:t>
      </w:r>
      <w:bookmarkStart w:id="214" w:name="_DV_C47"/>
      <w:r>
        <w:rPr>
          <w:rStyle w:val="DeltaViewDeletion"/>
        </w:rPr>
        <w:t xml:space="preserve">Standard </w:t>
      </w:r>
      <w:bookmarkStart w:id="215" w:name="_DV_C46"/>
      <w:bookmarkEnd w:id="214"/>
      <w:r>
        <w:rPr>
          <w:rStyle w:val="DeltaViewInsertion"/>
        </w:rPr>
        <w:t>S</w:t>
      </w:r>
      <w:bookmarkStart w:id="216" w:name="_DV_C47_Copy_1"/>
      <w:bookmarkEnd w:id="215"/>
      <w:bookmarkEnd w:id="216"/>
      <w:r>
        <w:rPr>
          <w:color w:val="000000"/>
        </w:rPr>
        <w:t>&amp;</w:t>
      </w:r>
      <w:bookmarkStart w:id="217" w:name="_DV_C49"/>
      <w:r>
        <w:rPr>
          <w:rStyle w:val="DeltaViewDeletion"/>
        </w:rPr>
        <w:t xml:space="preserve"> Poor</w:t>
      </w:r>
      <w:bookmarkStart w:id="218" w:name="_DV_C48"/>
      <w:bookmarkEnd w:id="217"/>
      <w:r>
        <w:rPr>
          <w:rStyle w:val="DeltaViewInsertion"/>
        </w:rPr>
        <w:t>P</w:t>
      </w:r>
      <w:bookmarkStart w:id="219" w:name="_DV_C49_Copy_1"/>
      <w:bookmarkEnd w:id="218"/>
      <w:bookmarkEnd w:id="219"/>
      <w:r>
        <w:rPr>
          <w:color w:val="000000"/>
        </w:rPr>
        <w:t xml:space="preserve">’s and Baa2 or better by Moody’s </w:t>
      </w:r>
      <w:bookmarkStart w:id="220" w:name="_DV_C51"/>
      <w:r>
        <w:rPr>
          <w:rStyle w:val="DeltaViewDeletion"/>
        </w:rPr>
        <w:t>Investor Services</w:t>
      </w:r>
      <w:bookmarkStart w:id="221" w:name="_DV_C50"/>
      <w:bookmarkEnd w:id="220"/>
      <w:r>
        <w:rPr>
          <w:rStyle w:val="DeltaViewInsertion"/>
        </w:rPr>
        <w:t>or that is generally capable of providing credit support substantially equivalent to the foregoing</w:t>
      </w:r>
      <w:bookmarkStart w:id="222" w:name="_DV_C51_Copy_1"/>
      <w:bookmarkEnd w:id="221"/>
      <w:bookmarkEnd w:id="222"/>
      <w:r>
        <w:rPr>
          <w:color w:val="000000"/>
        </w:rPr>
        <w:t>.</w:t>
      </w:r>
    </w:p>
    <w:p>
      <w:pPr>
        <w:pStyle w:val="BodyText"/>
        <w:bidi w:val="0"/>
        <w:ind w:hanging="450" w:start="720"/>
        <w:jc w:val="both"/>
        <w:rPr>
          <w:rFonts w:ascii="Times New Roman" w:hAnsi="Times New Roman"/>
          <w:color w:val="000000"/>
        </w:rPr>
      </w:pPr>
      <w:bookmarkStart w:id="223" w:name="_DV_C53"/>
      <w:r>
        <w:rPr>
          <w:rStyle w:val="DeltaViewDeletion"/>
        </w:rPr>
        <w:t xml:space="preserve">1.67   </w:t>
      </w:r>
      <w:bookmarkStart w:id="224" w:name="_DV_C52"/>
      <w:bookmarkEnd w:id="223"/>
      <w:r>
        <w:rPr>
          <w:rStyle w:val="DeltaViewInsertion"/>
        </w:rPr>
        <w:t xml:space="preserve">1.69 </w:t>
      </w:r>
      <w:bookmarkStart w:id="225" w:name="_DV_C53_Copy_1"/>
      <w:bookmarkEnd w:id="224"/>
      <w:bookmarkEnd w:id="225"/>
      <w:r>
        <w:rPr>
          <w:color w:val="000000"/>
        </w:rPr>
        <w:t>“</w:t>
      </w:r>
      <w:r>
        <w:rPr>
          <w:color w:val="000000"/>
          <w:u w:val="single"/>
        </w:rPr>
        <w:t>Replacement Contract</w:t>
      </w:r>
      <w:r>
        <w:rPr>
          <w:color w:val="000000"/>
        </w:rPr>
        <w:t xml:space="preserve">” means a contract having a </w:t>
      </w:r>
      <w:bookmarkStart w:id="226" w:name="_DV_M130"/>
      <w:r>
        <w:rPr>
          <w:rStyle w:val="DeltaViewInsertion"/>
        </w:rPr>
        <w:t xml:space="preserve">remaining delivery </w:t>
      </w:r>
      <w:bookmarkStart w:id="227" w:name="_DV_C54"/>
      <w:bookmarkEnd w:id="226"/>
      <w:bookmarkEnd w:id="227"/>
      <w:r>
        <w:rPr>
          <w:color w:val="000000"/>
        </w:rPr>
        <w:t xml:space="preserve">term, quantity, delivery rate, delivery point and product substantially similar to the remaining </w:t>
      </w:r>
      <w:bookmarkStart w:id="228" w:name="_DV_C56"/>
      <w:r>
        <w:rPr>
          <w:rStyle w:val="DeltaViewDeletion"/>
        </w:rPr>
        <w:t>Term</w:t>
      </w:r>
      <w:bookmarkStart w:id="229" w:name="_DV_C55"/>
      <w:bookmarkEnd w:id="228"/>
      <w:r>
        <w:rPr>
          <w:rStyle w:val="DeltaViewInsertion"/>
        </w:rPr>
        <w:t>Delivery Period</w:t>
      </w:r>
      <w:bookmarkStart w:id="230" w:name="_DV_C56_Copy_1"/>
      <w:bookmarkEnd w:id="229"/>
      <w:bookmarkEnd w:id="230"/>
      <w:r>
        <w:rPr>
          <w:color w:val="000000"/>
        </w:rPr>
        <w:t>, quantity, delivery rate, Delivery Point and Product to be provided under this Agreement.</w:t>
      </w:r>
    </w:p>
    <w:p>
      <w:pPr>
        <w:pStyle w:val="BodyText"/>
        <w:bidi w:val="0"/>
        <w:ind w:hanging="450" w:start="720"/>
        <w:jc w:val="both"/>
        <w:rPr>
          <w:rFonts w:ascii="Times New Roman" w:hAnsi="Times New Roman"/>
          <w:color w:val="000000"/>
        </w:rPr>
      </w:pPr>
      <w:bookmarkStart w:id="231" w:name="_DV_C58"/>
      <w:r>
        <w:rPr>
          <w:rStyle w:val="DeltaViewDeletion"/>
        </w:rPr>
        <w:t>1.68</w:t>
      </w:r>
      <w:bookmarkStart w:id="232" w:name="_DV_C57"/>
      <w:bookmarkEnd w:id="231"/>
      <w:r>
        <w:rPr>
          <w:rStyle w:val="DeltaViewInsertion"/>
        </w:rPr>
        <w:t>1.70</w:t>
      </w:r>
      <w:bookmarkStart w:id="233" w:name="_DV_C58_Copy_1"/>
      <w:bookmarkEnd w:id="232"/>
      <w:bookmarkEnd w:id="233"/>
      <w:r>
        <w:rPr>
          <w:color w:val="000000"/>
        </w:rPr>
        <w:t xml:space="preserve">  “</w:t>
      </w:r>
      <w:r>
        <w:rPr>
          <w:color w:val="000000"/>
          <w:u w:val="single"/>
        </w:rPr>
        <w:t>2001A Transaction</w:t>
      </w:r>
      <w:r>
        <w:rPr>
          <w:color w:val="000000"/>
        </w:rPr>
        <w:t xml:space="preserve">” means the Transaction described in the attached Confirmation dated </w:t>
      </w:r>
      <w:bookmarkStart w:id="234" w:name="_DV_C60"/>
      <w:r>
        <w:rPr>
          <w:rStyle w:val="DeltaViewDeletion"/>
        </w:rPr>
        <w:t>February</w:t>
      </w:r>
      <w:bookmarkStart w:id="235" w:name="_DV_C59"/>
      <w:bookmarkEnd w:id="234"/>
      <w:r>
        <w:rPr>
          <w:rStyle w:val="DeltaViewInsertion"/>
        </w:rPr>
        <w:t>March</w:t>
      </w:r>
      <w:bookmarkStart w:id="236" w:name="_DV_C60_Copy_1"/>
      <w:bookmarkEnd w:id="235"/>
      <w:bookmarkEnd w:id="236"/>
      <w:r>
        <w:rPr>
          <w:color w:val="000000"/>
        </w:rPr>
        <w:t xml:space="preserve"> </w:t>
      </w:r>
      <w:bookmarkStart w:id="237" w:name="_DV_C62"/>
      <w:r>
        <w:rPr>
          <w:rStyle w:val="DeltaViewDeletion"/>
        </w:rPr>
        <w:t>22,</w:t>
      </w:r>
      <w:bookmarkStart w:id="238" w:name="_DV_C61"/>
      <w:bookmarkEnd w:id="237"/>
      <w:r>
        <w:rPr>
          <w:rStyle w:val="DeltaViewInsertion"/>
        </w:rPr>
        <w:t>[  ],</w:t>
      </w:r>
      <w:bookmarkStart w:id="239" w:name="_DV_C62_Copy_1"/>
      <w:bookmarkEnd w:id="238"/>
      <w:bookmarkEnd w:id="239"/>
      <w:r>
        <w:rPr>
          <w:color w:val="000000"/>
        </w:rPr>
        <w:t xml:space="preserve"> 2001.</w:t>
      </w:r>
    </w:p>
    <w:p>
      <w:pPr>
        <w:pStyle w:val="BodyText"/>
        <w:bidi w:val="0"/>
        <w:ind w:hanging="450" w:start="720"/>
        <w:jc w:val="both"/>
        <w:rPr>
          <w:rFonts w:ascii="Times New Roman" w:hAnsi="Times New Roman"/>
          <w:color w:val="000000"/>
        </w:rPr>
      </w:pPr>
      <w:bookmarkStart w:id="240" w:name="_DV_C64"/>
      <w:r>
        <w:rPr>
          <w:rStyle w:val="DeltaViewDeletion"/>
        </w:rPr>
        <w:t>1.69</w:t>
      </w:r>
      <w:bookmarkStart w:id="241" w:name="_DV_C63"/>
      <w:bookmarkEnd w:id="240"/>
      <w:r>
        <w:rPr>
          <w:rStyle w:val="DeltaViewInsertion"/>
        </w:rPr>
        <w:t>1.71</w:t>
      </w:r>
      <w:bookmarkStart w:id="242" w:name="_DV_C64_Copy_1"/>
      <w:bookmarkEnd w:id="241"/>
      <w:bookmarkEnd w:id="242"/>
      <w:r>
        <w:rPr>
          <w:color w:val="000000"/>
        </w:rPr>
        <w:t xml:space="preserve">  “</w:t>
      </w:r>
      <w:r>
        <w:rPr>
          <w:color w:val="000000"/>
          <w:u w:val="single"/>
        </w:rPr>
        <w:t>Trust Estate</w:t>
      </w:r>
      <w:r>
        <w:rPr>
          <w:color w:val="000000"/>
        </w:rPr>
        <w:t>” means all revenues under any obligation entered into, and rights to receive the same, and moneys on deposit in the Fund and income or revenue derived from the investment thereof.</w:t>
      </w:r>
    </w:p>
    <w:p>
      <w:pPr>
        <w:pStyle w:val="BodyText"/>
        <w:bidi w:val="0"/>
        <w:jc w:val="both"/>
        <w:rPr>
          <w:rFonts w:ascii="Times New Roman" w:hAnsi="Times New Roman"/>
          <w:b/>
          <w:color w:val="000000"/>
        </w:rPr>
      </w:pPr>
      <w:r>
        <w:rPr>
          <w:b/>
          <w:color w:val="000000"/>
        </w:rPr>
        <w:t xml:space="preserve"> </w:t>
      </w:r>
      <w:bookmarkStart w:id="243" w:name="_DV_M136"/>
      <w:bookmarkEnd w:id="243"/>
      <w:r>
        <w:rPr>
          <w:b/>
          <w:color w:val="000000"/>
        </w:rPr>
        <w:t>(b) Transactions.</w:t>
      </w:r>
      <w:bookmarkStart w:id="244" w:name="_DV_C66"/>
      <w:r>
        <w:rPr>
          <w:rStyle w:val="DeltaViewDeletion"/>
          <w:b/>
        </w:rPr>
        <w:t xml:space="preserve">  </w:t>
      </w:r>
      <w:r>
        <w:rPr>
          <w:rStyle w:val="DeltaViewDeletion"/>
        </w:rPr>
        <w:t>The</w:t>
      </w:r>
      <w:bookmarkStart w:id="245" w:name="_DV_C65"/>
      <w:bookmarkEnd w:id="244"/>
      <w:r>
        <w:rPr>
          <w:rStyle w:val="DeltaViewInsertion"/>
        </w:rPr>
        <w:t xml:space="preserve"> Each</w:t>
      </w:r>
      <w:bookmarkStart w:id="246" w:name="_DV_C66_Copy_1"/>
      <w:bookmarkEnd w:id="245"/>
      <w:bookmarkEnd w:id="246"/>
      <w:r>
        <w:rPr>
          <w:color w:val="000000"/>
        </w:rPr>
        <w:t xml:space="preserve"> Transaction shall be in writing and this </w:t>
      </w:r>
      <w:bookmarkStart w:id="247" w:name="_DV_C68"/>
      <w:r>
        <w:rPr>
          <w:rStyle w:val="DeltaViewDeletion"/>
        </w:rPr>
        <w:t>agreement</w:t>
      </w:r>
      <w:bookmarkStart w:id="248" w:name="_DV_C67"/>
      <w:bookmarkEnd w:id="247"/>
      <w:r>
        <w:rPr>
          <w:rStyle w:val="DeltaViewInsertion"/>
        </w:rPr>
        <w:t>Agreement</w:t>
      </w:r>
      <w:bookmarkStart w:id="249" w:name="_DV_C68_Copy_1"/>
      <w:bookmarkEnd w:id="248"/>
      <w:bookmarkEnd w:id="249"/>
      <w:r>
        <w:rPr>
          <w:color w:val="000000"/>
        </w:rPr>
        <w:t xml:space="preserve"> may not be orally amended or modified, including by Recording pursuant to Section </w:t>
      </w:r>
      <w:bookmarkStart w:id="250" w:name="_DV_C70"/>
      <w:r>
        <w:rPr>
          <w:rStyle w:val="DeltaViewDeletion"/>
        </w:rPr>
        <w:t>2.5.</w:t>
      </w:r>
      <w:bookmarkStart w:id="251" w:name="_DV_C69"/>
      <w:bookmarkEnd w:id="250"/>
      <w:r>
        <w:rPr>
          <w:rStyle w:val="DeltaViewInsertion"/>
        </w:rPr>
        <w:t>2.5; provided, however, that the Parties may orally agree from time to time to modify matters relating to the delivery and receipt obligations set forth in a Transaction entered into hereunder, provided that any such oral modification shall be made on a recorded line and shall be promptly confirmed in writing.</w:t>
      </w:r>
      <w:bookmarkEnd w:id="251"/>
    </w:p>
    <w:p>
      <w:pPr>
        <w:pStyle w:val="BodyText"/>
        <w:bidi w:val="0"/>
        <w:jc w:val="both"/>
        <w:rPr>
          <w:rFonts w:ascii="Times New Roman" w:hAnsi="Times New Roman"/>
          <w:color w:val="000000"/>
        </w:rPr>
      </w:pPr>
      <w:bookmarkStart w:id="252" w:name="_DV_M139"/>
      <w:bookmarkEnd w:id="252"/>
      <w:r>
        <w:rPr>
          <w:b/>
          <w:color w:val="000000"/>
        </w:rPr>
        <w:t>(c)  Governing Terms.</w:t>
      </w:r>
      <w:r>
        <w:rPr>
          <w:color w:val="000000"/>
        </w:rPr>
        <w:t xml:space="preserve">  Section 2.2 is amended by adding the following sentence at the end of the current section:</w:t>
      </w:r>
    </w:p>
    <w:p>
      <w:pPr>
        <w:pStyle w:val="BodyText"/>
        <w:bidi w:val="0"/>
        <w:ind w:hanging="0" w:start="720"/>
        <w:jc w:val="both"/>
        <w:rPr>
          <w:rFonts w:ascii="Times New Roman" w:hAnsi="Times New Roman"/>
          <w:color w:val="000000"/>
        </w:rPr>
      </w:pPr>
      <w:bookmarkStart w:id="253" w:name="_DV_M140"/>
      <w:bookmarkEnd w:id="253"/>
      <w:r>
        <w:rPr>
          <w:color w:val="000000"/>
        </w:rPr>
        <w:t>“</w:t>
      </w:r>
      <w:r>
        <w:rPr>
          <w:color w:val="000000"/>
        </w:rPr>
        <w:t>Notwithstanding the foregoing, the 2001A Transaction shall be treated as a stand-alone Transaction</w:t>
      </w:r>
      <w:bookmarkStart w:id="254" w:name="_DV_M141"/>
      <w:r>
        <w:rPr>
          <w:rStyle w:val="DeltaViewInsertion"/>
        </w:rPr>
        <w:t>,</w:t>
      </w:r>
      <w:bookmarkStart w:id="255" w:name="_DV_C71"/>
      <w:bookmarkEnd w:id="254"/>
      <w:bookmarkEnd w:id="255"/>
      <w:r>
        <w:rPr>
          <w:color w:val="000000"/>
        </w:rPr>
        <w:t xml:space="preserve"> and   </w:t>
      </w:r>
      <w:bookmarkStart w:id="256" w:name="_DV_M142"/>
      <w:bookmarkEnd w:id="256"/>
      <w:r>
        <w:rPr>
          <w:color w:val="000000"/>
        </w:rPr>
        <w:t>accordingly</w:t>
      </w:r>
      <w:bookmarkStart w:id="257" w:name="_DV_M143"/>
      <w:r>
        <w:rPr>
          <w:rStyle w:val="DeltaViewDeletion"/>
        </w:rPr>
        <w:t>,</w:t>
      </w:r>
      <w:bookmarkStart w:id="258" w:name="_DV_C72"/>
      <w:bookmarkEnd w:id="257"/>
      <w:bookmarkEnd w:id="258"/>
      <w:r>
        <w:rPr>
          <w:color w:val="000000"/>
        </w:rPr>
        <w:t xml:space="preserve"> (a) provisions in the Master Agreement referring to offsetting or netting multiple Transactions shall not be applicable to the 2001A Transaction, and (b) an Event of Default or Potential Event of Default with respect to any Transaction other than the 2001A Transaction shall not affect the 2001A Transaction.  Except for the attached Confirmation dated </w:t>
      </w:r>
      <w:bookmarkStart w:id="259" w:name="_DV_C74"/>
      <w:r>
        <w:rPr>
          <w:rStyle w:val="DeltaViewDeletion"/>
        </w:rPr>
        <w:t>February</w:t>
      </w:r>
      <w:bookmarkStart w:id="260" w:name="_DV_C73"/>
      <w:bookmarkEnd w:id="259"/>
      <w:r>
        <w:rPr>
          <w:rStyle w:val="DeltaViewInsertion"/>
        </w:rPr>
        <w:t>March</w:t>
      </w:r>
      <w:bookmarkStart w:id="261" w:name="_DV_C74_Copy_1"/>
      <w:bookmarkEnd w:id="260"/>
      <w:bookmarkEnd w:id="261"/>
      <w:r>
        <w:rPr>
          <w:color w:val="000000"/>
        </w:rPr>
        <w:t xml:space="preserve"> </w:t>
      </w:r>
      <w:bookmarkStart w:id="262" w:name="_DV_C76"/>
      <w:r>
        <w:rPr>
          <w:rStyle w:val="DeltaViewDeletion"/>
        </w:rPr>
        <w:t>22,</w:t>
      </w:r>
      <w:bookmarkStart w:id="263" w:name="_DV_C75"/>
      <w:bookmarkEnd w:id="262"/>
      <w:r>
        <w:rPr>
          <w:rStyle w:val="DeltaViewInsertion"/>
        </w:rPr>
        <w:t>[  ],</w:t>
      </w:r>
      <w:bookmarkStart w:id="264" w:name="_DV_C76_Copy_1"/>
      <w:bookmarkEnd w:id="263"/>
      <w:bookmarkEnd w:id="264"/>
      <w:r>
        <w:rPr>
          <w:color w:val="000000"/>
        </w:rPr>
        <w:t xml:space="preserve"> 2001, no provision of any Confirmation entered into pursuant to Section 2.4 shall affect the 2001A Transaction.”</w:t>
      </w:r>
    </w:p>
    <w:p>
      <w:pPr>
        <w:pStyle w:val="Normal"/>
        <w:widowControl w:val="false"/>
        <w:tabs>
          <w:tab w:val="left" w:pos="720" w:leader="none"/>
        </w:tabs>
        <w:bidi w:val="0"/>
        <w:jc w:val="both"/>
        <w:rPr>
          <w:b/>
          <w:color w:val="000000"/>
          <w:sz w:val="20"/>
        </w:rPr>
      </w:pPr>
      <w:r>
        <w:rPr>
          <w:b/>
          <w:color w:val="000000"/>
          <w:sz w:val="20"/>
        </w:rPr>
        <w:t xml:space="preserve"> </w:t>
      </w:r>
      <w:bookmarkStart w:id="265" w:name="_DV_M146"/>
      <w:bookmarkEnd w:id="265"/>
      <w:r>
        <w:rPr>
          <w:b/>
          <w:color w:val="000000"/>
          <w:sz w:val="20"/>
        </w:rPr>
        <w:t xml:space="preserve">(d)  </w:t>
      </w:r>
      <w:r>
        <w:rPr>
          <w:color w:val="000000"/>
          <w:sz w:val="20"/>
        </w:rPr>
        <w:t xml:space="preserve"> </w:t>
      </w:r>
      <w:r>
        <w:rPr>
          <w:b/>
          <w:color w:val="000000"/>
          <w:sz w:val="20"/>
        </w:rPr>
        <w:t xml:space="preserve">Declaration of an Early Termination Date and Calculation of Termination Payment.     </w:t>
      </w:r>
    </w:p>
    <w:p>
      <w:pPr>
        <w:pStyle w:val="Normal"/>
        <w:widowControl w:val="false"/>
        <w:tabs>
          <w:tab w:val="left" w:pos="720" w:leader="none"/>
        </w:tabs>
        <w:bidi w:val="0"/>
        <w:jc w:val="both"/>
        <w:rPr>
          <w:b/>
          <w:color w:val="000000"/>
          <w:sz w:val="20"/>
        </w:rPr>
      </w:pPr>
      <w:r>
        <w:rPr>
          <w:b/>
          <w:color w:val="000000"/>
          <w:sz w:val="20"/>
        </w:rPr>
      </w:r>
    </w:p>
    <w:p>
      <w:pPr>
        <w:pStyle w:val="Normal"/>
        <w:widowControl w:val="false"/>
        <w:tabs>
          <w:tab w:val="left" w:pos="720" w:leader="none"/>
        </w:tabs>
        <w:bidi w:val="0"/>
        <w:jc w:val="both"/>
        <w:rPr>
          <w:color w:val="000000"/>
          <w:sz w:val="20"/>
        </w:rPr>
      </w:pPr>
      <w:bookmarkStart w:id="266" w:name="_DV_M147"/>
      <w:bookmarkEnd w:id="266"/>
      <w:r>
        <w:rPr>
          <w:color w:val="000000"/>
          <w:sz w:val="20"/>
        </w:rPr>
        <w:t xml:space="preserve">(1)   </w:t>
      </w:r>
      <w:bookmarkStart w:id="267" w:name="_DV_M148"/>
      <w:bookmarkEnd w:id="267"/>
      <w:r>
        <w:rPr>
          <w:color w:val="000000"/>
          <w:sz w:val="20"/>
        </w:rPr>
        <w:t xml:space="preserve">The last sentence of Section 5.2 is replaced in its entirety by the following:  “The Non-Defaulting Party shall be entitled to a payment upon termination of this Agreement </w:t>
      </w:r>
      <w:bookmarkStart w:id="268" w:name="_DV_M149"/>
      <w:r>
        <w:rPr>
          <w:rStyle w:val="DeltaViewInsertion"/>
          <w:sz w:val="20"/>
        </w:rPr>
        <w:t xml:space="preserve">and all Transactions hereunder </w:t>
      </w:r>
      <w:bookmarkStart w:id="269" w:name="_DV_C77"/>
      <w:bookmarkEnd w:id="268"/>
      <w:bookmarkEnd w:id="269"/>
      <w:r>
        <w:rPr>
          <w:color w:val="000000"/>
          <w:sz w:val="20"/>
        </w:rPr>
        <w:t xml:space="preserve">as the result of an Event of Default (the “Termination Payment”) which shall be the aggregate of the Market Value and Costs calculated in accordance with </w:t>
      </w:r>
      <w:bookmarkStart w:id="270" w:name="_DV_M150"/>
      <w:r>
        <w:rPr>
          <w:rStyle w:val="DeltaViewInsertion"/>
          <w:sz w:val="20"/>
        </w:rPr>
        <w:t xml:space="preserve">Sections 5.3(a), (b) and (c), or the Non-Defaulting Party’s economic loss (including Costs) if </w:t>
      </w:r>
      <w:bookmarkStart w:id="271" w:name="_DV_C78"/>
      <w:bookmarkEnd w:id="270"/>
      <w:bookmarkEnd w:id="271"/>
      <w:r>
        <w:rPr>
          <w:color w:val="000000"/>
          <w:sz w:val="20"/>
        </w:rPr>
        <w:t>Section 5.3</w:t>
      </w:r>
      <w:bookmarkStart w:id="272" w:name="_DV_M151"/>
      <w:r>
        <w:rPr>
          <w:rStyle w:val="DeltaViewInsertion"/>
          <w:sz w:val="20"/>
        </w:rPr>
        <w:t>(d) shall be applicable, and</w:t>
      </w:r>
      <w:bookmarkStart w:id="273" w:name="_DV_C79"/>
      <w:bookmarkEnd w:id="272"/>
      <w:bookmarkEnd w:id="273"/>
      <w:r>
        <w:rPr>
          <w:color w:val="000000"/>
          <w:sz w:val="20"/>
        </w:rPr>
        <w:t xml:space="preserve"> which shall be paid no later than one hundred </w:t>
      </w:r>
      <w:bookmarkStart w:id="274" w:name="_DV_M152"/>
      <w:r>
        <w:rPr>
          <w:rStyle w:val="DeltaViewInsertion"/>
          <w:sz w:val="20"/>
        </w:rPr>
        <w:t xml:space="preserve">and </w:t>
      </w:r>
      <w:bookmarkStart w:id="275" w:name="_DV_C80"/>
      <w:bookmarkEnd w:id="274"/>
      <w:bookmarkEnd w:id="275"/>
      <w:r>
        <w:rPr>
          <w:color w:val="000000"/>
          <w:sz w:val="20"/>
        </w:rPr>
        <w:t xml:space="preserve">eighty (180) days after receipt of </w:t>
      </w:r>
      <w:bookmarkStart w:id="276" w:name="_DV_M153"/>
      <w:r>
        <w:rPr>
          <w:rStyle w:val="DeltaViewDeletion"/>
          <w:sz w:val="20"/>
        </w:rPr>
        <w:t xml:space="preserve">written </w:t>
      </w:r>
      <w:bookmarkStart w:id="277" w:name="_DV_C81"/>
      <w:bookmarkEnd w:id="276"/>
      <w:bookmarkEnd w:id="277"/>
      <w:r>
        <w:rPr>
          <w:color w:val="000000"/>
          <w:sz w:val="20"/>
        </w:rPr>
        <w:t>notice of an Early Termination Date</w:t>
      </w:r>
      <w:bookmarkStart w:id="278" w:name="_DV_M154"/>
      <w:r>
        <w:rPr>
          <w:rStyle w:val="DeltaViewInsertion"/>
          <w:sz w:val="20"/>
        </w:rPr>
        <w:t>; provided, however, that interest shall accrue at the Interest Rate from and including the effective date of receipt of the notice of the Termination Payment to but excluding the date paid</w:t>
      </w:r>
      <w:bookmarkStart w:id="279" w:name="_DV_C82"/>
      <w:bookmarkEnd w:id="278"/>
      <w:bookmarkEnd w:id="279"/>
      <w:r>
        <w:rPr>
          <w:color w:val="000000"/>
          <w:sz w:val="20"/>
        </w:rPr>
        <w:t xml:space="preserve">.  Prior to receipt of such notice of termination by the Defaulting Party, the Non-Defaulting Party may exercise any remedies available to it at law or otherwise, including, but not limited to, the right to </w:t>
      </w:r>
      <w:bookmarkStart w:id="280" w:name="_DV_M155"/>
      <w:r>
        <w:rPr>
          <w:rStyle w:val="DeltaViewDeletion"/>
          <w:sz w:val="20"/>
        </w:rPr>
        <w:t xml:space="preserve">or </w:t>
      </w:r>
      <w:bookmarkStart w:id="281" w:name="_DV_C83"/>
      <w:bookmarkEnd w:id="280"/>
      <w:bookmarkEnd w:id="281"/>
      <w:r>
        <w:rPr>
          <w:color w:val="000000"/>
          <w:sz w:val="20"/>
        </w:rPr>
        <w:t>seek injunctive relief to prevent irreparable injury to the Non-Defaulting Party.”</w:t>
      </w:r>
    </w:p>
    <w:p>
      <w:pPr>
        <w:pStyle w:val="Normal"/>
        <w:tabs>
          <w:tab w:val="clear" w:pos="720"/>
          <w:tab w:val="left" w:pos="360" w:leader="none"/>
          <w:tab w:val="right" w:pos="6012" w:leader="none"/>
        </w:tabs>
        <w:bidi w:val="0"/>
        <w:spacing w:before="0" w:after="120"/>
        <w:jc w:val="both"/>
        <w:rPr>
          <w:color w:val="000000"/>
          <w:sz w:val="20"/>
        </w:rPr>
      </w:pPr>
      <w:r>
        <w:rPr>
          <w:color w:val="000000"/>
          <w:sz w:val="20"/>
        </w:rPr>
      </w:r>
    </w:p>
    <w:p>
      <w:pPr>
        <w:pStyle w:val="Normal"/>
        <w:tabs>
          <w:tab w:val="clear" w:pos="720"/>
          <w:tab w:val="left" w:pos="360" w:leader="none"/>
          <w:tab w:val="right" w:pos="6012" w:leader="none"/>
        </w:tabs>
        <w:bidi w:val="0"/>
        <w:spacing w:before="0" w:after="120"/>
        <w:jc w:val="both"/>
        <w:rPr>
          <w:color w:val="000000"/>
          <w:sz w:val="20"/>
        </w:rPr>
      </w:pPr>
      <w:bookmarkStart w:id="282" w:name="_DV_C84"/>
      <w:r>
        <w:rPr>
          <w:rStyle w:val="DeltaViewDeletion"/>
          <w:sz w:val="20"/>
        </w:rPr>
        <w:t>(2)  The following shall be added to the end of Section 5.2 (as amended by clause (1) immediately above):  “Notwithstanding the other provisions of this Agreement, if the Non-Defaulting Party has the right to liquidate or terminate all obligations arising under this Agreement under the provisions of this Article 5 because the Defaulting Party either (a) is the subject of a bankruptcy, insolvency, or similar proceeding, or (b) applies for, seeks, consents to, or acquiesces in the appointment of a receiver, custodian, trustee, liquidator, or similar official for all or a substantial portion of its assets, then this Agreement and the Transaction shall automatically terminate, without notice, as if the Early Termination Date was the day immediately preceding the events listed in Section 5.1.”</w:t>
      </w:r>
      <w:bookmarkEnd w:id="282"/>
    </w:p>
    <w:p>
      <w:pPr>
        <w:pStyle w:val="Normal"/>
        <w:tabs>
          <w:tab w:val="clear" w:pos="720"/>
          <w:tab w:val="left" w:pos="360" w:leader="none"/>
          <w:tab w:val="right" w:pos="6012" w:leader="none"/>
        </w:tabs>
        <w:bidi w:val="0"/>
        <w:spacing w:before="0" w:after="120"/>
        <w:jc w:val="both"/>
        <w:rPr>
          <w:color w:val="000000"/>
          <w:sz w:val="20"/>
        </w:rPr>
      </w:pPr>
      <w:bookmarkStart w:id="283" w:name="_DV_C86"/>
      <w:r>
        <w:rPr>
          <w:rStyle w:val="DeltaViewDeletion"/>
          <w:sz w:val="20"/>
        </w:rPr>
        <w:t>(3</w:t>
      </w:r>
      <w:bookmarkStart w:id="284" w:name="_DV_C85"/>
      <w:bookmarkEnd w:id="283"/>
      <w:r>
        <w:rPr>
          <w:rStyle w:val="DeltaViewInsertion"/>
          <w:sz w:val="20"/>
        </w:rPr>
        <w:t>(2</w:t>
      </w:r>
      <w:bookmarkStart w:id="285" w:name="_DV_C86_Copy_1"/>
      <w:bookmarkEnd w:id="284"/>
      <w:bookmarkEnd w:id="285"/>
      <w:r>
        <w:rPr>
          <w:color w:val="000000"/>
          <w:sz w:val="20"/>
        </w:rPr>
        <w:t>)  Section 5.3 is replaced in its entirety by the following:</w:t>
      </w:r>
    </w:p>
    <w:p>
      <w:pPr>
        <w:pStyle w:val="Normal"/>
        <w:tabs>
          <w:tab w:val="clear" w:pos="720"/>
          <w:tab w:val="left" w:pos="-720" w:leader="none"/>
          <w:tab w:val="left" w:pos="180" w:leader="none"/>
          <w:tab w:val="left" w:pos="1080" w:leader="none"/>
        </w:tabs>
        <w:suppressAutoHyphens w:val="true"/>
        <w:bidi w:val="0"/>
        <w:ind w:hanging="0" w:start="720"/>
        <w:jc w:val="both"/>
        <w:rPr>
          <w:color w:val="000000"/>
          <w:sz w:val="20"/>
        </w:rPr>
      </w:pPr>
      <w:bookmarkStart w:id="286" w:name="_DV_M157"/>
      <w:bookmarkEnd w:id="286"/>
      <w:r>
        <w:rPr>
          <w:color w:val="000000"/>
          <w:sz w:val="20"/>
        </w:rPr>
        <w:t>“</w:t>
      </w:r>
      <w:r>
        <w:rPr>
          <w:color w:val="000000"/>
          <w:sz w:val="20"/>
        </w:rPr>
        <w:t xml:space="preserve">5.3.   </w:t>
      </w:r>
      <w:r>
        <w:rPr>
          <w:color w:val="000000"/>
          <w:sz w:val="20"/>
          <w:u w:val="single"/>
        </w:rPr>
        <w:t>Termination Payment Calculations</w:t>
      </w:r>
      <w:r>
        <w:rPr>
          <w:color w:val="000000"/>
          <w:sz w:val="20"/>
        </w:rPr>
        <w:t>.  The Non-Defaulting Party shall calculate the Termination Payment as follows:</w:t>
      </w:r>
    </w:p>
    <w:p>
      <w:pPr>
        <w:pStyle w:val="Normal"/>
        <w:tabs>
          <w:tab w:val="left" w:pos="-720" w:leader="none"/>
          <w:tab w:val="left" w:pos="0" w:leader="none"/>
          <w:tab w:val="left" w:pos="720" w:leader="none"/>
        </w:tabs>
        <w:suppressAutoHyphens w:val="true"/>
        <w:bidi w:val="0"/>
        <w:ind w:hanging="720"/>
        <w:jc w:val="both"/>
        <w:rPr>
          <w:color w:val="000000"/>
          <w:sz w:val="20"/>
        </w:rPr>
      </w:pPr>
      <w:r>
        <w:rPr>
          <w:color w:val="000000"/>
          <w:sz w:val="20"/>
        </w:rPr>
      </w:r>
    </w:p>
    <w:p>
      <w:pPr>
        <w:pStyle w:val="BodyText"/>
        <w:numPr>
          <w:ilvl w:val="0"/>
          <w:numId w:val="3"/>
        </w:numPr>
        <w:tabs>
          <w:tab w:val="clear" w:pos="720"/>
          <w:tab w:val="left" w:pos="1095" w:leader="none"/>
          <w:tab w:val="left" w:pos="1260" w:leader="none"/>
        </w:tabs>
        <w:suppressAutoHyphens w:val="true"/>
        <w:bidi w:val="0"/>
        <w:jc w:val="both"/>
        <w:rPr>
          <w:rFonts w:ascii="Times New Roman" w:hAnsi="Times New Roman"/>
          <w:color w:val="000000"/>
        </w:rPr>
      </w:pPr>
      <w:bookmarkStart w:id="287" w:name="_DV_M158"/>
      <w:bookmarkEnd w:id="287"/>
      <w:r>
        <w:rPr>
          <w:color w:val="000000"/>
        </w:rPr>
        <w:t>Market Value shall be (i) in the case Party B is the Non-Defaulting Party, the present value of the positive difference, if any, of (A) payments under a Replacement Contract based on the Per Unit Market Price, and (B) payments under this Agreement, or (ii) in the case Party A is the Non-Defaulting Party, the present value of the positive difference, if any, of (A) payments under this Agreement, and (B) payments under a Replacement Contract based on the Per Unit Market Price, in each case using the Present Value Rate as of the time of termination (to take account of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this Agreement. It is expressly agreed that the Non-Defaulting Party shall not be required to enter into a Replacement Contract in order to determine the Termination Payment.</w:t>
      </w:r>
    </w:p>
    <w:p>
      <w:pPr>
        <w:pStyle w:val="BodyText"/>
        <w:numPr>
          <w:ilvl w:val="0"/>
          <w:numId w:val="3"/>
        </w:numPr>
        <w:tabs>
          <w:tab w:val="clear" w:pos="720"/>
          <w:tab w:val="left" w:pos="1095" w:leader="none"/>
        </w:tabs>
        <w:bidi w:val="0"/>
        <w:jc w:val="both"/>
        <w:rPr>
          <w:rFonts w:ascii="Times New Roman" w:hAnsi="Times New Roman"/>
          <w:color w:val="000000"/>
        </w:rPr>
      </w:pPr>
      <w:bookmarkStart w:id="288" w:name="_DV_M159"/>
      <w:bookmarkEnd w:id="288"/>
      <w:r>
        <w:rPr>
          <w:color w:val="000000"/>
        </w:rPr>
        <w:t>To ascertain the Per Unit Market Price of a Replacement Contract with a</w:t>
      </w:r>
      <w:bookmarkStart w:id="289" w:name="_DV_M160"/>
      <w:r>
        <w:rPr>
          <w:rStyle w:val="DeltaViewInsertion"/>
        </w:rPr>
        <w:t xml:space="preserve"> remaining delivery</w:t>
      </w:r>
      <w:bookmarkStart w:id="290" w:name="_DV_C87"/>
      <w:bookmarkEnd w:id="289"/>
      <w:bookmarkEnd w:id="290"/>
      <w:r>
        <w:rPr>
          <w:color w:val="000000"/>
        </w:rPr>
        <w:t xml:space="preserve"> term of less than one year, the Non-Defaulting Party may consider, among other valuations, quotations from leading dealers in energy contracts, the settlement prices on established, actively traded power exchanges, other bona fide third party offers and other commercially reasonable market information.   </w:t>
      </w:r>
    </w:p>
    <w:p>
      <w:pPr>
        <w:pStyle w:val="BodyText"/>
        <w:numPr>
          <w:ilvl w:val="0"/>
          <w:numId w:val="3"/>
        </w:numPr>
        <w:tabs>
          <w:tab w:val="clear" w:pos="720"/>
          <w:tab w:val="left" w:pos="1095" w:leader="none"/>
        </w:tabs>
        <w:bidi w:val="0"/>
        <w:jc w:val="both"/>
        <w:rPr>
          <w:rFonts w:ascii="Times New Roman" w:hAnsi="Times New Roman"/>
          <w:color w:val="000000"/>
        </w:rPr>
      </w:pPr>
      <w:bookmarkStart w:id="291" w:name="_DV_M161"/>
      <w:bookmarkEnd w:id="291"/>
      <w:r>
        <w:rPr>
          <w:color w:val="000000"/>
        </w:rPr>
        <w:t xml:space="preserve">To ascertain the Per Unit Market Price of a Replacement Contract with a </w:t>
      </w:r>
      <w:bookmarkStart w:id="292" w:name="_DV_M162"/>
      <w:r>
        <w:rPr>
          <w:rStyle w:val="DeltaViewInsertion"/>
        </w:rPr>
        <w:t xml:space="preserve">remaining delivery </w:t>
      </w:r>
      <w:bookmarkStart w:id="293" w:name="_DV_C88"/>
      <w:bookmarkEnd w:id="292"/>
      <w:bookmarkEnd w:id="293"/>
      <w:r>
        <w:rPr>
          <w:color w:val="000000"/>
        </w:rPr>
        <w:t>term of one year or more, the Non-Defaulting Party shall use the Market Quotation Average Price; provided, however, that if</w:t>
      </w:r>
      <w:bookmarkStart w:id="294" w:name="_DV_C90"/>
      <w:r>
        <w:rPr>
          <w:rStyle w:val="DeltaViewDeletion"/>
        </w:rPr>
        <w:t xml:space="preserve"> there is an actively traded market for such Replacement Contract or if</w:t>
      </w:r>
      <w:bookmarkStart w:id="295" w:name="_DV_C89"/>
      <w:bookmarkEnd w:id="294"/>
      <w:r>
        <w:rPr>
          <w:rStyle w:val="DeltaViewInsertion"/>
        </w:rPr>
        <w:t>, despite using commercially reasonable efforts to do so,</w:t>
      </w:r>
      <w:bookmarkStart w:id="296" w:name="_DV_C90_Copy_1"/>
      <w:bookmarkEnd w:id="295"/>
      <w:bookmarkEnd w:id="296"/>
      <w:r>
        <w:rPr>
          <w:color w:val="000000"/>
        </w:rPr>
        <w:t xml:space="preserve"> the Non-Defaulting Party is unable to obtain reliable quotations from at least three (3) Reference Market-makers, the Non-Defaulting Party shall </w:t>
      </w:r>
      <w:bookmarkStart w:id="297" w:name="_DV_C92"/>
      <w:r>
        <w:rPr>
          <w:rStyle w:val="DeltaViewDeletion"/>
        </w:rPr>
        <w:t>use</w:t>
      </w:r>
      <w:bookmarkStart w:id="298" w:name="_DV_C91"/>
      <w:bookmarkEnd w:id="297"/>
      <w:r>
        <w:rPr>
          <w:rStyle w:val="DeltaViewInsertion"/>
        </w:rPr>
        <w:t>calculate the Termination Payment using</w:t>
      </w:r>
      <w:bookmarkStart w:id="299" w:name="_DV_C92_Copy_1"/>
      <w:bookmarkEnd w:id="298"/>
      <w:bookmarkEnd w:id="299"/>
      <w:r>
        <w:rPr>
          <w:color w:val="000000"/>
        </w:rPr>
        <w:t xml:space="preserve"> the methodology set forth in paragraph (</w:t>
      </w:r>
      <w:bookmarkStart w:id="300" w:name="_DV_C94"/>
      <w:r>
        <w:rPr>
          <w:rStyle w:val="DeltaViewDeletion"/>
        </w:rPr>
        <w:t>b).</w:t>
      </w:r>
      <w:bookmarkStart w:id="301" w:name="_DV_C93"/>
      <w:bookmarkEnd w:id="300"/>
      <w:r>
        <w:rPr>
          <w:rStyle w:val="DeltaViewInsertion"/>
        </w:rPr>
        <w:t>d) below.</w:t>
      </w:r>
      <w:bookmarkStart w:id="302" w:name="_DV_C94_Copy_1"/>
      <w:bookmarkEnd w:id="301"/>
    </w:p>
    <w:p>
      <w:pPr>
        <w:pStyle w:val="BodyText"/>
        <w:numPr>
          <w:ilvl w:val="0"/>
          <w:numId w:val="6"/>
        </w:numPr>
        <w:tabs>
          <w:tab w:val="clear" w:pos="720"/>
          <w:tab w:val="left" w:pos="1095" w:leader="none"/>
        </w:tabs>
        <w:bidi w:val="0"/>
        <w:jc w:val="both"/>
        <w:rPr>
          <w:rFonts w:ascii="Times New Roman" w:hAnsi="Times New Roman"/>
          <w:color w:val="000000"/>
        </w:rPr>
      </w:pPr>
      <w:bookmarkStart w:id="303" w:name="_DV_IPM15"/>
      <w:bookmarkStart w:id="304" w:name="_DV_C96"/>
      <w:bookmarkEnd w:id="302"/>
      <w:bookmarkEnd w:id="304"/>
      <w:r>
        <w:rPr>
          <w:rStyle w:val="DeltaViewInsertion"/>
        </w:rPr>
        <w:t xml:space="preserve">Notwithstanding Sections 5.3(a), (b) and (c) above, in the event that the Non-Defaulting Party is unable to determine the Per Unit Market Price using the methodologies described in (b) and (c) above, the Termination Payment shall be an amount equal to the present value of the economic loss to the Non-Defaulting Party, if any (including Costs), resulting from the termination of this Agreement and all Transactions hereunder, determined by the Non-Defaulting Party in a commercially reasonable manner.  </w:t>
      </w:r>
      <w:bookmarkStart w:id="305" w:name="_DV_C96_Copy_1"/>
      <w:bookmarkEnd w:id="303"/>
    </w:p>
    <w:p>
      <w:pPr>
        <w:pStyle w:val="BodyText"/>
        <w:numPr>
          <w:ilvl w:val="0"/>
          <w:numId w:val="7"/>
        </w:numPr>
        <w:tabs>
          <w:tab w:val="clear" w:pos="720"/>
          <w:tab w:val="left" w:pos="1095" w:leader="none"/>
        </w:tabs>
        <w:bidi w:val="0"/>
        <w:jc w:val="both"/>
        <w:rPr>
          <w:rFonts w:ascii="Times New Roman" w:hAnsi="Times New Roman"/>
          <w:color w:val="000000"/>
        </w:rPr>
      </w:pPr>
      <w:bookmarkStart w:id="306" w:name="_DV_C97"/>
      <w:bookmarkEnd w:id="305"/>
      <w:r>
        <w:rPr>
          <w:rStyle w:val="DeltaViewDeletion"/>
        </w:rPr>
        <w:t>(d)</w:t>
        <w:tab/>
      </w:r>
      <w:bookmarkStart w:id="307" w:name="_DV_C98"/>
      <w:bookmarkStart w:id="308" w:name="_DV_M165"/>
      <w:bookmarkEnd w:id="306"/>
      <w:bookmarkEnd w:id="307"/>
      <w:bookmarkEnd w:id="308"/>
      <w:r>
        <w:rPr>
          <w:color w:val="000000"/>
        </w:rPr>
        <w:t xml:space="preserve">In no event, however, shall a </w:t>
      </w:r>
      <w:bookmarkStart w:id="309" w:name="_DV_C100"/>
      <w:r>
        <w:rPr>
          <w:rStyle w:val="DeltaViewDeletion"/>
        </w:rPr>
        <w:t>party</w:t>
      </w:r>
      <w:bookmarkStart w:id="310" w:name="_DV_C99"/>
      <w:bookmarkEnd w:id="309"/>
      <w:r>
        <w:rPr>
          <w:rStyle w:val="DeltaViewInsertion"/>
        </w:rPr>
        <w:t>Party</w:t>
      </w:r>
      <w:bookmarkStart w:id="311" w:name="_DV_C100_Copy_1"/>
      <w:bookmarkEnd w:id="310"/>
      <w:bookmarkEnd w:id="311"/>
      <w:r>
        <w:rPr>
          <w:color w:val="000000"/>
        </w:rPr>
        <w:t>’s Market Value or Costs include any penalties, ratcheted demand charges or similar charges imposed by the Non-Defaulting Party.</w:t>
      </w:r>
    </w:p>
    <w:p>
      <w:pPr>
        <w:pStyle w:val="Normal"/>
        <w:bidi w:val="0"/>
        <w:ind w:hanging="0" w:start="720"/>
        <w:jc w:val="start"/>
        <w:rPr>
          <w:color w:val="000000"/>
          <w:sz w:val="20"/>
        </w:rPr>
      </w:pPr>
      <w:bookmarkStart w:id="312" w:name="_DV_M167"/>
      <w:r>
        <w:rPr>
          <w:rStyle w:val="DeltaViewInsertion"/>
          <w:sz w:val="20"/>
        </w:rPr>
        <w:t xml:space="preserve">As soon as practicable after notice of an Early Termination Date has been delivered, and in no event later than 15 Business Days thereafter, the Non-Defaulting Party shall notify the Defaulting Party of the amount of the Termination Payment, including a written statement explaining in reasonable detail the calculation of such amount.  </w:t>
      </w:r>
      <w:bookmarkStart w:id="313" w:name="_DV_C101"/>
      <w:bookmarkEnd w:id="312"/>
      <w:bookmarkEnd w:id="313"/>
      <w:r>
        <w:rPr>
          <w:color w:val="000000"/>
          <w:sz w:val="20"/>
        </w:rPr>
        <w:t xml:space="preserve">If the Defaulting Party disagrees with the calculation of the Termination Payment and the </w:t>
      </w:r>
      <w:bookmarkStart w:id="314" w:name="_DV_C103"/>
      <w:r>
        <w:rPr>
          <w:rStyle w:val="DeltaViewDeletion"/>
          <w:sz w:val="20"/>
        </w:rPr>
        <w:t>parties</w:t>
      </w:r>
      <w:bookmarkStart w:id="315" w:name="_DV_C102"/>
      <w:bookmarkEnd w:id="314"/>
      <w:r>
        <w:rPr>
          <w:rStyle w:val="DeltaViewInsertion"/>
          <w:sz w:val="20"/>
        </w:rPr>
        <w:t>Parties</w:t>
      </w:r>
      <w:bookmarkStart w:id="316" w:name="_DV_C103_Copy_1"/>
      <w:bookmarkEnd w:id="315"/>
      <w:bookmarkEnd w:id="316"/>
      <w:r>
        <w:rPr>
          <w:color w:val="000000"/>
          <w:sz w:val="20"/>
        </w:rPr>
        <w:t xml:space="preserve"> cannot otherwise resolve their differences, the Defaulting Party shall pay the full amount of the Termination Payment calculated by the Non-Defaulting Party no later than one hundred </w:t>
      </w:r>
      <w:bookmarkStart w:id="317" w:name="_DV_M169"/>
      <w:r>
        <w:rPr>
          <w:rStyle w:val="DeltaViewInsertion"/>
          <w:sz w:val="20"/>
        </w:rPr>
        <w:t xml:space="preserve">and </w:t>
      </w:r>
      <w:bookmarkStart w:id="318" w:name="_DV_C104"/>
      <w:bookmarkEnd w:id="317"/>
      <w:bookmarkEnd w:id="318"/>
      <w:r>
        <w:rPr>
          <w:color w:val="000000"/>
          <w:sz w:val="20"/>
        </w:rPr>
        <w:t xml:space="preserve">eighty (180) days after receipt of </w:t>
      </w:r>
      <w:bookmarkStart w:id="319" w:name="_DV_M170"/>
      <w:r>
        <w:rPr>
          <w:rStyle w:val="DeltaViewDeletion"/>
          <w:sz w:val="20"/>
        </w:rPr>
        <w:t xml:space="preserve">written </w:t>
      </w:r>
      <w:bookmarkStart w:id="320" w:name="_DV_C105"/>
      <w:bookmarkEnd w:id="319"/>
      <w:bookmarkEnd w:id="320"/>
      <w:r>
        <w:rPr>
          <w:color w:val="000000"/>
          <w:sz w:val="20"/>
        </w:rPr>
        <w:t>notice of an Early Termination Date</w:t>
      </w:r>
      <w:bookmarkStart w:id="321" w:name="_DV_M171"/>
      <w:r>
        <w:rPr>
          <w:rStyle w:val="DeltaViewInsertion"/>
          <w:sz w:val="20"/>
        </w:rPr>
        <w:t>, and the dispute shall be resolved pursuant to arbitration in accordance with Section 10.13 hereof</w:t>
      </w:r>
      <w:bookmarkStart w:id="322" w:name="_DV_C106"/>
      <w:bookmarkEnd w:id="321"/>
      <w:bookmarkEnd w:id="322"/>
      <w:r>
        <w:rPr>
          <w:color w:val="000000"/>
          <w:sz w:val="20"/>
        </w:rPr>
        <w:t>.”</w:t>
      </w:r>
    </w:p>
    <w:p>
      <w:pPr>
        <w:pStyle w:val="Normal"/>
        <w:tabs>
          <w:tab w:val="left" w:pos="-720" w:leader="none"/>
          <w:tab w:val="left" w:pos="360" w:leader="none"/>
          <w:tab w:val="left" w:pos="720" w:leader="none"/>
        </w:tabs>
        <w:suppressAutoHyphens w:val="true"/>
        <w:bidi w:val="0"/>
        <w:jc w:val="both"/>
        <w:rPr>
          <w:color w:val="000000"/>
          <w:sz w:val="20"/>
        </w:rPr>
      </w:pPr>
      <w:r>
        <w:rPr>
          <w:color w:val="000000"/>
          <w:sz w:val="20"/>
        </w:rPr>
      </w:r>
    </w:p>
    <w:p>
      <w:pPr>
        <w:pStyle w:val="BodyText"/>
        <w:bidi w:val="0"/>
        <w:jc w:val="both"/>
        <w:rPr>
          <w:rFonts w:ascii="Times New Roman" w:hAnsi="Times New Roman"/>
          <w:color w:val="000000"/>
        </w:rPr>
      </w:pPr>
      <w:bookmarkStart w:id="323" w:name="_DV_M172"/>
      <w:bookmarkEnd w:id="323"/>
      <w:r>
        <w:rPr>
          <w:color w:val="000000"/>
        </w:rPr>
        <w:t>(</w:t>
      </w:r>
      <w:bookmarkStart w:id="324" w:name="_DV_C108"/>
      <w:r>
        <w:rPr>
          <w:rStyle w:val="DeltaViewDeletion"/>
        </w:rPr>
        <w:t>4</w:t>
      </w:r>
      <w:bookmarkStart w:id="325" w:name="_DV_C107"/>
      <w:bookmarkEnd w:id="324"/>
      <w:r>
        <w:rPr>
          <w:rStyle w:val="DeltaViewInsertion"/>
        </w:rPr>
        <w:t>3</w:t>
      </w:r>
      <w:bookmarkStart w:id="326" w:name="_DV_C108_Copy_1"/>
      <w:bookmarkEnd w:id="325"/>
      <w:bookmarkEnd w:id="326"/>
      <w:r>
        <w:rPr>
          <w:color w:val="000000"/>
        </w:rPr>
        <w:t>)  Sections 5.4, 5.5, 5.6, 6.7 and 6.8 are amended by deleting the text in each of such sections and substituting therefor “[Intentionally omitted.]”</w:t>
      </w:r>
    </w:p>
    <w:p>
      <w:pPr>
        <w:pStyle w:val="BodyText"/>
        <w:bidi w:val="0"/>
        <w:jc w:val="both"/>
        <w:rPr>
          <w:rFonts w:ascii="Times New Roman" w:hAnsi="Times New Roman"/>
          <w:color w:val="000000"/>
        </w:rPr>
      </w:pPr>
      <w:bookmarkStart w:id="327" w:name="_DV_IPM16"/>
      <w:bookmarkStart w:id="328" w:name="_DV_C109"/>
      <w:bookmarkEnd w:id="328"/>
      <w:r>
        <w:rPr>
          <w:rStyle w:val="DeltaViewInsertion"/>
        </w:rPr>
        <w:t>(4)  Section 5.7 is amended by deleting the phrase “ten (10) NERC Business Days” and replacing it with the phrase “sixty (60) NERC Business Days”.</w:t>
      </w:r>
      <w:bookmarkEnd w:id="327"/>
    </w:p>
    <w:p>
      <w:pPr>
        <w:pStyle w:val="BodyText"/>
        <w:bidi w:val="0"/>
        <w:jc w:val="both"/>
        <w:rPr>
          <w:rFonts w:ascii="Times New Roman" w:hAnsi="Times New Roman"/>
          <w:color w:val="000000"/>
        </w:rPr>
      </w:pPr>
      <w:bookmarkStart w:id="329" w:name="_DV_IPM17"/>
      <w:bookmarkStart w:id="330" w:name="_DV_C110"/>
      <w:bookmarkEnd w:id="330"/>
      <w:r>
        <w:rPr>
          <w:rStyle w:val="DeltaViewInsertion"/>
        </w:rPr>
        <w:t xml:space="preserve">(5)  A new Section 5.8 is added as follows:  </w:t>
      </w:r>
      <w:bookmarkEnd w:id="329"/>
    </w:p>
    <w:p>
      <w:pPr>
        <w:pStyle w:val="BodyText"/>
        <w:bidi w:val="0"/>
        <w:jc w:val="both"/>
        <w:rPr>
          <w:rFonts w:ascii="Times New Roman" w:hAnsi="Times New Roman"/>
          <w:color w:val="000000"/>
        </w:rPr>
      </w:pPr>
      <w:bookmarkStart w:id="331" w:name="_DV_IPM18"/>
      <w:bookmarkStart w:id="332" w:name="_DV_C111"/>
      <w:bookmarkEnd w:id="332"/>
      <w:r>
        <w:rPr>
          <w:rStyle w:val="DeltaViewInsertion"/>
        </w:rPr>
        <w:tab/>
        <w:t>“5.8 Party A Termination Right upon a Material Regulatory Change.  Notwithstanding any other provision of this Agreement or any Transaction to the contrary, in the event that a Material Regulatory Change shall have occurred and be continuing, Party A shall have the right, but not the obligation, exercisable upon not less than 10 days prior notice to Party B, to terminate this Agreement and all Transactions hereunder.  In the event of any such termination, the provisions of Article 5 shall govern with respect to, among other things, the designation of an Early Termination Date, the calculation and payment of a Termination Payment, if any, triggered by such termination, the furnishing of any related notices and conduct of any related disputes and the exercise of rights with respect to amounts due and owing hereunder, with the same effect, for purposes of the aforesaid provisions only, as if a Material Regulatory Change constituted an Event of Default on the part of Party B.  Party B expressly acknowledges that this provision is an essential part of the consideration to Party A for entering into this Agreement and any Transactions hereunder and that without this provision Party A would not have entered into this Agreement or any Transaction hereunder.</w:t>
      </w:r>
      <w:bookmarkEnd w:id="331"/>
    </w:p>
    <w:p>
      <w:pPr>
        <w:pStyle w:val="BodyText"/>
        <w:bidi w:val="0"/>
        <w:jc w:val="both"/>
        <w:rPr>
          <w:rFonts w:ascii="Times New Roman" w:hAnsi="Times New Roman"/>
          <w:color w:val="000000"/>
        </w:rPr>
      </w:pPr>
      <w:bookmarkStart w:id="333" w:name="_DV_IPM19"/>
      <w:bookmarkStart w:id="334" w:name="_DV_C112"/>
      <w:bookmarkEnd w:id="334"/>
      <w:r>
        <w:rPr>
          <w:rStyle w:val="DeltaViewInsertion"/>
        </w:rPr>
        <w:t>(e)  Party A Credit Protection.  Section 8.1(d) is replaced in its entirety by the following:</w:t>
      </w:r>
      <w:bookmarkEnd w:id="333"/>
    </w:p>
    <w:p>
      <w:pPr>
        <w:pStyle w:val="BodyText"/>
        <w:bidi w:val="0"/>
        <w:jc w:val="both"/>
        <w:rPr>
          <w:rFonts w:ascii="Times New Roman" w:hAnsi="Times New Roman"/>
          <w:color w:val="000000"/>
        </w:rPr>
      </w:pPr>
      <w:bookmarkStart w:id="335" w:name="_DV_IPM20"/>
      <w:bookmarkStart w:id="336" w:name="_DV_C113"/>
      <w:bookmarkEnd w:id="336"/>
      <w:r>
        <w:rPr>
          <w:rStyle w:val="DeltaViewInsertion"/>
        </w:rPr>
        <w:tab/>
        <w:t>“(d)</w:t>
        <w:tab/>
        <w:t>Downgrade Event.  Notwithstanding any other any other provision of this Agreement or any Transaction to the contrary, in the event that a Downgrade Event shall have occurred and be continuing with respect to Party B, Party A shall have the right, but not the obligation, exercisable upon not less than 10 days prior notice to Party B, to terminate this Agreement and all Transactions hereunder; provided, however, that Party A shall not be entitled to a Termination Payment in the event that this Agreement is so terminated unless an Event of Default with respect to Party B separately entitles Party A to terminate this Agreement and to receive a Termination Payment.  In addition, in the event that a Downgrade Event shall have occurred and be continuing, then, notwithstanding the provisions of Sections 6.1 and 6.2, for so long as such Downgrade Event continues Party B shall be obligated to pay Party A on a rolling seven-day cycle, commencing on the seventh day following such Downgrade Event.”</w:t>
      </w:r>
      <w:bookmarkEnd w:id="335"/>
    </w:p>
    <w:p>
      <w:pPr>
        <w:pStyle w:val="Normal"/>
        <w:bidi w:val="0"/>
        <w:spacing w:before="0" w:after="120"/>
        <w:jc w:val="both"/>
        <w:rPr>
          <w:b/>
          <w:color w:val="000000"/>
          <w:sz w:val="20"/>
        </w:rPr>
      </w:pPr>
      <w:bookmarkStart w:id="337" w:name="_DV_C115"/>
      <w:r>
        <w:rPr>
          <w:rStyle w:val="DeltaViewDeletion"/>
          <w:b/>
          <w:sz w:val="20"/>
        </w:rPr>
        <w:t xml:space="preserve"> </w:t>
      </w:r>
      <w:r>
        <w:rPr>
          <w:rStyle w:val="DeltaViewDeletion"/>
          <w:b/>
          <w:sz w:val="20"/>
        </w:rPr>
        <w:t>(e)   Term of Master Agreement</w:t>
      </w:r>
      <w:bookmarkStart w:id="338" w:name="_DV_C114"/>
      <w:bookmarkEnd w:id="337"/>
      <w:r>
        <w:rPr>
          <w:rStyle w:val="DeltaViewInsertion"/>
          <w:sz w:val="20"/>
        </w:rPr>
        <w:t>(f)  Governmental Charges</w:t>
      </w:r>
      <w:bookmarkStart w:id="339" w:name="_DV_C115_Copy_1"/>
      <w:bookmarkEnd w:id="338"/>
      <w:bookmarkEnd w:id="339"/>
      <w:r>
        <w:rPr>
          <w:b/>
          <w:color w:val="000000"/>
          <w:sz w:val="20"/>
        </w:rPr>
        <w:t>.</w:t>
      </w:r>
      <w:r>
        <w:rPr>
          <w:color w:val="000000"/>
          <w:sz w:val="20"/>
        </w:rPr>
        <w:t xml:space="preserve">  Add the following sentence </w:t>
      </w:r>
      <w:bookmarkStart w:id="340" w:name="_DV_C117"/>
      <w:r>
        <w:rPr>
          <w:rStyle w:val="DeltaViewDeletion"/>
          <w:sz w:val="20"/>
        </w:rPr>
        <w:t>to</w:t>
      </w:r>
      <w:r>
        <w:rPr>
          <w:rStyle w:val="DeltaViewDeletion"/>
          <w:b/>
          <w:sz w:val="20"/>
        </w:rPr>
        <w:t xml:space="preserve"> </w:t>
      </w:r>
      <w:r>
        <w:rPr>
          <w:rStyle w:val="DeltaViewDeletion"/>
          <w:sz w:val="20"/>
        </w:rPr>
        <w:t>Section 10.1: “The 2001A Transaction shall terminate on the day following the last day of the Delivery Period, unless terminated sooner pursuant to the express provisions of this Agreement or as a result of an Event of Default”.</w:t>
      </w:r>
      <w:bookmarkStart w:id="341" w:name="_DV_C116"/>
      <w:bookmarkEnd w:id="340"/>
      <w:r>
        <w:rPr>
          <w:rStyle w:val="DeltaViewInsertion"/>
          <w:sz w:val="20"/>
        </w:rPr>
        <w:t>after the first two sentences of Section 9.2:  “Notwithstanding the foregoing, Party B shall be responsible for and shall pay, or shall promptly reimburse Party A for if Party A has paid, any tax or other imposition enacted by any California state or local governmental authority after the Effective Date that is not of general applicability and is instead directed at or applicable to the generation, sale, purchase, ownership and/or transmission of electric power, natural gas and/or other utility or energy goods and services.”</w:t>
      </w:r>
      <w:bookmarkEnd w:id="341"/>
    </w:p>
    <w:p>
      <w:pPr>
        <w:pStyle w:val="Normal"/>
        <w:bidi w:val="0"/>
        <w:spacing w:before="0" w:after="120"/>
        <w:jc w:val="both"/>
        <w:rPr>
          <w:color w:val="000000"/>
          <w:sz w:val="20"/>
        </w:rPr>
      </w:pPr>
      <w:r>
        <w:rPr>
          <w:b/>
          <w:color w:val="000000"/>
          <w:sz w:val="20"/>
        </w:rPr>
        <w:t xml:space="preserve"> </w:t>
      </w:r>
      <w:bookmarkStart w:id="342" w:name="_DV_M175"/>
      <w:bookmarkEnd w:id="342"/>
      <w:r>
        <w:rPr>
          <w:b/>
          <w:color w:val="000000"/>
          <w:sz w:val="20"/>
        </w:rPr>
        <w:t>(</w:t>
      </w:r>
      <w:bookmarkStart w:id="343" w:name="_DV_C119"/>
      <w:r>
        <w:rPr>
          <w:rStyle w:val="DeltaViewDeletion"/>
          <w:b/>
          <w:sz w:val="20"/>
        </w:rPr>
        <w:t>f</w:t>
      </w:r>
      <w:bookmarkStart w:id="344" w:name="_DV_C118"/>
      <w:bookmarkEnd w:id="343"/>
      <w:r>
        <w:rPr>
          <w:rStyle w:val="DeltaViewInsertion"/>
          <w:sz w:val="20"/>
        </w:rPr>
        <w:t>g</w:t>
      </w:r>
      <w:bookmarkStart w:id="345" w:name="_DV_C119_Copy_1"/>
      <w:bookmarkEnd w:id="344"/>
      <w:bookmarkEnd w:id="345"/>
      <w:r>
        <w:rPr>
          <w:b/>
          <w:color w:val="000000"/>
          <w:sz w:val="20"/>
        </w:rPr>
        <w:t>)  Representations and Warranties.</w:t>
      </w:r>
      <w:r>
        <w:rPr>
          <w:color w:val="000000"/>
          <w:sz w:val="20"/>
        </w:rPr>
        <w:t xml:space="preserve">   </w:t>
      </w:r>
      <w:bookmarkStart w:id="346" w:name="_DV_M177"/>
      <w:bookmarkEnd w:id="346"/>
      <w:r>
        <w:rPr>
          <w:color w:val="000000"/>
          <w:sz w:val="20"/>
        </w:rPr>
        <w:t xml:space="preserve">Party B shall not be deemed to make the representations set forth in clauses (ix) and (xi) of  Section 10.2. </w:t>
      </w:r>
    </w:p>
    <w:p>
      <w:pPr>
        <w:pStyle w:val="Normal"/>
        <w:bidi w:val="0"/>
        <w:spacing w:before="0" w:after="120"/>
        <w:jc w:val="both"/>
        <w:rPr>
          <w:color w:val="000000"/>
          <w:sz w:val="20"/>
        </w:rPr>
      </w:pPr>
      <w:bookmarkStart w:id="347" w:name="_DV_M178"/>
      <w:bookmarkEnd w:id="347"/>
      <w:r>
        <w:rPr>
          <w:b/>
          <w:color w:val="000000"/>
          <w:sz w:val="20"/>
        </w:rPr>
        <w:t>(</w:t>
      </w:r>
      <w:bookmarkStart w:id="348" w:name="_DV_C121"/>
      <w:r>
        <w:rPr>
          <w:rStyle w:val="DeltaViewDeletion"/>
          <w:b/>
          <w:sz w:val="20"/>
        </w:rPr>
        <w:t>g</w:t>
      </w:r>
      <w:bookmarkStart w:id="349" w:name="_DV_C120"/>
      <w:bookmarkEnd w:id="348"/>
      <w:r>
        <w:rPr>
          <w:rStyle w:val="DeltaViewInsertion"/>
          <w:sz w:val="20"/>
        </w:rPr>
        <w:t>h</w:t>
      </w:r>
      <w:bookmarkStart w:id="350" w:name="_DV_C121_Copy_1"/>
      <w:bookmarkEnd w:id="349"/>
      <w:bookmarkEnd w:id="350"/>
      <w:r>
        <w:rPr>
          <w:b/>
          <w:color w:val="000000"/>
          <w:sz w:val="20"/>
        </w:rPr>
        <w:t>)   Indemnity.</w:t>
      </w:r>
      <w:r>
        <w:rPr>
          <w:color w:val="000000"/>
          <w:sz w:val="20"/>
        </w:rPr>
        <w:t xml:space="preserve">  The phrase “To the extent permitted by law” is added at the beginning of the first two sentences of Section 10.4.</w:t>
      </w:r>
    </w:p>
    <w:p>
      <w:pPr>
        <w:pStyle w:val="Normal"/>
        <w:tabs>
          <w:tab w:val="clear" w:pos="720"/>
          <w:tab w:val="left" w:pos="-720" w:leader="none"/>
        </w:tabs>
        <w:suppressAutoHyphens w:val="true"/>
        <w:bidi w:val="0"/>
        <w:jc w:val="both"/>
        <w:rPr>
          <w:color w:val="000000"/>
          <w:sz w:val="20"/>
        </w:rPr>
      </w:pPr>
      <w:r>
        <w:rPr>
          <w:b/>
          <w:color w:val="000000"/>
          <w:sz w:val="20"/>
        </w:rPr>
        <w:t xml:space="preserve"> </w:t>
      </w:r>
      <w:bookmarkStart w:id="351" w:name="_DV_M180"/>
      <w:bookmarkEnd w:id="351"/>
      <w:r>
        <w:rPr>
          <w:b/>
          <w:color w:val="000000"/>
          <w:sz w:val="20"/>
        </w:rPr>
        <w:t>(</w:t>
      </w:r>
      <w:bookmarkStart w:id="352" w:name="_DV_C123"/>
      <w:r>
        <w:rPr>
          <w:rStyle w:val="DeltaViewDeletion"/>
          <w:b/>
          <w:sz w:val="20"/>
        </w:rPr>
        <w:t>h</w:t>
      </w:r>
      <w:bookmarkStart w:id="353" w:name="_DV_C122"/>
      <w:bookmarkEnd w:id="352"/>
      <w:r>
        <w:rPr>
          <w:rStyle w:val="DeltaViewInsertion"/>
          <w:sz w:val="20"/>
        </w:rPr>
        <w:t>i</w:t>
      </w:r>
      <w:bookmarkStart w:id="354" w:name="_DV_C123_Copy_1"/>
      <w:bookmarkEnd w:id="353"/>
      <w:bookmarkEnd w:id="354"/>
      <w:r>
        <w:rPr>
          <w:b/>
          <w:color w:val="000000"/>
          <w:sz w:val="20"/>
        </w:rPr>
        <w:t>)   Assignment.</w:t>
      </w:r>
      <w:r>
        <w:rPr>
          <w:color w:val="000000"/>
          <w:sz w:val="20"/>
        </w:rPr>
        <w:t xml:space="preserve"> </w:t>
      </w:r>
    </w:p>
    <w:p>
      <w:pPr>
        <w:pStyle w:val="Normal"/>
        <w:tabs>
          <w:tab w:val="clear" w:pos="720"/>
          <w:tab w:val="left" w:pos="-720" w:leader="none"/>
        </w:tabs>
        <w:suppressAutoHyphens w:val="true"/>
        <w:bidi w:val="0"/>
        <w:jc w:val="both"/>
        <w:rPr>
          <w:color w:val="000000"/>
          <w:sz w:val="20"/>
        </w:rPr>
      </w:pPr>
      <w:r>
        <w:rPr>
          <w:color w:val="000000"/>
          <w:sz w:val="20"/>
        </w:rPr>
      </w:r>
    </w:p>
    <w:p>
      <w:pPr>
        <w:pStyle w:val="Normal"/>
        <w:tabs>
          <w:tab w:val="clear" w:pos="720"/>
          <w:tab w:val="left" w:pos="-720" w:leader="none"/>
        </w:tabs>
        <w:suppressAutoHyphens w:val="true"/>
        <w:bidi w:val="0"/>
        <w:spacing w:before="0" w:after="120"/>
        <w:jc w:val="both"/>
        <w:rPr>
          <w:b/>
          <w:color w:val="000000"/>
          <w:sz w:val="20"/>
        </w:rPr>
      </w:pPr>
      <w:bookmarkStart w:id="355" w:name="_DV_M182"/>
      <w:bookmarkEnd w:id="355"/>
      <w:r>
        <w:rPr>
          <w:color w:val="000000"/>
          <w:sz w:val="20"/>
        </w:rPr>
        <w:t>(1) In Section 10.5, the phrase “either Party may, without the consent of the other Party</w:t>
      </w:r>
      <w:bookmarkStart w:id="356" w:name="_DV_M183"/>
      <w:r>
        <w:rPr>
          <w:rStyle w:val="DeltaViewDeletion"/>
          <w:sz w:val="20"/>
        </w:rPr>
        <w:t xml:space="preserve"> (and without relieving itself from liability hereunder)</w:t>
      </w:r>
      <w:bookmarkStart w:id="357" w:name="_DV_C124"/>
      <w:bookmarkEnd w:id="356"/>
      <w:bookmarkEnd w:id="357"/>
      <w:r>
        <w:rPr>
          <w:color w:val="000000"/>
          <w:sz w:val="20"/>
        </w:rPr>
        <w:t xml:space="preserve">” shall be replaced with “Party A (or, with respect to clause (i) or (iv), Party B) may, without the consent of the other Party” and add the following clause (iv) in the first proviso in Section 10.5: “or (iv) transfer and assign all of its right, title and interest to this Agreement and the Fund to another </w:t>
      </w:r>
      <w:bookmarkStart w:id="358" w:name="_DV_M184"/>
      <w:r>
        <w:rPr>
          <w:rStyle w:val="DeltaViewInsertion"/>
          <w:sz w:val="20"/>
        </w:rPr>
        <w:t xml:space="preserve">California </w:t>
      </w:r>
      <w:bookmarkStart w:id="359" w:name="_DV_C125"/>
      <w:bookmarkEnd w:id="358"/>
      <w:bookmarkEnd w:id="359"/>
      <w:r>
        <w:rPr>
          <w:color w:val="000000"/>
          <w:sz w:val="20"/>
        </w:rPr>
        <w:t xml:space="preserve">governmental entity created or designated by law to carry out the rights, powers, duties and obligations of </w:t>
      </w:r>
      <w:bookmarkStart w:id="360" w:name="_DV_C127"/>
      <w:r>
        <w:rPr>
          <w:rStyle w:val="DeltaViewDeletion"/>
          <w:sz w:val="20"/>
        </w:rPr>
        <w:t>the</w:t>
      </w:r>
      <w:bookmarkStart w:id="361" w:name="_DV_C126"/>
      <w:bookmarkEnd w:id="360"/>
      <w:r>
        <w:rPr>
          <w:rStyle w:val="DeltaViewInsertion"/>
          <w:sz w:val="20"/>
        </w:rPr>
        <w:t>Party</w:t>
      </w:r>
      <w:bookmarkStart w:id="362" w:name="_DV_C127_Copy_1"/>
      <w:bookmarkEnd w:id="361"/>
      <w:bookmarkEnd w:id="362"/>
      <w:r>
        <w:rPr>
          <w:color w:val="000000"/>
          <w:sz w:val="20"/>
        </w:rPr>
        <w:t xml:space="preserve"> </w:t>
      </w:r>
      <w:bookmarkStart w:id="363" w:name="_DV_C129"/>
      <w:r>
        <w:rPr>
          <w:rStyle w:val="DeltaViewDeletion"/>
          <w:sz w:val="20"/>
        </w:rPr>
        <w:t>Department</w:t>
      </w:r>
      <w:bookmarkStart w:id="364" w:name="_DV_C128"/>
      <w:bookmarkEnd w:id="363"/>
      <w:r>
        <w:rPr>
          <w:rStyle w:val="DeltaViewInsertion"/>
          <w:sz w:val="20"/>
        </w:rPr>
        <w:t>B</w:t>
      </w:r>
      <w:bookmarkStart w:id="365" w:name="_DV_C129_Copy_1"/>
      <w:bookmarkEnd w:id="364"/>
      <w:bookmarkEnd w:id="365"/>
      <w:r>
        <w:rPr>
          <w:color w:val="000000"/>
          <w:sz w:val="20"/>
        </w:rPr>
        <w:t xml:space="preserve"> under the Act</w:t>
      </w:r>
      <w:bookmarkStart w:id="366" w:name="_DV_M187"/>
      <w:r>
        <w:rPr>
          <w:rStyle w:val="DeltaViewInsertion"/>
          <w:sz w:val="20"/>
        </w:rPr>
        <w:t>, provided that no such transfer or assignment pursuant to this (iv) shall be permitted unless the CDWR Revenue Order and all related revenue and financing orders, or substantially equivalent substitutes therefor, remain or shall be in full force and effect, are made applicable to the proposed California governmental entity assignee and such proposed assignee's creditworthiness is equal to or higher than that of Party B</w:t>
      </w:r>
      <w:bookmarkStart w:id="367" w:name="_DV_C130"/>
      <w:bookmarkEnd w:id="366"/>
      <w:bookmarkEnd w:id="367"/>
      <w:r>
        <w:rPr>
          <w:color w:val="000000"/>
          <w:sz w:val="20"/>
        </w:rPr>
        <w:t xml:space="preserve">;” </w:t>
      </w:r>
    </w:p>
    <w:p>
      <w:pPr>
        <w:pStyle w:val="Normal"/>
        <w:tabs>
          <w:tab w:val="clear" w:pos="720"/>
          <w:tab w:val="left" w:pos="-720" w:leader="none"/>
        </w:tabs>
        <w:suppressAutoHyphens w:val="true"/>
        <w:bidi w:val="0"/>
        <w:spacing w:before="0" w:after="120"/>
        <w:jc w:val="both"/>
        <w:rPr>
          <w:b/>
          <w:color w:val="000000"/>
          <w:sz w:val="20"/>
        </w:rPr>
      </w:pPr>
      <w:bookmarkStart w:id="368" w:name="_DV_M188"/>
      <w:bookmarkEnd w:id="368"/>
      <w:r>
        <w:rPr>
          <w:color w:val="000000"/>
          <w:sz w:val="20"/>
        </w:rPr>
        <w:t xml:space="preserve">(2)  Add the following proviso to the end of Section 10.5: “;provided, further, however, that in the event this Agreement is pledged or assigned </w:t>
      </w:r>
      <w:bookmarkStart w:id="369" w:name="_DV_M189"/>
      <w:r>
        <w:rPr>
          <w:rStyle w:val="DeltaViewDeletion"/>
          <w:sz w:val="20"/>
        </w:rPr>
        <w:t xml:space="preserve">to a bond trustee </w:t>
      </w:r>
      <w:bookmarkStart w:id="370" w:name="_DV_C131"/>
      <w:bookmarkEnd w:id="369"/>
      <w:bookmarkEnd w:id="370"/>
      <w:r>
        <w:rPr>
          <w:color w:val="000000"/>
          <w:sz w:val="20"/>
        </w:rPr>
        <w:t>pursuant to clause (i)</w:t>
      </w:r>
      <w:bookmarkStart w:id="371" w:name="_DV_M190"/>
      <w:r>
        <w:rPr>
          <w:rStyle w:val="DeltaViewDeletion"/>
          <w:sz w:val="20"/>
        </w:rPr>
        <w:t xml:space="preserve"> as collateral for bonds issued by Party B</w:t>
      </w:r>
      <w:bookmarkStart w:id="372" w:name="_DV_C132"/>
      <w:bookmarkEnd w:id="371"/>
      <w:bookmarkEnd w:id="372"/>
      <w:r>
        <w:rPr>
          <w:color w:val="000000"/>
          <w:sz w:val="20"/>
        </w:rPr>
        <w:t xml:space="preserve">, such </w:t>
      </w:r>
      <w:bookmarkStart w:id="373" w:name="_DV_C134"/>
      <w:r>
        <w:rPr>
          <w:rStyle w:val="DeltaViewDeletion"/>
          <w:sz w:val="20"/>
        </w:rPr>
        <w:t>bond trustee</w:t>
      </w:r>
      <w:bookmarkStart w:id="374" w:name="_DV_C133"/>
      <w:bookmarkEnd w:id="373"/>
      <w:r>
        <w:rPr>
          <w:rStyle w:val="DeltaViewInsertion"/>
          <w:sz w:val="20"/>
        </w:rPr>
        <w:t>pledgee or assignee</w:t>
      </w:r>
      <w:bookmarkStart w:id="375" w:name="_DV_C134_Copy_1"/>
      <w:bookmarkEnd w:id="374"/>
      <w:bookmarkEnd w:id="375"/>
      <w:r>
        <w:rPr>
          <w:color w:val="000000"/>
          <w:sz w:val="20"/>
        </w:rPr>
        <w:t xml:space="preserve"> shall not be required to agree in writing to be bound by the terms and conditions hereof.”</w:t>
      </w:r>
    </w:p>
    <w:p>
      <w:pPr>
        <w:pStyle w:val="Normal"/>
        <w:bidi w:val="0"/>
        <w:spacing w:before="0" w:after="120"/>
        <w:jc w:val="both"/>
        <w:rPr>
          <w:color w:val="000000"/>
          <w:sz w:val="20"/>
        </w:rPr>
      </w:pPr>
      <w:bookmarkStart w:id="376" w:name="_DV_M192"/>
      <w:bookmarkEnd w:id="376"/>
      <w:r>
        <w:rPr>
          <w:b/>
          <w:color w:val="000000"/>
          <w:sz w:val="20"/>
        </w:rPr>
        <w:t>(</w:t>
      </w:r>
      <w:bookmarkStart w:id="377" w:name="_DV_C136"/>
      <w:r>
        <w:rPr>
          <w:rStyle w:val="DeltaViewDeletion"/>
          <w:b/>
          <w:sz w:val="20"/>
        </w:rPr>
        <w:t>i</w:t>
      </w:r>
      <w:bookmarkStart w:id="378" w:name="_DV_C135"/>
      <w:bookmarkEnd w:id="377"/>
      <w:r>
        <w:rPr>
          <w:rStyle w:val="DeltaViewInsertion"/>
          <w:sz w:val="20"/>
        </w:rPr>
        <w:t>j</w:t>
      </w:r>
      <w:bookmarkStart w:id="379" w:name="_DV_C136_Copy_1"/>
      <w:bookmarkEnd w:id="378"/>
      <w:bookmarkEnd w:id="379"/>
      <w:r>
        <w:rPr>
          <w:b/>
          <w:color w:val="000000"/>
          <w:sz w:val="20"/>
        </w:rPr>
        <w:t>)   Governing Law</w:t>
      </w:r>
      <w:r>
        <w:rPr>
          <w:color w:val="000000"/>
          <w:sz w:val="20"/>
        </w:rPr>
        <w:t>. In Section 10.6, “New York” shall be replaced with “California.”</w:t>
      </w:r>
    </w:p>
    <w:p>
      <w:pPr>
        <w:pStyle w:val="Normal"/>
        <w:bidi w:val="0"/>
        <w:spacing w:before="0" w:after="120"/>
        <w:jc w:val="both"/>
        <w:rPr>
          <w:color w:val="000000"/>
          <w:sz w:val="20"/>
        </w:rPr>
      </w:pPr>
      <w:bookmarkStart w:id="380" w:name="_DV_C137"/>
      <w:r>
        <w:rPr>
          <w:rStyle w:val="DeltaViewDeletion"/>
          <w:b/>
          <w:sz w:val="20"/>
        </w:rPr>
        <w:t>(j)   Confidentiality.</w:t>
      </w:r>
      <w:r>
        <w:rPr>
          <w:rStyle w:val="DeltaViewDeletion"/>
          <w:sz w:val="20"/>
        </w:rPr>
        <w:t xml:space="preserve">  The following proviso is added to the end of the first sentence in Section 10.11: “provided, further, that either Party may publicly disclose the type and quantity of Product(s), the pricing of such Product(s) and the term of the Agreement or any Transaction.”</w:t>
      </w:r>
      <w:bookmarkEnd w:id="380"/>
    </w:p>
    <w:p>
      <w:pPr>
        <w:pStyle w:val="BodyText2"/>
        <w:tabs>
          <w:tab w:val="clear" w:pos="4475"/>
          <w:tab w:val="right" w:pos="4320" w:leader="none"/>
        </w:tabs>
        <w:bidi w:val="0"/>
        <w:ind w:hanging="0" w:start="0"/>
        <w:jc w:val="both"/>
        <w:rPr>
          <w:rFonts w:ascii="Times New Roman" w:hAnsi="Times New Roman"/>
          <w:b w:val="false"/>
          <w:color w:val="000000"/>
        </w:rPr>
      </w:pPr>
      <w:bookmarkStart w:id="381" w:name="_DV_C138"/>
      <w:r>
        <w:rPr>
          <w:rStyle w:val="DeltaViewDeletion"/>
        </w:rPr>
        <w:t>(k)  General</w:t>
      </w:r>
      <w:r>
        <w:rPr>
          <w:rStyle w:val="DeltaViewDeletion"/>
          <w:b w:val="false"/>
        </w:rPr>
        <w:t>.  The phrase “Except to the extent herein provided for,” shall be deleted from the fourth sentence of Section 10.8, and the phrase “and this agreement may not be orally amended or modified, including by Recording pursuant to Section 2.5” shall be added to the end of such fourth sentence.</w:t>
      </w:r>
      <w:bookmarkEnd w:id="381"/>
    </w:p>
    <w:p>
      <w:pPr>
        <w:pStyle w:val="BodyText2"/>
        <w:tabs>
          <w:tab w:val="clear" w:pos="4475"/>
          <w:tab w:val="right" w:pos="4320" w:leader="none"/>
        </w:tabs>
        <w:bidi w:val="0"/>
        <w:spacing w:before="0" w:after="120"/>
        <w:ind w:hanging="0" w:start="0"/>
        <w:jc w:val="start"/>
        <w:rPr>
          <w:rFonts w:ascii="Times New Roman" w:hAnsi="Times New Roman"/>
          <w:b w:val="false"/>
          <w:color w:val="000000"/>
        </w:rPr>
      </w:pPr>
      <w:bookmarkStart w:id="382" w:name="_DV_C140"/>
      <w:r>
        <w:rPr>
          <w:rStyle w:val="DeltaViewDeletion"/>
        </w:rPr>
        <w:t>(l)</w:t>
      </w:r>
      <w:bookmarkStart w:id="383" w:name="_DV_C139"/>
      <w:bookmarkEnd w:id="382"/>
      <w:r>
        <w:rPr>
          <w:rStyle w:val="DeltaViewInsertion"/>
          <w:b w:val="false"/>
        </w:rPr>
        <w:t>(k)</w:t>
      </w:r>
      <w:bookmarkStart w:id="384" w:name="_DV_C140_Copy_1"/>
      <w:bookmarkEnd w:id="383"/>
      <w:bookmarkEnd w:id="384"/>
      <w:r>
        <w:rPr>
          <w:color w:val="000000"/>
        </w:rPr>
        <w:t xml:space="preserve">   Additional Provisions</w:t>
      </w:r>
      <w:r>
        <w:rPr>
          <w:b w:val="false"/>
          <w:color w:val="000000"/>
        </w:rPr>
        <w:t xml:space="preserve">.  New </w:t>
      </w:r>
      <w:bookmarkStart w:id="385" w:name="_DV_C142"/>
      <w:r>
        <w:rPr>
          <w:rStyle w:val="DeltaViewDeletion"/>
          <w:b w:val="false"/>
        </w:rPr>
        <w:t>Section 10.12 is</w:t>
      </w:r>
      <w:bookmarkStart w:id="386" w:name="_DV_C141"/>
      <w:bookmarkEnd w:id="385"/>
      <w:r>
        <w:rPr>
          <w:rStyle w:val="DeltaViewInsertion"/>
          <w:b w:val="false"/>
        </w:rPr>
        <w:t>Sections 10.12, 10.13 and 10.14 are</w:t>
      </w:r>
      <w:bookmarkStart w:id="387" w:name="_DV_C142_Copy_1"/>
      <w:bookmarkEnd w:id="386"/>
      <w:bookmarkEnd w:id="387"/>
      <w:r>
        <w:rPr>
          <w:b w:val="false"/>
          <w:color w:val="000000"/>
        </w:rPr>
        <w:t xml:space="preserve"> added to Article </w:t>
      </w:r>
      <w:bookmarkStart w:id="388" w:name="_DV_C144"/>
      <w:r>
        <w:rPr>
          <w:rStyle w:val="DeltaViewDeletion"/>
          <w:b w:val="false"/>
        </w:rPr>
        <w:t>10</w:t>
      </w:r>
      <w:bookmarkStart w:id="389" w:name="_DV_C143"/>
      <w:bookmarkEnd w:id="388"/>
      <w:r>
        <w:rPr>
          <w:rStyle w:val="DeltaViewInsertion"/>
          <w:b w:val="false"/>
        </w:rPr>
        <w:t>Ten</w:t>
      </w:r>
      <w:bookmarkStart w:id="390" w:name="_DV_C144_Copy_1"/>
      <w:bookmarkEnd w:id="389"/>
      <w:bookmarkEnd w:id="390"/>
      <w:r>
        <w:rPr>
          <w:b w:val="false"/>
          <w:color w:val="000000"/>
        </w:rPr>
        <w:t xml:space="preserve"> as follows:</w:t>
        <w:tab/>
      </w:r>
    </w:p>
    <w:p>
      <w:pPr>
        <w:pStyle w:val="Normal"/>
        <w:tabs>
          <w:tab w:val="left" w:pos="-720" w:leader="none"/>
          <w:tab w:val="left" w:pos="720" w:leader="none"/>
        </w:tabs>
        <w:suppressAutoHyphens w:val="true"/>
        <w:bidi w:val="0"/>
        <w:spacing w:before="0" w:after="120"/>
        <w:ind w:hanging="0" w:start="720"/>
        <w:jc w:val="both"/>
        <w:rPr>
          <w:color w:val="000000"/>
          <w:sz w:val="20"/>
        </w:rPr>
      </w:pPr>
      <w:bookmarkStart w:id="391" w:name="_DV_M197"/>
      <w:bookmarkEnd w:id="391"/>
      <w:r>
        <w:rPr>
          <w:color w:val="000000"/>
          <w:sz w:val="20"/>
        </w:rPr>
        <w:tab/>
        <w:t>“10.12.</w:t>
        <w:tab/>
      </w:r>
      <w:r>
        <w:rPr>
          <w:color w:val="000000"/>
          <w:sz w:val="20"/>
          <w:u w:val="single"/>
        </w:rPr>
        <w:t>No Retail Services; No Agency</w:t>
      </w:r>
      <w:r>
        <w:rPr>
          <w:color w:val="000000"/>
          <w:sz w:val="20"/>
        </w:rPr>
        <w:t>.  (a) Nothing contained in this Agreement shall grant any rights to or obligate Party A to provide any services hereunder directly to or for retail customers of any person.</w:t>
      </w:r>
    </w:p>
    <w:p>
      <w:pPr>
        <w:pStyle w:val="Normal"/>
        <w:tabs>
          <w:tab w:val="left" w:pos="-720" w:leader="none"/>
          <w:tab w:val="left" w:pos="720" w:leader="none"/>
        </w:tabs>
        <w:suppressAutoHyphens w:val="true"/>
        <w:bidi w:val="0"/>
        <w:ind w:hanging="0" w:start="720"/>
        <w:jc w:val="both"/>
        <w:rPr>
          <w:color w:val="000000"/>
          <w:sz w:val="20"/>
        </w:rPr>
      </w:pPr>
      <w:bookmarkStart w:id="392" w:name="_DV_M198"/>
      <w:bookmarkEnd w:id="392"/>
      <w:r>
        <w:rPr>
          <w:color w:val="000000"/>
          <w:sz w:val="20"/>
        </w:rPr>
        <w:tab/>
        <w:t>(b) In performing their respective obligations hereunder, neither Party is acting, or is authorized to act, as agent of the other Party.</w:t>
      </w:r>
      <w:bookmarkStart w:id="393" w:name="_DV_C145"/>
      <w:r>
        <w:rPr>
          <w:rStyle w:val="DeltaViewDeletion"/>
          <w:sz w:val="20"/>
        </w:rPr>
        <w:t>”</w:t>
      </w:r>
      <w:bookmarkEnd w:id="393"/>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bookmarkStart w:id="394" w:name="_DV_IPM21"/>
      <w:bookmarkStart w:id="395" w:name="_DV_IPM21"/>
      <w:bookmarkEnd w:id="395"/>
    </w:p>
    <w:p>
      <w:pPr>
        <w:pStyle w:val="Normal"/>
        <w:tabs>
          <w:tab w:val="left" w:pos="-720" w:leader="none"/>
          <w:tab w:val="left" w:pos="720" w:leader="none"/>
        </w:tabs>
        <w:suppressAutoHyphens w:val="true"/>
        <w:bidi w:val="0"/>
        <w:ind w:hanging="0" w:start="720"/>
        <w:jc w:val="both"/>
        <w:rPr>
          <w:b/>
          <w:color w:val="000000"/>
          <w:sz w:val="20"/>
        </w:rPr>
      </w:pPr>
      <w:bookmarkStart w:id="396" w:name="_DV_IPM22"/>
      <w:bookmarkStart w:id="397" w:name="_DV_C146"/>
      <w:bookmarkEnd w:id="397"/>
      <w:r>
        <w:rPr>
          <w:rStyle w:val="DeltaViewInsertion"/>
          <w:sz w:val="20"/>
        </w:rPr>
        <w:tab/>
        <w:t>10.13.  Arbitration.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at law or in equity, under state or federal law, whether provided by statute or the common law, for damages or any other relief, (for purposes of this Section 10.13 only, collectively “Claims”), other than Claims that sound in tort or are of an extra-contractual nature,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promptly select a third arbitrator.  Each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Each arbitrator shall be neutral.  To the fullest extent permitted by law, any arbitration proceeding and the arbitrators’ award shall be maintained in confidence by the Parties.  The arbitrators’ award may be confirmed in, and judgment upon the award entered by, any federal or state court having jurisdiction over the Parties.</w:t>
      </w:r>
      <w:bookmarkEnd w:id="396"/>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bookmarkStart w:id="398" w:name="_DV_IPM23"/>
      <w:bookmarkStart w:id="399" w:name="_DV_IPM23"/>
      <w:bookmarkEnd w:id="399"/>
    </w:p>
    <w:p>
      <w:pPr>
        <w:pStyle w:val="Normal"/>
        <w:tabs>
          <w:tab w:val="left" w:pos="-720" w:leader="none"/>
          <w:tab w:val="left" w:pos="720" w:leader="none"/>
        </w:tabs>
        <w:suppressAutoHyphens w:val="true"/>
        <w:bidi w:val="0"/>
        <w:ind w:hanging="0" w:start="720"/>
        <w:jc w:val="both"/>
        <w:rPr>
          <w:color w:val="000000"/>
          <w:sz w:val="20"/>
        </w:rPr>
      </w:pPr>
      <w:bookmarkStart w:id="400" w:name="_DV_IPM24"/>
      <w:bookmarkStart w:id="401" w:name="_DV_C147"/>
      <w:bookmarkEnd w:id="401"/>
      <w:r>
        <w:rPr>
          <w:rStyle w:val="DeltaViewInsertion"/>
          <w:sz w:val="20"/>
        </w:rPr>
        <w:tab/>
        <w:t xml:space="preserve">10.14.  Certain Covenants.  </w:t>
      </w:r>
      <w:bookmarkEnd w:id="400"/>
    </w:p>
    <w:p>
      <w:pPr>
        <w:pStyle w:val="Normal"/>
        <w:tabs>
          <w:tab w:val="left" w:pos="-720" w:leader="none"/>
          <w:tab w:val="left" w:pos="720" w:leader="none"/>
        </w:tabs>
        <w:suppressAutoHyphens w:val="true"/>
        <w:bidi w:val="0"/>
        <w:ind w:hanging="0" w:start="720"/>
        <w:jc w:val="both"/>
        <w:rPr>
          <w:color w:val="000000"/>
          <w:sz w:val="20"/>
          <w:u w:val="single"/>
        </w:rPr>
      </w:pPr>
      <w:r>
        <w:rPr>
          <w:color w:val="000000"/>
          <w:sz w:val="20"/>
          <w:u w:val="single"/>
        </w:rPr>
      </w:r>
      <w:bookmarkStart w:id="402" w:name="_DV_IPM25"/>
      <w:bookmarkStart w:id="403" w:name="_DV_IPM25"/>
      <w:bookmarkEnd w:id="403"/>
    </w:p>
    <w:p>
      <w:pPr>
        <w:pStyle w:val="Normal"/>
        <w:tabs>
          <w:tab w:val="left" w:pos="-720" w:leader="none"/>
          <w:tab w:val="left" w:pos="720" w:leader="none"/>
        </w:tabs>
        <w:suppressAutoHyphens w:val="true"/>
        <w:bidi w:val="0"/>
        <w:ind w:hanging="0" w:start="720"/>
        <w:jc w:val="both"/>
        <w:rPr>
          <w:color w:val="000000"/>
          <w:sz w:val="20"/>
        </w:rPr>
      </w:pPr>
      <w:bookmarkStart w:id="404" w:name="_DV_IPM26"/>
      <w:bookmarkStart w:id="405" w:name="_DV_C148"/>
      <w:bookmarkEnd w:id="405"/>
      <w:r>
        <w:rPr>
          <w:rStyle w:val="DeltaViewInsertion"/>
          <w:sz w:val="20"/>
        </w:rPr>
        <w:tab/>
        <w:tab/>
        <w:t>(a)</w:t>
        <w:tab/>
        <w:t>Party B covenants and agrees to establish revenue requirements sufficient to permit it to recover amounts necessary to satisfy its payment obligations, including its obligations under (A) this Agreement (including any Termination Payment), (B) other agreements for power purchased by Party B pursuant to the Water Code (including any termination payments thereunder) and (C) the Bonds.  Party B shall furnish such revenue requirements to the CPUC no less frequently than annually, and more frequently as may be required, so that the CPUC can establish rates sufficient to permit the full and timely recovery by Party B of such revenue requirements, including (except to the extent limited by Section 80110 of the Water Code in the case of certain residential customers, as provided therein) setting rates for customers that may if needed exceed the applicable tariff rates for customers (including any surcharges) in effect as of the Effective Date.</w:t>
      </w:r>
      <w:bookmarkEnd w:id="404"/>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bookmarkStart w:id="406" w:name="_DV_IPM27"/>
      <w:bookmarkStart w:id="407" w:name="_DV_IPM27"/>
      <w:bookmarkEnd w:id="407"/>
    </w:p>
    <w:p>
      <w:pPr>
        <w:pStyle w:val="Normal"/>
        <w:tabs>
          <w:tab w:val="left" w:pos="-720" w:leader="none"/>
          <w:tab w:val="left" w:pos="720" w:leader="none"/>
        </w:tabs>
        <w:suppressAutoHyphens w:val="true"/>
        <w:bidi w:val="0"/>
        <w:ind w:hanging="0" w:start="720"/>
        <w:jc w:val="both"/>
        <w:rPr>
          <w:color w:val="000000"/>
          <w:sz w:val="20"/>
        </w:rPr>
      </w:pPr>
      <w:bookmarkStart w:id="408" w:name="_DV_IPM28"/>
      <w:bookmarkStart w:id="409" w:name="_DV_C149"/>
      <w:bookmarkEnd w:id="409"/>
      <w:r>
        <w:rPr>
          <w:rStyle w:val="DeltaViewInsertion"/>
          <w:sz w:val="20"/>
        </w:rPr>
        <w:tab/>
        <w:tab/>
        <w:t>(b)</w:t>
        <w:tab/>
        <w:t xml:space="preserve">In the event that the Bonds are not issued by or on behalf of Party B, Party B covenants and agrees to use reasonable commercial efforts to secure a rating for the Fund from both S&amp;P’s and Moody’s with respect to the ability of the Fund to satisfy Party B’s obligations to pay for all power purchased by it pursuant to Sections 80100 </w:t>
      </w:r>
      <w:r>
        <w:rPr>
          <w:rStyle w:val="DeltaViewInsertion"/>
          <w:i/>
          <w:sz w:val="20"/>
        </w:rPr>
        <w:t>et seq.</w:t>
      </w:r>
      <w:r>
        <w:rPr>
          <w:rStyle w:val="DeltaViewInsertion"/>
          <w:sz w:val="20"/>
        </w:rPr>
        <w:t xml:space="preserve"> of the Water Code and all other obligations thereof, substantially equivalent to or better than Investment Grade. </w:t>
      </w:r>
      <w:bookmarkEnd w:id="408"/>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bookmarkStart w:id="410" w:name="_DV_IPM29"/>
      <w:bookmarkStart w:id="411" w:name="_DV_IPM29"/>
      <w:bookmarkEnd w:id="411"/>
    </w:p>
    <w:p>
      <w:pPr>
        <w:pStyle w:val="Normal"/>
        <w:tabs>
          <w:tab w:val="left" w:pos="-720" w:leader="none"/>
          <w:tab w:val="left" w:pos="720" w:leader="none"/>
        </w:tabs>
        <w:suppressAutoHyphens w:val="true"/>
        <w:bidi w:val="0"/>
        <w:ind w:hanging="0" w:start="720"/>
        <w:jc w:val="both"/>
        <w:rPr>
          <w:b/>
          <w:color w:val="000000"/>
          <w:sz w:val="20"/>
        </w:rPr>
      </w:pPr>
      <w:bookmarkStart w:id="412" w:name="_DV_IPM30"/>
      <w:bookmarkStart w:id="413" w:name="_DV_C150"/>
      <w:bookmarkEnd w:id="413"/>
      <w:r>
        <w:rPr>
          <w:rStyle w:val="DeltaViewInsertion"/>
          <w:sz w:val="20"/>
        </w:rPr>
        <w:tab/>
        <w:tab/>
        <w:t>(c)</w:t>
        <w:tab/>
        <w:t>Party B covenants and agrees that, as regards Party A and other suppliers of electricity to Party B, Party B shall not discriminate (based upon price, other contractual terms and conditions or otherwise) against Party A with respect to the performance and administration by it of this Agreement.</w:t>
      </w:r>
      <w:bookmarkEnd w:id="412"/>
    </w:p>
    <w:p>
      <w:pPr>
        <w:pStyle w:val="Normal"/>
        <w:widowControl w:val="false"/>
        <w:tabs>
          <w:tab w:val="clear" w:pos="720"/>
          <w:tab w:val="left" w:pos="708" w:leader="none"/>
          <w:tab w:val="left" w:pos="1411" w:leader="none"/>
          <w:tab w:val="left" w:pos="1800" w:leader="none"/>
        </w:tabs>
        <w:bidi w:val="0"/>
        <w:ind w:hanging="0" w:start="720"/>
        <w:jc w:val="both"/>
        <w:rPr>
          <w:b/>
          <w:color w:val="000000"/>
          <w:sz w:val="20"/>
        </w:rPr>
      </w:pPr>
      <w:r>
        <w:rPr>
          <w:b/>
          <w:color w:val="000000"/>
          <w:sz w:val="20"/>
        </w:rPr>
      </w:r>
    </w:p>
    <w:p>
      <w:pPr>
        <w:pStyle w:val="Normal"/>
        <w:widowControl w:val="false"/>
        <w:tabs>
          <w:tab w:val="clear" w:pos="720"/>
          <w:tab w:val="left" w:pos="1411" w:leader="none"/>
          <w:tab w:val="left" w:pos="1800" w:leader="none"/>
        </w:tabs>
        <w:bidi w:val="0"/>
        <w:jc w:val="both"/>
        <w:rPr>
          <w:color w:val="000000"/>
          <w:sz w:val="20"/>
        </w:rPr>
      </w:pPr>
      <w:bookmarkStart w:id="414" w:name="_DV_C152"/>
      <w:r>
        <w:rPr>
          <w:rStyle w:val="DeltaViewDeletion"/>
          <w:b/>
          <w:sz w:val="20"/>
        </w:rPr>
        <w:t>(m</w:t>
      </w:r>
      <w:bookmarkStart w:id="415" w:name="_DV_C151"/>
      <w:bookmarkEnd w:id="414"/>
      <w:r>
        <w:rPr>
          <w:rStyle w:val="DeltaViewInsertion"/>
          <w:sz w:val="20"/>
        </w:rPr>
        <w:t>(l</w:t>
      </w:r>
      <w:bookmarkStart w:id="416" w:name="_DV_C152_Copy_1"/>
      <w:bookmarkEnd w:id="415"/>
      <w:bookmarkEnd w:id="416"/>
      <w:r>
        <w:rPr>
          <w:b/>
          <w:color w:val="000000"/>
          <w:sz w:val="20"/>
        </w:rPr>
        <w:t>) Schedule M.</w:t>
      </w:r>
      <w:r>
        <w:rPr>
          <w:color w:val="000000"/>
          <w:sz w:val="20"/>
        </w:rPr>
        <w:t xml:space="preserve"> Schedule M shall be amended as follows:</w:t>
      </w:r>
    </w:p>
    <w:p>
      <w:pPr>
        <w:pStyle w:val="coverbody"/>
        <w:widowControl w:val="false"/>
        <w:tabs>
          <w:tab w:val="clear" w:pos="720"/>
          <w:tab w:val="left" w:pos="204" w:leader="none"/>
        </w:tabs>
        <w:bidi w:val="0"/>
        <w:spacing w:before="0" w:after="0"/>
        <w:rPr>
          <w:rFonts w:ascii="Times New Roman" w:hAnsi="Times New Roman"/>
          <w:color w:val="000000"/>
        </w:rPr>
      </w:pPr>
      <w:r>
        <w:rPr>
          <w:color w:val="000000"/>
        </w:rPr>
      </w:r>
    </w:p>
    <w:p>
      <w:pPr>
        <w:pStyle w:val="Normal"/>
        <w:widowControl w:val="false"/>
        <w:numPr>
          <w:ilvl w:val="0"/>
          <w:numId w:val="2"/>
        </w:numPr>
        <w:tabs>
          <w:tab w:val="clear" w:pos="720"/>
          <w:tab w:val="left" w:pos="204" w:leader="none"/>
        </w:tabs>
        <w:bidi w:val="0"/>
        <w:spacing w:before="0" w:after="0"/>
        <w:ind w:hanging="12" w:start="720"/>
        <w:jc w:val="both"/>
        <w:rPr>
          <w:color w:val="000000"/>
          <w:sz w:val="20"/>
        </w:rPr>
      </w:pPr>
      <w:bookmarkStart w:id="417" w:name="_DV_M200"/>
      <w:bookmarkEnd w:id="417"/>
      <w:r>
        <w:rPr>
          <w:color w:val="000000"/>
          <w:sz w:val="20"/>
        </w:rPr>
        <w:t>In Section A, “Act” will mean Sections 80000, 80002, 80002.5, 80003, 80004, 80010, 80012, 80014, 80016, 80100, 80102, 80104, 80106, 80108, 80110, 80112, 80114, 80116, 80120, 80122, 80130, 80132, 80134, 80200, 80250, 80260 and 80270 of the Water Code.</w:t>
      </w:r>
    </w:p>
    <w:p>
      <w:pPr>
        <w:pStyle w:val="Normal"/>
        <w:widowControl w:val="false"/>
        <w:tabs>
          <w:tab w:val="clear" w:pos="720"/>
          <w:tab w:val="left" w:pos="708" w:leader="none"/>
        </w:tabs>
        <w:bidi w:val="0"/>
        <w:jc w:val="both"/>
        <w:rPr>
          <w:color w:val="000000"/>
          <w:sz w:val="20"/>
        </w:rPr>
      </w:pPr>
      <w:r>
        <w:rPr>
          <w:color w:val="000000"/>
          <w:sz w:val="20"/>
        </w:rPr>
      </w:r>
    </w:p>
    <w:p>
      <w:pPr>
        <w:pStyle w:val="coverbody"/>
        <w:widowControl w:val="false"/>
        <w:tabs>
          <w:tab w:val="clear" w:pos="720"/>
          <w:tab w:val="left" w:pos="708" w:leader="none"/>
        </w:tabs>
        <w:bidi w:val="0"/>
        <w:spacing w:before="0" w:after="0"/>
        <w:rPr>
          <w:rFonts w:ascii="Times New Roman" w:hAnsi="Times New Roman"/>
          <w:color w:val="000000"/>
        </w:rPr>
      </w:pPr>
      <w:bookmarkStart w:id="418" w:name="_DV_M201"/>
      <w:bookmarkEnd w:id="418"/>
      <w:r>
        <w:rPr>
          <w:color w:val="000000"/>
        </w:rPr>
        <w:tab/>
        <w:t>(2)   “Special Fund” will mean the Fund.</w:t>
      </w:r>
    </w:p>
    <w:p>
      <w:pPr>
        <w:pStyle w:val="Normal"/>
        <w:widowControl w:val="false"/>
        <w:tabs>
          <w:tab w:val="clear" w:pos="720"/>
          <w:tab w:val="left" w:pos="708" w:leader="none"/>
        </w:tabs>
        <w:bidi w:val="0"/>
        <w:ind w:hanging="0" w:start="708"/>
        <w:jc w:val="both"/>
        <w:rPr>
          <w:color w:val="000000"/>
          <w:sz w:val="20"/>
        </w:rPr>
      </w:pPr>
      <w:r>
        <w:rPr>
          <w:color w:val="000000"/>
          <w:sz w:val="20"/>
        </w:rPr>
      </w:r>
    </w:p>
    <w:p>
      <w:pPr>
        <w:pStyle w:val="Normal"/>
        <w:widowControl w:val="false"/>
        <w:tabs>
          <w:tab w:val="clear" w:pos="720"/>
          <w:tab w:val="left" w:pos="708" w:leader="none"/>
        </w:tabs>
        <w:bidi w:val="0"/>
        <w:ind w:hanging="0" w:start="708"/>
        <w:jc w:val="both"/>
        <w:rPr>
          <w:b/>
          <w:color w:val="000000"/>
          <w:sz w:val="20"/>
        </w:rPr>
      </w:pPr>
      <w:bookmarkStart w:id="419" w:name="_DV_M202"/>
      <w:bookmarkEnd w:id="419"/>
      <w:r>
        <w:rPr>
          <w:color w:val="000000"/>
          <w:sz w:val="20"/>
        </w:rPr>
        <w:t>(3)  In Section A, the defined term “Governmental Entity or Public Power System” shall be replaced with the term “Governmental Entity” using the following definition “‘Governmental Entity’ means the State of California Department of Water Resources separate and apart from its powers and responsibilities with respect to the State Water Resources Development System”; and all references to (A) “Governmental Entity or Public Power System” (and cognates) and (B) “Public Power System” (and cognates) in Schedule M shall be replaced with the new defined term “Governmental Entity” (using the applicable cognate).</w:t>
      </w:r>
    </w:p>
    <w:p>
      <w:pPr>
        <w:pStyle w:val="Normal"/>
        <w:widowControl w:val="false"/>
        <w:tabs>
          <w:tab w:val="clear" w:pos="720"/>
          <w:tab w:val="left" w:pos="708" w:leader="none"/>
        </w:tabs>
        <w:bidi w:val="0"/>
        <w:jc w:val="both"/>
        <w:rPr>
          <w:color w:val="000000"/>
          <w:sz w:val="20"/>
        </w:rPr>
      </w:pPr>
      <w:r>
        <w:rPr>
          <w:color w:val="000000"/>
          <w:sz w:val="20"/>
        </w:rPr>
      </w:r>
    </w:p>
    <w:p>
      <w:pPr>
        <w:pStyle w:val="Normal"/>
        <w:bidi w:val="0"/>
        <w:spacing w:before="0" w:after="120"/>
        <w:ind w:hanging="0" w:start="720"/>
        <w:jc w:val="both"/>
        <w:rPr>
          <w:color w:val="000000"/>
          <w:sz w:val="20"/>
        </w:rPr>
      </w:pPr>
      <w:bookmarkStart w:id="420" w:name="_DV_IPM31"/>
      <w:bookmarkStart w:id="421" w:name="_DV_C153"/>
      <w:bookmarkEnd w:id="421"/>
      <w:r>
        <w:rPr>
          <w:rStyle w:val="DeltaViewInsertion"/>
          <w:sz w:val="20"/>
        </w:rPr>
        <w:t xml:space="preserve">(4)  In Section C, the following subclauses are added to the end of Section C:  “(viii) CDWR is entitled to recover, as a revenue requirement, amounts necessary to satisfy its payment obligations under (A) this Agreement, including any Termination Payment,  (B) other agreements for power purchased by CDWR pursuant to Section 80100 </w:t>
      </w:r>
      <w:r>
        <w:rPr>
          <w:rStyle w:val="DeltaViewInsertion"/>
          <w:i/>
          <w:sz w:val="20"/>
        </w:rPr>
        <w:t>et seq.</w:t>
      </w:r>
      <w:r>
        <w:rPr>
          <w:rStyle w:val="DeltaViewInsertion"/>
          <w:sz w:val="20"/>
        </w:rPr>
        <w:t xml:space="preserve"> of the Water Code and (C) the Bonds; and (ix) provided that CDWR satisfies its obligations to furnish its revenue requirements to the CPUC from time to time, the CPUC is required under the CDWR Revenue Order to approve and impose, either as part of the California Procurement Adjustment or as additional rates, rates sufficient to recover CDWR’s revenue requirements on a timely basis.”</w:t>
      </w:r>
      <w:bookmarkEnd w:id="420"/>
    </w:p>
    <w:p>
      <w:pPr>
        <w:pStyle w:val="Normal"/>
        <w:bidi w:val="0"/>
        <w:spacing w:before="0" w:after="120"/>
        <w:ind w:hanging="0" w:start="720"/>
        <w:jc w:val="both"/>
        <w:rPr>
          <w:color w:val="000000"/>
          <w:sz w:val="20"/>
        </w:rPr>
      </w:pPr>
      <w:bookmarkStart w:id="422" w:name="_DV_C155"/>
      <w:r>
        <w:rPr>
          <w:rStyle w:val="DeltaViewDeletion"/>
          <w:sz w:val="20"/>
        </w:rPr>
        <w:t>(4</w:t>
      </w:r>
      <w:bookmarkStart w:id="423" w:name="_DV_C154"/>
      <w:bookmarkEnd w:id="422"/>
      <w:r>
        <w:rPr>
          <w:rStyle w:val="DeltaViewInsertion"/>
          <w:sz w:val="20"/>
        </w:rPr>
        <w:t>(5</w:t>
      </w:r>
      <w:bookmarkStart w:id="424" w:name="_DV_C155_Copy_1"/>
      <w:bookmarkEnd w:id="423"/>
      <w:bookmarkEnd w:id="424"/>
      <w:r>
        <w:rPr>
          <w:color w:val="000000"/>
          <w:sz w:val="20"/>
        </w:rPr>
        <w:t>)  In Section D, delete Section 3.5 and replace it with the following:</w:t>
      </w:r>
    </w:p>
    <w:p>
      <w:pPr>
        <w:pStyle w:val="Normal"/>
        <w:widowControl w:val="false"/>
        <w:tabs>
          <w:tab w:val="clear" w:pos="720"/>
          <w:tab w:val="left" w:pos="708" w:leader="none"/>
        </w:tabs>
        <w:bidi w:val="0"/>
        <w:ind w:firstLine="720" w:start="720"/>
        <w:jc w:val="both"/>
        <w:rPr>
          <w:color w:val="000000"/>
          <w:sz w:val="20"/>
        </w:rPr>
      </w:pPr>
      <w:bookmarkStart w:id="425" w:name="_DV_M204"/>
      <w:bookmarkEnd w:id="425"/>
      <w:r>
        <w:rPr>
          <w:color w:val="000000"/>
          <w:sz w:val="20"/>
        </w:rPr>
        <w:t xml:space="preserve">3.5  </w:t>
      </w:r>
      <w:r>
        <w:rPr>
          <w:color w:val="000000"/>
          <w:sz w:val="20"/>
          <w:u w:val="single"/>
        </w:rPr>
        <w:t>No Immunity Claim</w:t>
      </w:r>
      <w:r>
        <w:rPr>
          <w:color w:val="000000"/>
          <w:sz w:val="20"/>
        </w:rPr>
        <w:t>.  California law authorizes suits based on contract against the State or its agencies, and Party B agrees that it will not assert any immunity it may have as a state agency against such lawsuits filed in state court.</w:t>
      </w:r>
    </w:p>
    <w:p>
      <w:pPr>
        <w:pStyle w:val="Normal"/>
        <w:widowControl w:val="false"/>
        <w:tabs>
          <w:tab w:val="clear" w:pos="720"/>
          <w:tab w:val="left" w:pos="708" w:leader="none"/>
        </w:tabs>
        <w:bidi w:val="0"/>
        <w:jc w:val="both"/>
        <w:rPr>
          <w:color w:val="000000"/>
          <w:sz w:val="20"/>
        </w:rPr>
      </w:pPr>
      <w:r>
        <w:rPr>
          <w:color w:val="000000"/>
          <w:sz w:val="20"/>
        </w:rPr>
      </w:r>
    </w:p>
    <w:p>
      <w:pPr>
        <w:pStyle w:val="Normal"/>
        <w:widowControl w:val="false"/>
        <w:tabs>
          <w:tab w:val="clear" w:pos="720"/>
          <w:tab w:val="left" w:pos="708" w:leader="none"/>
        </w:tabs>
        <w:bidi w:val="0"/>
        <w:ind w:hanging="0" w:start="708"/>
        <w:jc w:val="both"/>
        <w:rPr>
          <w:color w:val="000000"/>
          <w:sz w:val="20"/>
        </w:rPr>
      </w:pPr>
      <w:bookmarkStart w:id="426" w:name="_DV_M205"/>
      <w:bookmarkEnd w:id="426"/>
      <w:r>
        <w:rPr>
          <w:color w:val="000000"/>
          <w:sz w:val="20"/>
        </w:rPr>
        <w:t>(</w:t>
      </w:r>
      <w:bookmarkStart w:id="427" w:name="_DV_C157"/>
      <w:r>
        <w:rPr>
          <w:rStyle w:val="DeltaViewDeletion"/>
          <w:sz w:val="20"/>
        </w:rPr>
        <w:t>5</w:t>
      </w:r>
      <w:bookmarkStart w:id="428" w:name="_DV_C156"/>
      <w:bookmarkEnd w:id="427"/>
      <w:r>
        <w:rPr>
          <w:rStyle w:val="DeltaViewInsertion"/>
          <w:sz w:val="20"/>
        </w:rPr>
        <w:t>6</w:t>
      </w:r>
      <w:bookmarkStart w:id="429" w:name="_DV_C157_Copy_1"/>
      <w:bookmarkEnd w:id="428"/>
      <w:bookmarkEnd w:id="429"/>
      <w:r>
        <w:rPr>
          <w:color w:val="000000"/>
          <w:sz w:val="20"/>
        </w:rPr>
        <w:t>)   In Section G, specify that the laws of the State of California will apply.</w:t>
      </w:r>
    </w:p>
    <w:p>
      <w:pPr>
        <w:pStyle w:val="Normal"/>
        <w:widowControl w:val="false"/>
        <w:tabs>
          <w:tab w:val="clear" w:pos="720"/>
          <w:tab w:val="left" w:pos="708" w:leader="none"/>
        </w:tabs>
        <w:bidi w:val="0"/>
        <w:jc w:val="both"/>
        <w:rPr>
          <w:color w:val="000000"/>
          <w:sz w:val="20"/>
        </w:rPr>
      </w:pPr>
      <w:r>
        <w:rPr>
          <w:color w:val="000000"/>
          <w:sz w:val="20"/>
        </w:rPr>
      </w:r>
    </w:p>
    <w:p>
      <w:pPr>
        <w:pStyle w:val="Normal"/>
        <w:widowControl w:val="false"/>
        <w:tabs>
          <w:tab w:val="clear" w:pos="720"/>
          <w:tab w:val="left" w:pos="708" w:leader="none"/>
        </w:tabs>
        <w:bidi w:val="0"/>
        <w:ind w:hanging="0" w:start="720"/>
        <w:jc w:val="both"/>
        <w:rPr>
          <w:color w:val="000000"/>
          <w:sz w:val="20"/>
        </w:rPr>
      </w:pPr>
      <w:bookmarkStart w:id="430" w:name="_DV_M207"/>
      <w:bookmarkEnd w:id="430"/>
      <w:r>
        <w:rPr>
          <w:color w:val="000000"/>
          <w:sz w:val="20"/>
        </w:rPr>
        <w:t>(</w:t>
      </w:r>
      <w:bookmarkStart w:id="431" w:name="_DV_C159"/>
      <w:r>
        <w:rPr>
          <w:rStyle w:val="DeltaViewDeletion"/>
          <w:sz w:val="20"/>
        </w:rPr>
        <w:t>6</w:t>
      </w:r>
      <w:bookmarkStart w:id="432" w:name="_DV_C158"/>
      <w:bookmarkEnd w:id="431"/>
      <w:r>
        <w:rPr>
          <w:rStyle w:val="DeltaViewInsertion"/>
          <w:sz w:val="20"/>
        </w:rPr>
        <w:t>7</w:t>
      </w:r>
      <w:bookmarkStart w:id="433" w:name="_DV_C159_Copy_1"/>
      <w:bookmarkEnd w:id="432"/>
      <w:bookmarkEnd w:id="433"/>
      <w:r>
        <w:rPr>
          <w:color w:val="000000"/>
          <w:sz w:val="20"/>
        </w:rPr>
        <w:t>)  Add a new Section H, which shall read as follows:</w:t>
      </w:r>
    </w:p>
    <w:p>
      <w:pPr>
        <w:pStyle w:val="Normal"/>
        <w:widowControl w:val="false"/>
        <w:tabs>
          <w:tab w:val="clear" w:pos="720"/>
          <w:tab w:val="left" w:pos="708" w:leader="none"/>
        </w:tabs>
        <w:bidi w:val="0"/>
        <w:ind w:hanging="0" w:start="720"/>
        <w:jc w:val="both"/>
        <w:rPr>
          <w:color w:val="000000"/>
          <w:sz w:val="20"/>
        </w:rPr>
      </w:pPr>
      <w:r>
        <w:rPr>
          <w:color w:val="000000"/>
          <w:sz w:val="20"/>
        </w:rPr>
      </w:r>
    </w:p>
    <w:p>
      <w:pPr>
        <w:pStyle w:val="Normal"/>
        <w:tabs>
          <w:tab w:val="clear" w:pos="720"/>
          <w:tab w:val="left" w:pos="900" w:leader="none"/>
          <w:tab w:val="left" w:pos="1440" w:leader="none"/>
          <w:tab w:val="right" w:pos="6012" w:leader="none"/>
        </w:tabs>
        <w:bidi w:val="0"/>
        <w:spacing w:before="0" w:after="120"/>
        <w:ind w:firstLine="720" w:start="720"/>
        <w:jc w:val="both"/>
        <w:rPr>
          <w:color w:val="000000"/>
          <w:sz w:val="20"/>
        </w:rPr>
      </w:pPr>
      <w:bookmarkStart w:id="434" w:name="_DV_M209"/>
      <w:bookmarkEnd w:id="434"/>
      <w:r>
        <w:rPr>
          <w:color w:val="000000"/>
          <w:sz w:val="20"/>
        </w:rPr>
        <w:t>“</w:t>
      </w:r>
      <w:r>
        <w:rPr>
          <w:color w:val="000000"/>
          <w:sz w:val="20"/>
        </w:rPr>
        <w:t xml:space="preserve">3.7. </w:t>
      </w:r>
      <w:r>
        <w:rPr>
          <w:color w:val="000000"/>
          <w:sz w:val="20"/>
          <w:u w:val="single"/>
        </w:rPr>
        <w:t>Payments Under Agreement an Operating Expense</w:t>
      </w:r>
      <w:r>
        <w:rPr>
          <w:color w:val="000000"/>
          <w:sz w:val="20"/>
        </w:rPr>
        <w:t xml:space="preserve">. Payments under this Agreement shall constitute an operating expense of the Fund payable prior to all </w:t>
      </w:r>
      <w:bookmarkStart w:id="435" w:name="_DV_C161"/>
      <w:r>
        <w:rPr>
          <w:rStyle w:val="DeltaViewDeletion"/>
          <w:sz w:val="20"/>
        </w:rPr>
        <w:t>bond</w:t>
      </w:r>
      <w:bookmarkStart w:id="436" w:name="_DV_C160"/>
      <w:bookmarkEnd w:id="435"/>
      <w:r>
        <w:rPr>
          <w:rStyle w:val="DeltaViewInsertion"/>
          <w:sz w:val="20"/>
        </w:rPr>
        <w:t>bonds</w:t>
      </w:r>
      <w:bookmarkStart w:id="437" w:name="_DV_C161_Copy_1"/>
      <w:bookmarkEnd w:id="436"/>
      <w:bookmarkEnd w:id="437"/>
      <w:r>
        <w:rPr>
          <w:color w:val="000000"/>
          <w:sz w:val="20"/>
        </w:rPr>
        <w:t>, notes or other indebtedness secured by a pledge or assignment of the Trust Estate or payments to the general fund</w:t>
      </w:r>
      <w:bookmarkStart w:id="438" w:name="_DV_M211"/>
      <w:r>
        <w:rPr>
          <w:rStyle w:val="DeltaViewInsertion"/>
          <w:sz w:val="20"/>
        </w:rPr>
        <w:t>, including any Bonds</w:t>
      </w:r>
      <w:bookmarkStart w:id="439" w:name="_DV_C162"/>
      <w:bookmarkEnd w:id="438"/>
      <w:bookmarkEnd w:id="439"/>
      <w:r>
        <w:rPr>
          <w:color w:val="000000"/>
          <w:sz w:val="20"/>
        </w:rPr>
        <w:t>.”</w:t>
      </w:r>
    </w:p>
    <w:p>
      <w:pPr>
        <w:pStyle w:val="Normal"/>
        <w:tabs>
          <w:tab w:val="clear" w:pos="720"/>
          <w:tab w:val="left" w:pos="900" w:leader="none"/>
          <w:tab w:val="left" w:pos="1440" w:leader="none"/>
          <w:tab w:val="right" w:pos="6012" w:leader="none"/>
        </w:tabs>
        <w:bidi w:val="0"/>
        <w:spacing w:before="0" w:after="120"/>
        <w:ind w:hanging="0" w:start="720"/>
        <w:jc w:val="both"/>
        <w:rPr>
          <w:color w:val="000000"/>
          <w:sz w:val="20"/>
        </w:rPr>
      </w:pPr>
      <w:bookmarkStart w:id="440" w:name="_DV_M212"/>
      <w:bookmarkEnd w:id="440"/>
      <w:r>
        <w:rPr>
          <w:color w:val="000000"/>
          <w:sz w:val="20"/>
        </w:rPr>
        <w:t>(</w:t>
      </w:r>
      <w:bookmarkStart w:id="441" w:name="_DV_C164"/>
      <w:r>
        <w:rPr>
          <w:rStyle w:val="DeltaViewDeletion"/>
          <w:sz w:val="20"/>
        </w:rPr>
        <w:t>7</w:t>
      </w:r>
      <w:bookmarkStart w:id="442" w:name="_DV_C163"/>
      <w:bookmarkEnd w:id="441"/>
      <w:r>
        <w:rPr>
          <w:rStyle w:val="DeltaViewInsertion"/>
          <w:sz w:val="20"/>
        </w:rPr>
        <w:t>8</w:t>
      </w:r>
      <w:bookmarkStart w:id="443" w:name="_DV_C164_Copy_1"/>
      <w:bookmarkEnd w:id="442"/>
      <w:bookmarkEnd w:id="443"/>
      <w:r>
        <w:rPr>
          <w:color w:val="000000"/>
          <w:sz w:val="20"/>
        </w:rPr>
        <w:t>)  Add a new Section I, which shall read as follows:</w:t>
      </w:r>
    </w:p>
    <w:p>
      <w:pPr>
        <w:pStyle w:val="BodyText"/>
        <w:bidi w:val="0"/>
        <w:ind w:firstLine="720" w:start="720"/>
        <w:jc w:val="start"/>
        <w:rPr>
          <w:rFonts w:ascii="Times New Roman" w:hAnsi="Times New Roman"/>
          <w:color w:val="000000"/>
        </w:rPr>
      </w:pPr>
      <w:bookmarkStart w:id="444" w:name="_DV_M214"/>
      <w:bookmarkEnd w:id="444"/>
      <w:r>
        <w:rPr>
          <w:color w:val="000000"/>
        </w:rPr>
        <w:t>“</w:t>
      </w:r>
      <w:r>
        <w:rPr>
          <w:color w:val="000000"/>
        </w:rPr>
        <w:t xml:space="preserve">3.8. </w:t>
      </w:r>
      <w:r>
        <w:rPr>
          <w:color w:val="000000"/>
          <w:u w:val="single"/>
        </w:rPr>
        <w:t>Rate Covenant; No Impairment</w:t>
      </w:r>
      <w:r>
        <w:rPr>
          <w:color w:val="000000"/>
        </w:rPr>
        <w:t xml:space="preserve">.  In accordance with Section 80134 of the Water Code, Party B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Party B pursuant to this Agreement. </w:t>
      </w:r>
      <w:bookmarkStart w:id="445" w:name="_DV_C166"/>
      <w:r>
        <w:rPr>
          <w:rStyle w:val="DeltaViewDeletion"/>
        </w:rPr>
        <w:t>As</w:t>
      </w:r>
      <w:bookmarkStart w:id="446" w:name="_DV_C165"/>
      <w:bookmarkEnd w:id="445"/>
      <w:r>
        <w:rPr>
          <w:rStyle w:val="DeltaViewInsertion"/>
        </w:rPr>
        <w:t>In addition to any rights and protections afforded Party A in the event of a Material Regulatory Change, Party B represents and warrants, as</w:t>
      </w:r>
      <w:bookmarkStart w:id="447" w:name="_DV_C166_Copy_1"/>
      <w:bookmarkEnd w:id="446"/>
      <w:bookmarkEnd w:id="447"/>
      <w:r>
        <w:rPr>
          <w:color w:val="000000"/>
        </w:rPr>
        <w:t xml:space="preserve"> provided in Section 80200 of the Water Code, </w:t>
      </w:r>
      <w:bookmarkStart w:id="448" w:name="_DV_M216"/>
      <w:r>
        <w:rPr>
          <w:rStyle w:val="DeltaViewInsertion"/>
        </w:rPr>
        <w:t xml:space="preserve">that </w:t>
      </w:r>
      <w:bookmarkStart w:id="449" w:name="_DV_C167"/>
      <w:bookmarkEnd w:id="448"/>
      <w:bookmarkEnd w:id="449"/>
      <w:r>
        <w:rPr>
          <w:color w:val="000000"/>
        </w:rPr>
        <w:t xml:space="preserve">while any obligations of Party B pursuant this Agreement remain outstanding and not fully performed or discharged, the rights, powers, duties and existence of Party B and the </w:t>
      </w:r>
      <w:bookmarkStart w:id="450" w:name="_DV_C169"/>
      <w:r>
        <w:rPr>
          <w:rStyle w:val="DeltaViewDeletion"/>
        </w:rPr>
        <w:t>Public Utilities Commission</w:t>
      </w:r>
      <w:bookmarkStart w:id="451" w:name="_DV_C168"/>
      <w:bookmarkEnd w:id="450"/>
      <w:r>
        <w:rPr>
          <w:rStyle w:val="DeltaViewInsertion"/>
        </w:rPr>
        <w:t>CPUC</w:t>
      </w:r>
      <w:bookmarkStart w:id="452" w:name="_DV_C169_Copy_1"/>
      <w:bookmarkEnd w:id="451"/>
      <w:bookmarkEnd w:id="452"/>
      <w:r>
        <w:rPr>
          <w:color w:val="000000"/>
        </w:rPr>
        <w:t xml:space="preserve"> shall not be diminished or impaired in any manner that will affect adversely the interests and rights of </w:t>
      </w:r>
      <w:bookmarkStart w:id="453" w:name="_DV_C171"/>
      <w:r>
        <w:rPr>
          <w:rStyle w:val="DeltaViewDeletion"/>
        </w:rPr>
        <w:t>the</w:t>
      </w:r>
      <w:bookmarkStart w:id="454" w:name="_DV_C170"/>
      <w:bookmarkEnd w:id="453"/>
      <w:r>
        <w:rPr>
          <w:rStyle w:val="DeltaViewInsertion"/>
        </w:rPr>
        <w:t>Party</w:t>
      </w:r>
      <w:bookmarkStart w:id="455" w:name="_DV_C171_Copy_1"/>
      <w:bookmarkEnd w:id="454"/>
      <w:bookmarkEnd w:id="455"/>
      <w:r>
        <w:rPr>
          <w:color w:val="000000"/>
        </w:rPr>
        <w:t xml:space="preserve"> </w:t>
      </w:r>
      <w:bookmarkStart w:id="456" w:name="_DV_C173"/>
      <w:r>
        <w:rPr>
          <w:rStyle w:val="DeltaViewDeletion"/>
        </w:rPr>
        <w:t>Seller</w:t>
      </w:r>
      <w:bookmarkStart w:id="457" w:name="_DV_C172"/>
      <w:bookmarkEnd w:id="456"/>
      <w:r>
        <w:rPr>
          <w:rStyle w:val="DeltaViewInsertion"/>
        </w:rPr>
        <w:t>A</w:t>
      </w:r>
      <w:bookmarkStart w:id="458" w:name="_DV_C173_Copy_1"/>
      <w:bookmarkEnd w:id="457"/>
      <w:bookmarkEnd w:id="458"/>
      <w:r>
        <w:rPr>
          <w:color w:val="000000"/>
        </w:rPr>
        <w:t xml:space="preserve"> under this Agreement.”</w:t>
      </w:r>
    </w:p>
    <w:p>
      <w:pPr>
        <w:pStyle w:val="BodyText2"/>
        <w:tabs>
          <w:tab w:val="left" w:pos="1530" w:leader="none"/>
          <w:tab w:val="right" w:pos="4475" w:leader="none"/>
        </w:tabs>
        <w:bidi w:val="0"/>
        <w:ind w:hanging="1285" w:start="1530"/>
        <w:jc w:val="start"/>
        <w:rPr>
          <w:rFonts w:ascii="Times New Roman" w:hAnsi="Times New Roman"/>
          <w:b w:val="false"/>
          <w:color w:val="000000"/>
        </w:rPr>
      </w:pPr>
      <w:r>
        <w:rPr>
          <w:b w:val="false"/>
          <w:color w:val="000000"/>
        </w:rPr>
      </w:r>
    </w:p>
    <w:p>
      <w:pPr>
        <w:pStyle w:val="Normal"/>
        <w:bidi w:val="0"/>
        <w:ind w:hanging="0" w:start="720"/>
        <w:jc w:val="start"/>
        <w:rPr>
          <w:color w:val="000000"/>
          <w:sz w:val="20"/>
        </w:rPr>
      </w:pPr>
      <w:bookmarkStart w:id="459" w:name="_DV_M220"/>
      <w:bookmarkEnd w:id="459"/>
      <w:r>
        <w:rPr>
          <w:color w:val="000000"/>
          <w:sz w:val="20"/>
        </w:rPr>
        <w:t>(</w:t>
      </w:r>
      <w:bookmarkStart w:id="460" w:name="_DV_C175"/>
      <w:r>
        <w:rPr>
          <w:rStyle w:val="DeltaViewDeletion"/>
          <w:sz w:val="20"/>
        </w:rPr>
        <w:t>8</w:t>
      </w:r>
      <w:bookmarkStart w:id="461" w:name="_DV_C174"/>
      <w:bookmarkEnd w:id="460"/>
      <w:r>
        <w:rPr>
          <w:rStyle w:val="DeltaViewInsertion"/>
          <w:sz w:val="20"/>
        </w:rPr>
        <w:t>9</w:t>
      </w:r>
      <w:bookmarkStart w:id="462" w:name="_DV_C175_Copy_1"/>
      <w:bookmarkEnd w:id="461"/>
      <w:bookmarkEnd w:id="462"/>
      <w:r>
        <w:rPr>
          <w:color w:val="000000"/>
          <w:sz w:val="20"/>
        </w:rPr>
        <w:t>)  Add a new Section J, which shall read as follows:</w:t>
      </w:r>
    </w:p>
    <w:p>
      <w:pPr>
        <w:pStyle w:val="Normal"/>
        <w:bidi w:val="0"/>
        <w:jc w:val="start"/>
        <w:rPr>
          <w:color w:val="000000"/>
          <w:sz w:val="20"/>
        </w:rPr>
      </w:pPr>
      <w:r>
        <w:rPr>
          <w:color w:val="000000"/>
          <w:sz w:val="20"/>
        </w:rPr>
      </w:r>
    </w:p>
    <w:p>
      <w:pPr>
        <w:pStyle w:val="Normal"/>
        <w:bidi w:val="0"/>
        <w:spacing w:before="0" w:after="120"/>
        <w:ind w:firstLine="720" w:start="720"/>
        <w:jc w:val="both"/>
        <w:rPr>
          <w:color w:val="000000"/>
          <w:sz w:val="20"/>
        </w:rPr>
      </w:pPr>
      <w:bookmarkStart w:id="463" w:name="_DV_M222"/>
      <w:bookmarkEnd w:id="463"/>
      <w:r>
        <w:rPr>
          <w:color w:val="000000"/>
          <w:sz w:val="20"/>
        </w:rPr>
        <w:t>“</w:t>
      </w:r>
      <w:r>
        <w:rPr>
          <w:color w:val="000000"/>
          <w:sz w:val="20"/>
        </w:rPr>
        <w:t xml:space="preserve">3.9.  </w:t>
      </w:r>
      <w:r>
        <w:rPr>
          <w:color w:val="000000"/>
          <w:sz w:val="20"/>
          <w:u w:val="single"/>
        </w:rPr>
        <w:t>No More Favorable Terms</w:t>
      </w:r>
      <w:r>
        <w:rPr>
          <w:color w:val="000000"/>
          <w:sz w:val="20"/>
        </w:rPr>
        <w:t>. Party B shall not provide in any power purchase agreement payable from the Trust Estate for (i) collateral or other security or credit support with respect thereto, (ii) a pledge or assignment of the Trust Estate for the payment thereof, or (iii) payment priority with respect thereto superior to that of Party A, without in each case offering such arrangements to Party A.”</w:t>
      </w:r>
    </w:p>
    <w:p>
      <w:pPr>
        <w:pStyle w:val="Normal"/>
        <w:bidi w:val="0"/>
        <w:spacing w:before="0" w:after="120"/>
        <w:ind w:hanging="0" w:start="720"/>
        <w:jc w:val="both"/>
        <w:rPr>
          <w:color w:val="000000"/>
          <w:sz w:val="20"/>
        </w:rPr>
      </w:pPr>
      <w:bookmarkStart w:id="464" w:name="_DV_M223"/>
      <w:bookmarkEnd w:id="464"/>
      <w:r>
        <w:rPr>
          <w:color w:val="000000"/>
          <w:sz w:val="20"/>
        </w:rPr>
        <w:t>(</w:t>
      </w:r>
      <w:bookmarkStart w:id="465" w:name="_DV_C177"/>
      <w:r>
        <w:rPr>
          <w:rStyle w:val="DeltaViewDeletion"/>
          <w:sz w:val="20"/>
        </w:rPr>
        <w:t>9</w:t>
      </w:r>
      <w:bookmarkStart w:id="466" w:name="_DV_C176"/>
      <w:bookmarkEnd w:id="465"/>
      <w:r>
        <w:rPr>
          <w:rStyle w:val="DeltaViewInsertion"/>
          <w:sz w:val="20"/>
        </w:rPr>
        <w:t>10</w:t>
      </w:r>
      <w:bookmarkStart w:id="467" w:name="_DV_C177_Copy_1"/>
      <w:bookmarkEnd w:id="466"/>
      <w:bookmarkEnd w:id="467"/>
      <w:r>
        <w:rPr>
          <w:color w:val="000000"/>
          <w:sz w:val="20"/>
        </w:rPr>
        <w:t>)  Add a new Section K, which shall read as follows:</w:t>
      </w:r>
    </w:p>
    <w:p>
      <w:pPr>
        <w:pStyle w:val="Normal"/>
        <w:tabs>
          <w:tab w:val="clear" w:pos="720"/>
          <w:tab w:val="left" w:pos="9540" w:leader="none"/>
        </w:tabs>
        <w:bidi w:val="0"/>
        <w:ind w:firstLine="720" w:start="720"/>
        <w:jc w:val="both"/>
        <w:rPr>
          <w:color w:val="000000"/>
          <w:sz w:val="20"/>
        </w:rPr>
      </w:pPr>
      <w:bookmarkStart w:id="468" w:name="_DV_M225"/>
      <w:bookmarkEnd w:id="468"/>
      <w:r>
        <w:rPr>
          <w:color w:val="000000"/>
          <w:sz w:val="20"/>
        </w:rPr>
        <w:t>“</w:t>
      </w:r>
      <w:r>
        <w:rPr>
          <w:color w:val="000000"/>
          <w:sz w:val="20"/>
        </w:rPr>
        <w:t xml:space="preserve">3.10.   </w:t>
      </w:r>
      <w:r>
        <w:rPr>
          <w:color w:val="000000"/>
          <w:sz w:val="20"/>
          <w:u w:val="single"/>
        </w:rPr>
        <w:t>Sources of Payment; No Debt of State</w:t>
      </w:r>
      <w:r>
        <w:rPr>
          <w:color w:val="000000"/>
          <w:sz w:val="20"/>
        </w:rPr>
        <w:t>.  Party B’s obligation to make payments hereunder shall be limited solely to the Fund.  Any liability of Party B arising in connection with this Agreement or any claim based thereon or with respect thereto, including, but not limited to, any Termination Payment arising as the result of any breach or Potential Event of Default or Event of Default under this Agreement, and any other payment obligation or liability of or judgment against Party B hereunder, shall be satisfied solely from the Fund. NEITHER THE FULL FAITH AND CREDIT NOR THE TAXING POWER OF THE STATE OF CALIFORNIA ARE OR MAY BE PLEDGED FOR ANY PAYMENT UNDER THIS AGREEMENT. Revenues and assets of the State Water Resources Development System shall not be liable for or available to make any payments or satisfy any obligation arising under this Agreement.”</w:t>
      </w:r>
    </w:p>
    <w:p>
      <w:pPr>
        <w:pStyle w:val="Normal"/>
        <w:tabs>
          <w:tab w:val="clear" w:pos="720"/>
          <w:tab w:val="left" w:pos="9540" w:leader="none"/>
        </w:tabs>
        <w:bidi w:val="0"/>
        <w:jc w:val="start"/>
        <w:rPr>
          <w:color w:val="000000"/>
          <w:sz w:val="20"/>
        </w:rPr>
      </w:pPr>
      <w:r>
        <w:rPr>
          <w:color w:val="000000"/>
          <w:sz w:val="20"/>
        </w:rPr>
      </w:r>
    </w:p>
    <w:p>
      <w:pPr>
        <w:pStyle w:val="Normal"/>
        <w:tabs>
          <w:tab w:val="clear" w:pos="720"/>
          <w:tab w:val="left" w:pos="9540" w:leader="none"/>
        </w:tabs>
        <w:bidi w:val="0"/>
        <w:ind w:hanging="0" w:start="720"/>
        <w:jc w:val="start"/>
        <w:rPr>
          <w:color w:val="000000"/>
          <w:sz w:val="20"/>
        </w:rPr>
      </w:pPr>
      <w:bookmarkStart w:id="469" w:name="_DV_M226"/>
      <w:bookmarkEnd w:id="469"/>
      <w:r>
        <w:rPr>
          <w:color w:val="000000"/>
          <w:sz w:val="20"/>
        </w:rPr>
        <w:t>(</w:t>
      </w:r>
      <w:bookmarkStart w:id="470" w:name="_DV_C179"/>
      <w:r>
        <w:rPr>
          <w:rStyle w:val="DeltaViewDeletion"/>
          <w:sz w:val="20"/>
        </w:rPr>
        <w:t>10</w:t>
      </w:r>
      <w:bookmarkStart w:id="471" w:name="_DV_C178"/>
      <w:bookmarkEnd w:id="470"/>
      <w:r>
        <w:rPr>
          <w:rStyle w:val="DeltaViewInsertion"/>
          <w:sz w:val="20"/>
        </w:rPr>
        <w:t>11</w:t>
      </w:r>
      <w:bookmarkStart w:id="472" w:name="_DV_C179_Copy_1"/>
      <w:bookmarkEnd w:id="471"/>
      <w:bookmarkEnd w:id="472"/>
      <w:r>
        <w:rPr>
          <w:color w:val="000000"/>
          <w:sz w:val="20"/>
        </w:rPr>
        <w:t>)  Add a new Section L, which shall read as follows:</w:t>
      </w:r>
    </w:p>
    <w:p>
      <w:pPr>
        <w:pStyle w:val="Normal"/>
        <w:tabs>
          <w:tab w:val="clear" w:pos="720"/>
          <w:tab w:val="left" w:pos="9540" w:leader="none"/>
        </w:tabs>
        <w:bidi w:val="0"/>
        <w:jc w:val="start"/>
        <w:rPr>
          <w:color w:val="000000"/>
          <w:sz w:val="20"/>
        </w:rPr>
      </w:pPr>
      <w:r>
        <w:rPr>
          <w:color w:val="000000"/>
          <w:sz w:val="20"/>
        </w:rPr>
      </w:r>
    </w:p>
    <w:p>
      <w:pPr>
        <w:pStyle w:val="Normal"/>
        <w:bidi w:val="0"/>
        <w:ind w:firstLine="720" w:start="720"/>
        <w:jc w:val="both"/>
        <w:rPr>
          <w:color w:val="000000"/>
          <w:sz w:val="20"/>
        </w:rPr>
      </w:pPr>
      <w:bookmarkStart w:id="473" w:name="_DV_M228"/>
      <w:bookmarkEnd w:id="473"/>
      <w:r>
        <w:rPr>
          <w:color w:val="000000"/>
          <w:sz w:val="20"/>
        </w:rPr>
        <w:t>“</w:t>
      </w:r>
      <w:r>
        <w:rPr>
          <w:color w:val="000000"/>
          <w:sz w:val="20"/>
        </w:rPr>
        <w:t xml:space="preserve">3.11. </w:t>
      </w:r>
      <w:r>
        <w:rPr>
          <w:color w:val="000000"/>
          <w:sz w:val="20"/>
          <w:u w:val="single"/>
        </w:rPr>
        <w:t>Application of Government Code and the Public Contracts Code</w:t>
      </w:r>
      <w:r>
        <w:rPr>
          <w:color w:val="000000"/>
          <w:sz w:val="20"/>
        </w:rPr>
        <w:t>. Party A has stated that, because of the administrative burden and delays associated with such requirements, it would not enter into this Agreement if the provisions of the Government Code and the Public Contracts Code applicable to state contracts, including, but not limited to, advertising and competitive bidding requirements and prompt payment requirements would apply to or be required to be incorporated in this Agreement.  Accordingly, pursuant to Section 80014(b) of the Water Code, Party B has determined that it would be detrimental to accomplishing the purposes of Division 27 (commencing with Section 80000) of the Water Code to make such provisions applicable to this Agreement and that such provisions and requirements are therefore not applicable to or incorporated in this Agreement.”</w:t>
      </w:r>
      <w:r>
        <w:br w:type="page"/>
      </w:r>
    </w:p>
    <w:p>
      <w:pPr>
        <w:pStyle w:val="PlainText"/>
        <w:bidi w:val="0"/>
        <w:spacing w:before="0" w:after="120"/>
        <w:jc w:val="start"/>
        <w:rPr>
          <w:rFonts w:ascii="Times New Roman" w:hAnsi="Times New Roman"/>
          <w:color w:val="000000"/>
        </w:rPr>
      </w:pPr>
      <w:r>
        <w:rPr>
          <w:color w:val="000000"/>
        </w:rPr>
      </w:r>
      <w:bookmarkStart w:id="474" w:name="_DV_M229"/>
      <w:bookmarkStart w:id="475" w:name="_DV_M229"/>
      <w:bookmarkEnd w:id="475"/>
    </w:p>
    <w:p>
      <w:pPr>
        <w:pStyle w:val="PlainText"/>
        <w:bidi w:val="0"/>
        <w:spacing w:before="0" w:after="120"/>
        <w:jc w:val="start"/>
        <w:rPr>
          <w:rFonts w:ascii="Times New Roman" w:hAnsi="Times New Roman"/>
          <w:color w:val="000000"/>
        </w:rPr>
      </w:pPr>
      <w:r>
        <w:rPr>
          <w:color w:val="000000"/>
        </w:rPr>
      </w:r>
    </w:p>
    <w:p>
      <w:pPr>
        <w:pStyle w:val="PlainText"/>
        <w:bidi w:val="0"/>
        <w:spacing w:before="0" w:after="120"/>
        <w:jc w:val="start"/>
        <w:rPr>
          <w:rFonts w:ascii="Times New Roman" w:hAnsi="Times New Roman"/>
          <w:color w:val="000000"/>
        </w:rPr>
      </w:pPr>
      <w:bookmarkStart w:id="476" w:name="_DV_M230"/>
      <w:bookmarkEnd w:id="476"/>
      <w:r>
        <w:rPr>
          <w:color w:val="000000"/>
        </w:rPr>
        <w:t>IN WITNESS WHEREOF, the Parties have caused this Master Agreement to be duly executed as of the date first above written.</w:t>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100" w:charSpace="0"/>
        </w:sectPr>
      </w:pPr>
    </w:p>
    <w:p>
      <w:pPr>
        <w:pStyle w:val="Signature-dbl"/>
        <w:bidi w:val="0"/>
        <w:jc w:val="start"/>
        <w:rPr>
          <w:rFonts w:ascii="Times New Roman" w:hAnsi="Times New Roman"/>
          <w:b/>
          <w:smallCaps/>
          <w:color w:val="000000"/>
          <w:sz w:val="20"/>
        </w:rPr>
      </w:pPr>
      <w:bookmarkStart w:id="481" w:name="_DV_M231"/>
      <w:bookmarkEnd w:id="481"/>
      <w:r>
        <w:rPr>
          <w:color w:val="000000"/>
          <w:sz w:val="20"/>
        </w:rPr>
        <w:t xml:space="preserve">Party A – </w:t>
      </w:r>
      <w:r>
        <w:rPr>
          <w:b/>
          <w:smallCaps/>
          <w:color w:val="000000"/>
          <w:sz w:val="20"/>
        </w:rPr>
        <w:t>Enron Power Marketing, Inc.</w:t>
      </w:r>
    </w:p>
    <w:p>
      <w:pPr>
        <w:pStyle w:val="Signature-dbl"/>
        <w:bidi w:val="0"/>
        <w:jc w:val="start"/>
        <w:rPr>
          <w:rFonts w:ascii="Times New Roman" w:hAnsi="Times New Roman"/>
          <w:b/>
          <w:smallCaps/>
          <w:color w:val="000000"/>
          <w:sz w:val="20"/>
        </w:rPr>
      </w:pPr>
      <w:r>
        <w:rPr>
          <w:b/>
          <w:smallCaps/>
          <w:color w:val="000000"/>
          <w:sz w:val="20"/>
        </w:rPr>
      </w:r>
      <w:bookmarkStart w:id="482" w:name="_DV_IPM32"/>
      <w:bookmarkStart w:id="483" w:name="_DV_IPM32"/>
      <w:bookmarkEnd w:id="483"/>
    </w:p>
    <w:p>
      <w:pPr>
        <w:pStyle w:val="Signature-dbl"/>
        <w:bidi w:val="0"/>
        <w:jc w:val="start"/>
        <w:rPr>
          <w:rFonts w:ascii="Times New Roman" w:hAnsi="Times New Roman"/>
          <w:b/>
          <w:smallCaps/>
          <w:color w:val="000000"/>
          <w:sz w:val="20"/>
        </w:rPr>
      </w:pPr>
      <w:bookmarkStart w:id="484" w:name="_DV_IPM33"/>
      <w:bookmarkStart w:id="485" w:name="_DV_C180"/>
      <w:bookmarkEnd w:id="485"/>
      <w:r>
        <w:rPr>
          <w:rStyle w:val="DeltaViewInsertion"/>
          <w:smallCaps/>
          <w:sz w:val="20"/>
        </w:rPr>
        <w:t>B</w:t>
      </w:r>
      <w:r>
        <w:rPr>
          <w:rStyle w:val="DeltaViewInsertion"/>
          <w:sz w:val="20"/>
        </w:rPr>
        <w:t xml:space="preserve">y:  </w:t>
      </w:r>
      <w:bookmarkStart w:id="486" w:name="_DV_C180_Copy_1"/>
      <w:bookmarkEnd w:id="484"/>
      <w:bookmarkEnd w:id="486"/>
      <w:r>
        <w:rPr>
          <w:color w:val="000000"/>
          <w:sz w:val="20"/>
          <w:u w:val="single"/>
        </w:rPr>
        <w:tab/>
      </w:r>
    </w:p>
    <w:p>
      <w:pPr>
        <w:pStyle w:val="Signature-dbl"/>
        <w:bidi w:val="0"/>
        <w:jc w:val="start"/>
        <w:rPr>
          <w:rFonts w:ascii="Times New Roman" w:hAnsi="Times New Roman"/>
          <w:b/>
          <w:smallCaps/>
          <w:color w:val="000000"/>
          <w:sz w:val="20"/>
        </w:rPr>
      </w:pPr>
      <w:bookmarkStart w:id="487" w:name="_DV_IPM34"/>
      <w:bookmarkStart w:id="488" w:name="_DV_C181"/>
      <w:bookmarkEnd w:id="488"/>
      <w:r>
        <w:rPr>
          <w:rStyle w:val="DeltaViewInsertion"/>
          <w:sz w:val="20"/>
        </w:rPr>
        <w:t xml:space="preserve">Name:  </w:t>
      </w:r>
      <w:bookmarkStart w:id="489" w:name="_DV_C181_Copy_1"/>
      <w:bookmarkEnd w:id="487"/>
      <w:bookmarkEnd w:id="489"/>
      <w:r>
        <w:rPr>
          <w:color w:val="000000"/>
          <w:sz w:val="20"/>
          <w:u w:val="single"/>
        </w:rPr>
        <w:tab/>
      </w:r>
    </w:p>
    <w:p>
      <w:pPr>
        <w:pStyle w:val="Signature-dbl"/>
        <w:bidi w:val="0"/>
        <w:jc w:val="start"/>
        <w:rPr>
          <w:rFonts w:ascii="Times New Roman" w:hAnsi="Times New Roman"/>
          <w:color w:val="000000"/>
          <w:sz w:val="20"/>
        </w:rPr>
      </w:pPr>
      <w:bookmarkStart w:id="490" w:name="_DV_IPM35"/>
      <w:bookmarkStart w:id="491" w:name="_DV_C182"/>
      <w:bookmarkEnd w:id="491"/>
      <w:r>
        <w:rPr>
          <w:rStyle w:val="DeltaViewInsertion"/>
          <w:sz w:val="20"/>
        </w:rPr>
        <w:t xml:space="preserve">Title:  </w:t>
        <w:tab/>
      </w:r>
      <w:bookmarkEnd w:id="490"/>
    </w:p>
    <w:p>
      <w:pPr>
        <w:pStyle w:val="Signature-dbl"/>
        <w:widowControl w:val="false"/>
        <w:bidi w:val="0"/>
        <w:jc w:val="start"/>
        <w:rPr>
          <w:rFonts w:ascii="Times New Roman" w:hAnsi="Times New Roman"/>
          <w:b/>
          <w:smallCaps/>
          <w:color w:val="000000"/>
          <w:sz w:val="20"/>
        </w:rPr>
      </w:pPr>
      <w:r>
        <w:br w:type="column"/>
      </w:r>
      <w:bookmarkStart w:id="492" w:name="_DV_M234"/>
      <w:bookmarkStart w:id="493" w:name="_DV_IPM36"/>
      <w:bookmarkEnd w:id="492"/>
      <w:bookmarkEnd w:id="493"/>
      <w:r>
        <w:rPr>
          <w:color w:val="000000"/>
          <w:sz w:val="20"/>
        </w:rPr>
        <w:t xml:space="preserve">Party B – </w:t>
      </w:r>
      <w:r>
        <w:rPr>
          <w:b/>
          <w:smallCaps/>
          <w:color w:val="000000"/>
          <w:sz w:val="20"/>
        </w:rPr>
        <w:t xml:space="preserve">Department of Water Resources, with respect to </w:t>
        <w:tab/>
        <w:tab/>
      </w:r>
      <w:bookmarkStart w:id="494" w:name="_DV_M235"/>
      <w:bookmarkEnd w:id="494"/>
      <w:r>
        <w:rPr>
          <w:b/>
          <w:smallCaps/>
          <w:color w:val="000000"/>
          <w:sz w:val="20"/>
        </w:rPr>
        <w:t>the department of water resources electric power fund</w:t>
      </w:r>
      <w:bookmarkStart w:id="495" w:name="_DV_C183"/>
      <w:r>
        <w:rPr>
          <w:rStyle w:val="DeltaViewDeletion"/>
          <w:smallCaps/>
          <w:sz w:val="20"/>
        </w:rPr>
        <w:t>B</w:t>
      </w:r>
      <w:r>
        <w:rPr>
          <w:rStyle w:val="DeltaViewDeletion"/>
          <w:sz w:val="20"/>
        </w:rPr>
        <w:t xml:space="preserve">y:  </w:t>
      </w:r>
      <w:r>
        <w:rPr>
          <w:rStyle w:val="DeltaViewDeletion"/>
          <w:sz w:val="20"/>
          <w:u w:val="single"/>
        </w:rPr>
        <w:tab/>
      </w:r>
      <w:r>
        <w:rPr>
          <w:rStyle w:val="DeltaViewDeletion"/>
          <w:b/>
          <w:smallCaps/>
          <w:sz w:val="20"/>
        </w:rPr>
        <w:tab/>
        <w:tab/>
      </w:r>
      <w:bookmarkEnd w:id="495"/>
      <w:r>
        <w:rPr>
          <w:b/>
          <w:smallCaps/>
          <w:color w:val="000000"/>
          <w:sz w:val="20"/>
        </w:rPr>
        <w:t xml:space="preserve"> </w:t>
      </w:r>
      <w:bookmarkStart w:id="496" w:name="_DV_M236"/>
      <w:bookmarkEnd w:id="496"/>
      <w:r>
        <w:rPr>
          <w:b/>
          <w:smallCaps/>
          <w:color w:val="000000"/>
          <w:sz w:val="20"/>
        </w:rPr>
        <w:t>separate and apart from its powers and responsibilities</w:t>
      </w:r>
      <w:bookmarkStart w:id="497" w:name="_DV_C184"/>
      <w:r>
        <w:rPr>
          <w:rStyle w:val="DeltaViewDeletion"/>
          <w:sz w:val="20"/>
        </w:rPr>
        <w:t xml:space="preserve">Name:  </w:t>
      </w:r>
      <w:r>
        <w:rPr>
          <w:rStyle w:val="DeltaViewDeletion"/>
          <w:sz w:val="20"/>
          <w:u w:val="single"/>
        </w:rPr>
        <w:tab/>
      </w:r>
      <w:r>
        <w:rPr>
          <w:rStyle w:val="DeltaViewDeletion"/>
          <w:b/>
          <w:smallCaps/>
          <w:sz w:val="20"/>
        </w:rPr>
        <w:tab/>
        <w:tab/>
      </w:r>
      <w:bookmarkEnd w:id="497"/>
      <w:r>
        <w:rPr>
          <w:b/>
          <w:smallCaps/>
          <w:color w:val="000000"/>
          <w:sz w:val="20"/>
        </w:rPr>
        <w:t xml:space="preserve"> </w:t>
      </w:r>
      <w:bookmarkStart w:id="498" w:name="_DV_M237"/>
      <w:bookmarkEnd w:id="498"/>
      <w:r>
        <w:rPr>
          <w:b/>
          <w:smallCaps/>
          <w:color w:val="000000"/>
          <w:sz w:val="20"/>
        </w:rPr>
        <w:t xml:space="preserve">with respect to the state water resources development </w:t>
      </w:r>
      <w:bookmarkStart w:id="499" w:name="_DV_M238"/>
      <w:r>
        <w:rPr>
          <w:rStyle w:val="DeltaViewDeletion"/>
          <w:sz w:val="20"/>
        </w:rPr>
        <w:t xml:space="preserve">Title:  </w:t>
      </w:r>
      <w:bookmarkStart w:id="500" w:name="_DV_C185"/>
      <w:bookmarkEnd w:id="499"/>
      <w:bookmarkEnd w:id="500"/>
      <w:r>
        <w:rPr>
          <w:b/>
          <w:smallCaps/>
          <w:color w:val="000000"/>
          <w:sz w:val="20"/>
        </w:rPr>
        <w:tab/>
        <w:t>system, a division of the State of California</w:t>
      </w:r>
    </w:p>
    <w:p>
      <w:pPr>
        <w:pStyle w:val="Signature-dbl"/>
        <w:widowControl w:val="false"/>
        <w:bidi w:val="0"/>
        <w:jc w:val="start"/>
        <w:rPr>
          <w:rFonts w:ascii="Times New Roman" w:hAnsi="Times New Roman"/>
          <w:color w:val="000000"/>
          <w:sz w:val="20"/>
        </w:rPr>
      </w:pPr>
      <w:r>
        <w:rPr>
          <w:color w:val="000000"/>
          <w:sz w:val="20"/>
        </w:rPr>
      </w:r>
    </w:p>
    <w:p>
      <w:pPr>
        <w:pStyle w:val="Signature-dbl"/>
        <w:bidi w:val="0"/>
        <w:jc w:val="start"/>
        <w:rPr>
          <w:rFonts w:ascii="Times New Roman" w:hAnsi="Times New Roman"/>
          <w:color w:val="000000"/>
          <w:sz w:val="20"/>
        </w:rPr>
      </w:pPr>
      <w:bookmarkStart w:id="501" w:name="_DV_M239"/>
      <w:r>
        <w:rPr>
          <w:rStyle w:val="DeltaViewInsertion"/>
          <w:sz w:val="20"/>
        </w:rPr>
        <w:t xml:space="preserve">By: </w:t>
      </w:r>
      <w:bookmarkStart w:id="502" w:name="_DV_C186"/>
      <w:bookmarkEnd w:id="501"/>
      <w:bookmarkEnd w:id="502"/>
      <w:r>
        <w:rPr>
          <w:color w:val="000000"/>
          <w:sz w:val="20"/>
          <w:u w:val="single"/>
        </w:rPr>
        <w:tab/>
      </w:r>
    </w:p>
    <w:p>
      <w:pPr>
        <w:pStyle w:val="Signature-dbl"/>
        <w:bidi w:val="0"/>
        <w:jc w:val="start"/>
        <w:rPr>
          <w:rFonts w:ascii="Times New Roman" w:hAnsi="Times New Roman"/>
          <w:color w:val="000000"/>
          <w:sz w:val="20"/>
        </w:rPr>
      </w:pPr>
      <w:bookmarkStart w:id="503" w:name="_DV_IPM37"/>
      <w:bookmarkStart w:id="504" w:name="_DV_C187"/>
      <w:bookmarkEnd w:id="504"/>
      <w:r>
        <w:rPr>
          <w:rStyle w:val="DeltaViewInsertion"/>
          <w:sz w:val="20"/>
        </w:rPr>
        <w:t xml:space="preserve">Name: </w:t>
      </w:r>
      <w:bookmarkEnd w:id="503"/>
      <w:r>
        <w:rPr>
          <w:color w:val="000000"/>
          <w:sz w:val="20"/>
          <w:u w:val="single"/>
        </w:rPr>
        <w:tab/>
      </w:r>
      <w:bookmarkStart w:id="505" w:name="_DV_C188"/>
      <w:r>
        <w:rPr>
          <w:rStyle w:val="DeltaViewDeletion"/>
          <w:sz w:val="20"/>
        </w:rPr>
        <w:t>By:</w:t>
      </w:r>
      <w:bookmarkEnd w:id="505"/>
    </w:p>
    <w:p>
      <w:pPr>
        <w:pStyle w:val="Signature-dbl"/>
        <w:bidi w:val="0"/>
        <w:jc w:val="start"/>
        <w:rPr>
          <w:rFonts w:ascii="Times New Roman" w:hAnsi="Times New Roman"/>
          <w:color w:val="000000"/>
          <w:sz w:val="20"/>
        </w:rPr>
      </w:pPr>
      <w:bookmarkStart w:id="506" w:name="_DV_IPM38"/>
      <w:bookmarkStart w:id="507" w:name="_DV_C189"/>
      <w:bookmarkEnd w:id="507"/>
      <w:r>
        <w:rPr>
          <w:rStyle w:val="DeltaViewInsertion"/>
          <w:sz w:val="20"/>
        </w:rPr>
        <w:t>Title:</w:t>
      </w:r>
      <w:bookmarkStart w:id="508" w:name="_DV_C189_Copy_1"/>
      <w:bookmarkEnd w:id="506"/>
      <w:bookmarkEnd w:id="508"/>
      <w:r>
        <w:rPr>
          <w:color w:val="000000"/>
          <w:sz w:val="20"/>
        </w:rPr>
        <w:t xml:space="preserve"> </w:t>
      </w:r>
      <w:r>
        <w:rPr>
          <w:color w:val="000000"/>
          <w:sz w:val="20"/>
          <w:u w:val="single"/>
        </w:rPr>
        <w:tab/>
      </w:r>
    </w:p>
    <w:p>
      <w:pPr>
        <w:pStyle w:val="Signature-dbl"/>
        <w:bidi w:val="0"/>
        <w:jc w:val="start"/>
        <w:rPr>
          <w:rFonts w:ascii="Times New Roman" w:hAnsi="Times New Roman"/>
          <w:color w:val="000000"/>
          <w:sz w:val="20"/>
        </w:rPr>
      </w:pPr>
      <w:bookmarkStart w:id="509" w:name="_DV_C190"/>
      <w:r>
        <w:rPr>
          <w:rStyle w:val="DeltaViewDeletion"/>
          <w:sz w:val="20"/>
        </w:rPr>
        <w:tab/>
        <w:tab/>
        <w:t xml:space="preserve">Name: </w:t>
      </w:r>
      <w:r>
        <w:rPr>
          <w:rStyle w:val="DeltaViewDeletion"/>
          <w:sz w:val="20"/>
          <w:u w:val="single"/>
        </w:rPr>
        <w:tab/>
      </w:r>
      <w:bookmarkEnd w:id="509"/>
    </w:p>
    <w:p>
      <w:pPr>
        <w:pStyle w:val="Signature-dbl"/>
        <w:bidi w:val="0"/>
        <w:jc w:val="start"/>
        <w:rPr>
          <w:rFonts w:ascii="Times New Roman" w:hAnsi="Times New Roman"/>
          <w:color w:val="000000"/>
          <w:sz w:val="20"/>
          <w:u w:val="single"/>
        </w:rPr>
      </w:pPr>
      <w:bookmarkStart w:id="510" w:name="_DV_C191"/>
      <w:r>
        <w:rPr>
          <w:rStyle w:val="DeltaViewDeletion"/>
          <w:sz w:val="20"/>
        </w:rPr>
        <w:tab/>
        <w:tab/>
        <w:t xml:space="preserve">Title: </w:t>
      </w:r>
      <w:r>
        <w:rPr>
          <w:rStyle w:val="DeltaViewDeletion"/>
          <w:sz w:val="20"/>
          <w:u w:val="single"/>
        </w:rPr>
        <w:tab/>
      </w:r>
      <w:bookmarkEnd w:id="510"/>
    </w:p>
    <w:p>
      <w:pPr>
        <w:sectPr>
          <w:type w:val="continuous"/>
          <w:pgSz w:w="12240" w:h="15840"/>
          <w:pgMar w:left="1440" w:right="1440" w:gutter="0" w:header="0" w:top="1440" w:footer="720" w:bottom="1440"/>
          <w:cols w:num="2" w:space="288" w:equalWidth="true" w:sep="false"/>
          <w:formProt w:val="false"/>
          <w:textDirection w:val="lrTb"/>
          <w:docGrid w:type="default" w:linePitch="100" w:charSpace="0"/>
        </w:sectPr>
      </w:pPr>
    </w:p>
    <w:p>
      <w:pPr>
        <w:pStyle w:val="BlockTextBoldblkb"/>
        <w:bidi w:val="0"/>
        <w:spacing w:before="0" w:after="120"/>
        <w:rPr>
          <w:rFonts w:ascii="Times New Roman" w:hAnsi="Times New Roman"/>
          <w:color w:val="000000"/>
          <w:sz w:val="20"/>
        </w:rPr>
      </w:pPr>
      <w:bookmarkStart w:id="511" w:name="_DV_M241"/>
      <w:bookmarkEnd w:id="511"/>
      <w:r>
        <w:rPr>
          <w:color w:val="000000"/>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sectPr>
          <w:type w:val="continuous"/>
          <w:pgSz w:w="12240" w:h="15840"/>
          <w:pgMar w:left="1440" w:right="1440" w:gutter="0" w:header="0" w:top="1440" w:footer="720" w:bottom="1440"/>
          <w:formProt w:val="false"/>
          <w:textDirection w:val="lrTb"/>
          <w:docGrid w:type="default" w:linePitch="100" w:charSpace="0"/>
        </w:sectPr>
      </w:pPr>
    </w:p>
    <w:p>
      <w:pPr>
        <w:pStyle w:val="DeltaViewTableBody"/>
        <w:bidi w:val="0"/>
        <w:jc w:val="start"/>
        <w:rPr>
          <w:color w:val="000000"/>
        </w:rPr>
      </w:pPr>
      <w:bookmarkStart w:id="512" w:name="Program_Copy_1"/>
      <w:bookmarkEnd w:id="512"/>
      <w:r>
        <w:rPr>
          <w:color w:val="000000"/>
        </w:rPr>
        <w:t xml:space="preserve">Document comparison done by </w:t>
      </w:r>
      <w:bookmarkStart w:id="513" w:name="Program"/>
      <w:r>
        <w:rPr>
          <w:color w:val="000000"/>
        </w:rPr>
        <w:t>DeltaView</w:t>
      </w:r>
      <w:bookmarkEnd w:id="513"/>
      <w:r>
        <w:rPr>
          <w:color w:val="000000"/>
        </w:rPr>
        <w:t xml:space="preserve"> on </w:t>
      </w:r>
      <w:bookmarkStart w:id="514" w:name="Date"/>
      <w:r>
        <w:rPr>
          <w:color w:val="000000"/>
        </w:rPr>
        <w:t>Tuesday, March 20, 2001 10:36:45</w:t>
      </w:r>
      <w:bookmarkEnd w:id="514"/>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515" w:name="Doc1"/>
            <w:r>
              <w:rPr/>
              <w:t>pcdocs://NYC/371355/1</w:t>
            </w:r>
            <w:bookmarkEnd w:id="515"/>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16" w:name="Doc2"/>
            <w:r>
              <w:rPr/>
              <w:t>pcdocs://NYC/371355/5</w:t>
            </w:r>
            <w:bookmarkEnd w:id="516"/>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517" w:name="RenderingSet"/>
            <w:r>
              <w:rPr/>
              <w:t>MD standard</w:t>
            </w:r>
            <w:bookmarkEnd w:id="517"/>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518" w:name="Leg_Ins"/>
            <w:r>
              <w:rPr>
                <w:rStyle w:val="DeltaViewInsertion"/>
                <w:rFonts w:ascii="Times New Roman" w:hAnsi="Times New Roman"/>
              </w:rPr>
              <w:t xml:space="preserve">Insertion </w:t>
            </w:r>
            <w:bookmarkEnd w:id="518"/>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19" w:name="Leg_Del"/>
            <w:r>
              <w:rPr>
                <w:rStyle w:val="DeltaViewDeletion"/>
                <w:rFonts w:ascii="Times New Roman" w:hAnsi="Times New Roman"/>
              </w:rPr>
              <w:t xml:space="preserve">Deletion </w:t>
            </w:r>
            <w:bookmarkEnd w:id="519"/>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20" w:name="Leg_MoveSource"/>
            <w:r>
              <w:rPr>
                <w:rStyle w:val="DeltaViewMoveSource"/>
                <w:rFonts w:ascii="Times New Roman" w:hAnsi="Times New Roman"/>
              </w:rPr>
              <w:t xml:space="preserve">Moved from </w:t>
            </w:r>
            <w:bookmarkEnd w:id="520"/>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21" w:name="Leg_MoveDest"/>
            <w:r>
              <w:rPr>
                <w:rStyle w:val="DeltaViewMoveDestination"/>
                <w:rFonts w:ascii="Times New Roman" w:hAnsi="Times New Roman"/>
              </w:rPr>
              <w:t xml:space="preserve">Moved to </w:t>
            </w:r>
            <w:bookmarkEnd w:id="521"/>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22" w:name="Leg_FormatChange"/>
            <w:r>
              <w:rPr>
                <w:rStyle w:val="DeltaViewFormatChange"/>
                <w:rFonts w:ascii="Times New Roman" w:hAnsi="Times New Roman"/>
                <w:color w:val="000000"/>
                <w:highlight w:val="white"/>
              </w:rPr>
              <w:t xml:space="preserve">Format change </w:t>
            </w:r>
            <w:bookmarkEnd w:id="522"/>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523" w:name="Cell_Ins"/>
            <w:bookmarkEnd w:id="523"/>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bidi w:val="0"/>
              <w:jc w:val="start"/>
              <w:rPr/>
            </w:pPr>
            <w:bookmarkStart w:id="524" w:name="Cell_Del"/>
            <w:bookmarkEnd w:id="524"/>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525" w:name="Cell_Move"/>
            <w:bookmarkStart w:id="526" w:name="Cell_Move"/>
            <w:bookmarkEnd w:id="526"/>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527" w:name="Cell_Merge"/>
            <w:bookmarkStart w:id="528" w:name="Cell_Merge"/>
            <w:bookmarkEnd w:id="528"/>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529" w:name="Cell_Pad"/>
            <w:bookmarkStart w:id="530" w:name="Cell_Pad"/>
            <w:bookmarkEnd w:id="530"/>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of content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Insertions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1" w:name="Stat_Ins"/>
            <w:r>
              <w:rPr/>
              <w:t>109</w:t>
            </w:r>
            <w:bookmarkEnd w:id="53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2" w:name="Stat_InsP"/>
            <w:r>
              <w:rPr/>
              <w:t>36.92</w:t>
            </w:r>
            <w:bookmarkEnd w:id="532"/>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3" w:name="Stat_Del"/>
            <w:r>
              <w:rPr/>
              <w:t>84</w:t>
            </w:r>
            <w:bookmarkEnd w:id="53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4" w:name="Stat_DelP"/>
            <w:r>
              <w:rPr/>
              <w:t>6.20</w:t>
            </w:r>
            <w:bookmarkEnd w:id="534"/>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Moves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5" w:name="Stat_Move"/>
            <w:r>
              <w:rPr/>
              <w:t>0</w:t>
            </w:r>
            <w:bookmarkEnd w:id="53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6" w:name="Stat_MoveP"/>
            <w:r>
              <w:rPr/>
              <w:t>0.00</w:t>
            </w:r>
            <w:bookmarkEnd w:id="536"/>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Matched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7" w:name="Stat_Match"/>
            <w:r>
              <w:rPr/>
              <w:t>96</w:t>
            </w:r>
            <w:bookmarkEnd w:id="53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538" w:name="Stat_MatchP"/>
            <w:r>
              <w:rPr/>
              <w:t>56.88</w:t>
            </w:r>
            <w:bookmarkEnd w:id="538"/>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Format changed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539" w:name="Stat_Change"/>
            <w:r>
              <w:rPr/>
              <w:t>0</w:t>
            </w:r>
            <w:bookmarkEnd w:id="53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540" w:name="Stat_ChangeP"/>
            <w:r>
              <w:rPr/>
              <w:t>0.00</w:t>
            </w:r>
            <w:bookmarkEnd w:id="540"/>
            <w:r>
              <w:rPr/>
              <w:t>%</w:t>
            </w:r>
          </w:p>
        </w:tc>
      </w:tr>
    </w:tbl>
    <w:p>
      <w:pPr>
        <w:pStyle w:val="DeltaViewTableBody"/>
        <w:bidi w:val="0"/>
        <w:jc w:val="start"/>
        <w:rPr/>
      </w:pPr>
      <w:r>
        <w:rPr/>
      </w:r>
      <w:bookmarkStart w:id="541" w:name="Program_Copy_1"/>
      <w:bookmarkStart w:id="542" w:name="Program_Copy_1"/>
      <w:bookmarkEnd w:id="542"/>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Arial Narrow">
    <w:charset w:val="01" w:characterSet="utf-8"/>
    <w:family w:val="roman"/>
    <w:pitch w:val="variable"/>
  </w:font>
  <w:font w:name="Courier">
    <w:altName w:val="Courier New"/>
    <w:charset w:val="01" w:characterSet="utf-8"/>
    <w:family w:val="roman"/>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16"/>
      </w:rPr>
    </w:pPr>
    <w:r>
      <w:rPr>
        <w:sz w:val="16"/>
      </w:rPr>
      <w:t>Version 2.1 (modified 4/25/00)</w:t>
    </w:r>
  </w:p>
  <w:p>
    <w:pPr>
      <w:pStyle w:val="Footer"/>
      <w:bidi w:val="0"/>
      <w:jc w:val="center"/>
      <w:rPr>
        <w:rFonts w:ascii="Times New Roman" w:hAnsi="Times New Roman"/>
        <w:sz w:val="16"/>
      </w:rPr>
    </w:pPr>
    <w:r>
      <w:rPr>
        <w:sz w:val="16"/>
      </w:rPr>
      <w:t>©COPYRIGHT 2000 by the Edison Electric Institute and National Energy Marketers Association</w:t>
    </w:r>
  </w:p>
  <w:p>
    <w:pPr>
      <w:pStyle w:val="Footer"/>
      <w:bidi w:val="0"/>
      <w:jc w:val="center"/>
      <w:rPr>
        <w:rFonts w:ascii="Times New Roman" w:hAnsi="Times New Roman"/>
        <w:sz w:val="16"/>
      </w:rPr>
    </w:pPr>
    <w:r>
      <w:rPr>
        <w:sz w:val="16"/>
      </w:rPr>
    </w:r>
  </w:p>
  <w:p>
    <w:pPr>
      <w:pStyle w:val="Footer"/>
      <w:bidi w:val="0"/>
      <w:jc w:val="start"/>
      <w:rPr>
        <w:rFonts w:ascii="Times New Roman" w:hAnsi="Times New Roman"/>
        <w:sz w:val="16"/>
      </w:rPr>
    </w:pPr>
    <w:r>
      <w:rPr>
        <w:sz w:val="16"/>
      </w:rPr>
      <w:t>ALL RIGHTS RESERVED UNDER U.S. AND FOREIGN LAW, TREATIES AND CONVENTIONS</w:t>
    </w:r>
  </w:p>
  <w:p>
    <w:pPr>
      <w:pStyle w:val="Footer"/>
      <w:bidi w:val="0"/>
      <w:jc w:val="start"/>
      <w:rPr>
        <w:rFonts w:ascii="Times New Roman" w:hAnsi="Times New Roman"/>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16"/>
      </w:rPr>
    </w:pPr>
    <w:r>
      <w:rPr>
        <w:sz w:val="16"/>
      </w:rPr>
      <w:t>Version 2.1 (modified 4/25/00)</w:t>
    </w:r>
  </w:p>
  <w:p>
    <w:pPr>
      <w:pStyle w:val="Footer"/>
      <w:bidi w:val="0"/>
      <w:jc w:val="center"/>
      <w:rPr>
        <w:rFonts w:ascii="Times New Roman" w:hAnsi="Times New Roman"/>
        <w:sz w:val="16"/>
      </w:rPr>
    </w:pPr>
    <w:r>
      <w:rPr>
        <w:sz w:val="16"/>
      </w:rPr>
      <w:t>©COPYRIGHT 2000 by the Edison Electric Institute and National Energy Marketers Association</w:t>
    </w:r>
  </w:p>
  <w:p>
    <w:pPr>
      <w:pStyle w:val="Footer"/>
      <w:bidi w:val="0"/>
      <w:jc w:val="center"/>
      <w:rPr>
        <w:rFonts w:ascii="Times New Roman" w:hAnsi="Times New Roman"/>
        <w:sz w:val="16"/>
      </w:rPr>
    </w:pPr>
    <w:r>
      <w:rPr>
        <w:sz w:val="16"/>
      </w:rPr>
    </w:r>
  </w:p>
  <w:p>
    <w:pPr>
      <w:pStyle w:val="Footer"/>
      <w:bidi w:val="0"/>
      <w:jc w:val="start"/>
      <w:rPr>
        <w:rFonts w:ascii="Times New Roman" w:hAnsi="Times New Roman"/>
        <w:sz w:val="16"/>
      </w:rPr>
    </w:pPr>
    <w:r>
      <w:rPr>
        <w:sz w:val="16"/>
      </w:rPr>
      <w:t>ALL RIGHTS RESERVED UNDER U.S. AND FOREIGN LAW, TREATIES AND CONVENTIONS</w:t>
    </w:r>
  </w:p>
  <w:p>
    <w:pPr>
      <w:pStyle w:val="Footer"/>
      <w:bidi w:val="0"/>
      <w:jc w:val="start"/>
      <w:rPr>
        <w:rFonts w:ascii="Times New Roman" w:hAnsi="Times New Roman"/>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start"/>
      <w:rPr>
        <w:rStyle w:val="PageNumber"/>
        <w:rFonts w:ascii="Times New Roman" w:hAnsi="Times New Roman"/>
      </w:rPr>
    </w:pPr>
    <w:r>
      <w:rPr/>
      <w:tab/>
    </w:r>
    <w:r>
      <w:rPr>
        <w:rStyle w:val="DeltaViewInsertion"/>
        <w:lang w:val="en-US"/>
      </w:rPr>
      <w:fldChar w:fldCharType="begin"/>
    </w:r>
    <w:r>
      <w:rPr>
        <w:rStyle w:val="DeltaViewInsertion"/>
        <w:lang w:val="en-US"/>
      </w:rPr>
      <w:instrText xml:space="preserve"> PAGE </w:instrText>
    </w:r>
    <w:r>
      <w:rPr>
        <w:rStyle w:val="DeltaViewInsertion"/>
        <w:lang w:val="en-US"/>
      </w:rPr>
      <w:fldChar w:fldCharType="separate"/>
    </w:r>
    <w:r>
      <w:rPr>
        <w:rStyle w:val="DeltaViewInsertion"/>
        <w:lang w:val="en-US"/>
      </w:rPr>
      <w:t>12</w:t>
    </w:r>
    <w:r>
      <w:rPr>
        <w:rStyle w:val="DeltaViewInsertion"/>
        <w:lang w:val="en-US"/>
      </w:rPr>
      <w:fldChar w:fldCharType="end"/>
    </w:r>
  </w:p>
  <w:p>
    <w:pPr>
      <w:pStyle w:val="Footer"/>
      <w:bidi w:val="0"/>
      <w:jc w:val="start"/>
      <w:rPr>
        <w:rStyle w:val="PageNumber"/>
        <w:rFonts w:ascii="Times New Roman" w:hAnsi="Times New Roman"/>
      </w:rPr>
    </w:pPr>
    <w:r>
      <w:rPr/>
    </w:r>
  </w:p>
  <w:p>
    <w:pPr>
      <w:pStyle w:val="Footer"/>
      <w:bidi w:val="0"/>
      <w:jc w:val="center"/>
      <w:rPr>
        <w:rStyle w:val="PageNumber"/>
        <w:rFonts w:ascii="Times New Roman" w:hAnsi="Times New Roman"/>
        <w:color w:val="000000"/>
        <w:sz w:val="16"/>
      </w:rPr>
    </w:pPr>
    <w:bookmarkStart w:id="477" w:name="_DV_C3"/>
    <w:r>
      <w:rPr>
        <w:rStyle w:val="DeltaViewInsertion"/>
        <w:sz w:val="16"/>
      </w:rPr>
      <w:t>Version 2.1 (modified 4/25/00)</w:t>
    </w:r>
    <w:bookmarkEnd w:id="477"/>
  </w:p>
  <w:p>
    <w:pPr>
      <w:pStyle w:val="Footer"/>
      <w:bidi w:val="0"/>
      <w:jc w:val="center"/>
      <w:rPr>
        <w:rFonts w:ascii="Times New Roman" w:hAnsi="Times New Roman"/>
        <w:color w:val="000000"/>
        <w:sz w:val="16"/>
      </w:rPr>
    </w:pPr>
    <w:bookmarkStart w:id="478" w:name="_DV_C4"/>
    <w:r>
      <w:rPr>
        <w:rStyle w:val="DeltaViewInsertion"/>
        <w:sz w:val="16"/>
      </w:rPr>
      <w:t>©COPYRIGHT 2000 by the Edison Electric Institute and National Energy Marketers Association</w:t>
    </w:r>
    <w:bookmarkEnd w:id="478"/>
  </w:p>
  <w:p>
    <w:pPr>
      <w:pStyle w:val="Footer"/>
      <w:bidi w:val="0"/>
      <w:jc w:val="start"/>
      <w:rPr>
        <w:rFonts w:ascii="Times New Roman" w:hAnsi="Times New Roman"/>
        <w:color w:val="000000"/>
      </w:rPr>
    </w:pPr>
    <w:r>
      <w:rPr>
        <w:color w:val="000000"/>
      </w:rPr>
    </w:r>
  </w:p>
  <w:p>
    <w:pPr>
      <w:pStyle w:val="Normal"/>
      <w:bidi w:val="0"/>
      <w:jc w:val="start"/>
      <w:rPr>
        <w:color w:val="000000"/>
      </w:rPr>
    </w:pPr>
    <w:r>
      <w:rPr>
        <w:color w:val="00000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start"/>
      <w:rPr>
        <w:rStyle w:val="PageNumber"/>
        <w:rFonts w:ascii="Times New Roman" w:hAnsi="Times New Roman"/>
      </w:rPr>
    </w:pPr>
    <w:r>
      <w:rPr/>
      <w:tab/>
    </w:r>
    <w:r>
      <w:rPr>
        <w:rStyle w:val="DeltaViewInsertion"/>
        <w:lang w:val="en-US"/>
      </w:rPr>
      <w:fldChar w:fldCharType="begin"/>
    </w:r>
    <w:r>
      <w:rPr>
        <w:rStyle w:val="DeltaViewInsertion"/>
        <w:lang w:val="en-US"/>
      </w:rPr>
      <w:instrText xml:space="preserve"> PAGE </w:instrText>
    </w:r>
    <w:r>
      <w:rPr>
        <w:rStyle w:val="DeltaViewInsertion"/>
        <w:lang w:val="en-US"/>
      </w:rPr>
      <w:fldChar w:fldCharType="separate"/>
    </w:r>
    <w:r>
      <w:rPr>
        <w:rStyle w:val="DeltaViewInsertion"/>
        <w:lang w:val="en-US"/>
      </w:rPr>
      <w:t>12</w:t>
    </w:r>
    <w:r>
      <w:rPr>
        <w:rStyle w:val="DeltaViewInsertion"/>
        <w:lang w:val="en-US"/>
      </w:rPr>
      <w:fldChar w:fldCharType="end"/>
    </w:r>
  </w:p>
  <w:p>
    <w:pPr>
      <w:pStyle w:val="Footer"/>
      <w:bidi w:val="0"/>
      <w:jc w:val="start"/>
      <w:rPr>
        <w:rStyle w:val="PageNumber"/>
        <w:rFonts w:ascii="Times New Roman" w:hAnsi="Times New Roman"/>
      </w:rPr>
    </w:pPr>
    <w:r>
      <w:rPr/>
    </w:r>
  </w:p>
  <w:p>
    <w:pPr>
      <w:pStyle w:val="Footer"/>
      <w:bidi w:val="0"/>
      <w:jc w:val="center"/>
      <w:rPr>
        <w:rStyle w:val="PageNumber"/>
        <w:rFonts w:ascii="Times New Roman" w:hAnsi="Times New Roman"/>
        <w:color w:val="000000"/>
        <w:sz w:val="16"/>
      </w:rPr>
    </w:pPr>
    <w:bookmarkStart w:id="479" w:name="_DV_C3"/>
    <w:r>
      <w:rPr>
        <w:rStyle w:val="DeltaViewInsertion"/>
        <w:sz w:val="16"/>
      </w:rPr>
      <w:t>Version 2.1 (modified 4/25/00)</w:t>
    </w:r>
    <w:bookmarkEnd w:id="479"/>
  </w:p>
  <w:p>
    <w:pPr>
      <w:pStyle w:val="Footer"/>
      <w:bidi w:val="0"/>
      <w:jc w:val="center"/>
      <w:rPr>
        <w:rFonts w:ascii="Times New Roman" w:hAnsi="Times New Roman"/>
        <w:color w:val="000000"/>
        <w:sz w:val="16"/>
      </w:rPr>
    </w:pPr>
    <w:bookmarkStart w:id="480" w:name="_DV_C4"/>
    <w:r>
      <w:rPr>
        <w:rStyle w:val="DeltaViewInsertion"/>
        <w:sz w:val="16"/>
      </w:rPr>
      <w:t>©COPYRIGHT 2000 by the Edison Electric Institute and National Energy Marketers Association</w:t>
    </w:r>
    <w:bookmarkEnd w:id="480"/>
  </w:p>
  <w:p>
    <w:pPr>
      <w:pStyle w:val="Footer"/>
      <w:bidi w:val="0"/>
      <w:jc w:val="start"/>
      <w:rPr>
        <w:rFonts w:ascii="Times New Roman" w:hAnsi="Times New Roman"/>
        <w:color w:val="000000"/>
      </w:rPr>
    </w:pPr>
    <w:r>
      <w:rPr>
        <w:color w:val="000000"/>
      </w:rPr>
    </w:r>
  </w:p>
  <w:p>
    <w:pPr>
      <w:pStyle w:val="Normal"/>
      <w:bidi w:val="0"/>
      <w:jc w:val="start"/>
      <w:rPr>
        <w:color w:val="000000"/>
      </w:rPr>
    </w:pPr>
    <w:r>
      <w:rPr>
        <w:color w:val="00000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spacing w:val="0"/>
        <w:i w:val="false"/>
        <w:b/>
        <w:rFonts w:ascii="Times New Roman" w:hAnsi="Times New Roman"/>
      </w:rPr>
    </w:lvl>
    <w:lvl w:ilvl="1">
      <w:start w:val="1"/>
      <w:isLgl/>
      <w:numFmt w:val="decimal"/>
      <w:lvlText w:val="%1.%2"/>
      <w:lvlJc w:val="start"/>
      <w:pPr>
        <w:tabs>
          <w:tab w:val="num" w:pos="1080"/>
        </w:tabs>
        <w:ind w:start="0" w:firstLine="720"/>
      </w:pPr>
      <w:rPr>
        <w:sz w:val="24"/>
        <w:spacing w:val="0"/>
        <w:i w:val="false"/>
        <w:b w:val="false"/>
        <w:rFonts w:ascii="Times New Roman" w:hAnsi="Times New Roman"/>
      </w:rPr>
    </w:lvl>
    <w:lvl w:ilvl="2">
      <w:start w:val="1"/>
      <w:numFmt w:val="lowerLetter"/>
      <w:lvlText w:val="(%3)"/>
      <w:lvlJc w:val="start"/>
      <w:pPr>
        <w:tabs>
          <w:tab w:val="num" w:pos="2160"/>
        </w:tabs>
        <w:ind w:start="2160" w:hanging="720"/>
      </w:pPr>
      <w:rPr>
        <w:sz w:val="24"/>
        <w:spacing w:val="0"/>
        <w:i w:val="false"/>
        <w:b w:val="false"/>
        <w:rFonts w:ascii="Times New Roman" w:hAnsi="Times New Roman"/>
      </w:rPr>
    </w:lvl>
    <w:lvl w:ilvl="3">
      <w:start w:val="1"/>
      <w:numFmt w:val="lowerRoman"/>
      <w:lvlText w:val="(%4)"/>
      <w:lvlJc w:val="start"/>
      <w:pPr>
        <w:tabs>
          <w:tab w:val="num" w:pos="2880"/>
        </w:tabs>
        <w:ind w:start="2880" w:hanging="720"/>
      </w:pPr>
      <w:rPr>
        <w:sz w:val="24"/>
        <w:spacing w:val="0"/>
        <w:i w:val="false"/>
        <w:b w:val="false"/>
        <w:rFonts w:ascii="Times New Roman" w:hAnsi="Times New Roman"/>
      </w:rPr>
    </w:lvl>
    <w:lvl w:ilvl="4">
      <w:start w:val="1"/>
      <w:numFmt w:val="lowerRoman"/>
      <w:lvlText w:val="(%5)"/>
      <w:lvlJc w:val="start"/>
      <w:pPr>
        <w:tabs>
          <w:tab w:val="num" w:pos="2160"/>
        </w:tabs>
        <w:ind w:start="2160" w:hanging="720"/>
      </w:pPr>
      <w:rPr>
        <w:sz w:val="24"/>
        <w:spacing w:val="0"/>
        <w:i w:val="false"/>
        <w:b w:val="false"/>
        <w:rFonts w:ascii="Times New Roman" w:hAnsi="Times New Roman"/>
      </w:rPr>
    </w:lvl>
    <w:lvl w:ilvl="5">
      <w:start w:val="1"/>
      <w:numFmt w:val="upperRoman"/>
      <w:suff w:val="space"/>
      <w:lvlText w:val="%6."/>
      <w:lvlJc w:val="start"/>
      <w:pPr>
        <w:tabs>
          <w:tab w:val="num" w:pos="0"/>
        </w:tabs>
        <w:ind w:start="2736" w:hanging="936"/>
      </w:pPr>
      <w:rPr>
        <w:sz w:val="24"/>
        <w:spacing w:val="0"/>
        <w:i w:val="false"/>
        <w:b/>
        <w:rFonts w:ascii="Times New Roman" w:hAnsi="Times New Roman"/>
      </w:rPr>
    </w:lvl>
    <w:lvl w:ilvl="6">
      <w:start w:val="1"/>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083"/>
        </w:tabs>
        <w:ind w:start="1083"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1095"/>
        </w:tabs>
        <w:ind w:start="1095"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095"/>
        </w:tabs>
        <w:ind w:start="1095"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3"/>
  </w:num>
  <w:num w:numId="7">
    <w:abstractNumId w:val="3"/>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jc w:val="center"/>
      <w:outlineLvl w:val="0"/>
    </w:pPr>
    <w:rPr>
      <w:b/>
      <w:kern w:val="2"/>
    </w:rPr>
  </w:style>
  <w:style w:type="paragraph" w:styleId="Heading2">
    <w:name w:val="heading 2"/>
    <w:basedOn w:val="Normal"/>
    <w:qFormat/>
    <w:pPr>
      <w:widowControl/>
      <w:numPr>
        <w:ilvl w:val="1"/>
        <w:numId w:val="1"/>
      </w:numPr>
      <w:tabs>
        <w:tab w:val="clear" w:pos="720"/>
        <w:tab w:val="left" w:pos="1080" w:leader="none"/>
      </w:tabs>
      <w:spacing w:before="0" w:after="240"/>
      <w:ind w:firstLine="720"/>
      <w:jc w:val="both"/>
      <w:outlineLvl w:val="1"/>
    </w:pPr>
    <w:rPr/>
  </w:style>
  <w:style w:type="paragraph" w:styleId="Heading3">
    <w:name w:val="heading 3"/>
    <w:basedOn w:val="Normal"/>
    <w:qFormat/>
    <w:pPr>
      <w:widowControl/>
      <w:numPr>
        <w:ilvl w:val="2"/>
        <w:numId w:val="1"/>
      </w:numPr>
      <w:tabs>
        <w:tab w:val="clear" w:pos="720"/>
        <w:tab w:val="left" w:pos="2160" w:leader="none"/>
      </w:tabs>
      <w:spacing w:before="0" w:after="240"/>
      <w:ind w:hanging="720" w:start="2160"/>
      <w:jc w:val="both"/>
      <w:outlineLvl w:val="2"/>
    </w:pPr>
    <w:rPr/>
  </w:style>
  <w:style w:type="paragraph" w:styleId="Heading4">
    <w:name w:val="heading 4"/>
    <w:basedOn w:val="Normal"/>
    <w:qFormat/>
    <w:pPr>
      <w:widowControl/>
      <w:numPr>
        <w:ilvl w:val="3"/>
        <w:numId w:val="1"/>
      </w:numPr>
      <w:tabs>
        <w:tab w:val="clear" w:pos="720"/>
        <w:tab w:val="left" w:pos="2880" w:leader="none"/>
      </w:tabs>
      <w:spacing w:before="0" w:after="240"/>
      <w:ind w:hanging="720" w:start="2880"/>
      <w:jc w:val="both"/>
      <w:outlineLvl w:val="3"/>
    </w:pPr>
    <w:rPr/>
  </w:style>
  <w:style w:type="paragraph" w:styleId="Heading5">
    <w:name w:val="heading 5"/>
    <w:basedOn w:val="Normal"/>
    <w:qFormat/>
    <w:pPr>
      <w:widowControl/>
      <w:numPr>
        <w:ilvl w:val="4"/>
        <w:numId w:val="1"/>
      </w:numPr>
      <w:tabs>
        <w:tab w:val="clear" w:pos="720"/>
        <w:tab w:val="left" w:pos="2160" w:leader="none"/>
      </w:tabs>
      <w:spacing w:before="0" w:after="240"/>
      <w:ind w:hanging="720" w:start="2160"/>
      <w:jc w:val="both"/>
      <w:outlineLvl w:val="4"/>
    </w:pPr>
    <w:rPr/>
  </w:style>
  <w:style w:type="paragraph" w:styleId="Heading6">
    <w:name w:val="heading 6"/>
    <w:basedOn w:val="Normal"/>
    <w:qFormat/>
    <w:pPr>
      <w:widowControl/>
      <w:numPr>
        <w:ilvl w:val="5"/>
        <w:numId w:val="1"/>
      </w:numPr>
      <w:spacing w:before="0" w:after="220"/>
      <w:ind w:hanging="936" w:start="2736"/>
      <w:outlineLvl w:val="5"/>
    </w:pPr>
    <w:rPr>
      <w:i/>
      <w:sz w:val="22"/>
    </w:rPr>
  </w:style>
  <w:style w:type="paragraph" w:styleId="Heading7">
    <w:name w:val="heading 7"/>
    <w:basedOn w:val="Normal"/>
    <w:qFormat/>
    <w:pPr>
      <w:widowControl/>
      <w:numPr>
        <w:ilvl w:val="6"/>
        <w:numId w:val="1"/>
      </w:numPr>
      <w:tabs>
        <w:tab w:val="clear" w:pos="720"/>
        <w:tab w:val="left" w:pos="2160" w:leader="none"/>
      </w:tabs>
      <w:spacing w:before="0" w:after="200"/>
      <w:ind w:firstLine="1440"/>
      <w:outlineLvl w:val="6"/>
    </w:pPr>
    <w:rPr>
      <w:sz w:val="20"/>
    </w:rPr>
  </w:style>
  <w:style w:type="paragraph" w:styleId="Heading8">
    <w:name w:val="heading 8"/>
    <w:basedOn w:val="Normal"/>
    <w:next w:val="Normal"/>
    <w:qFormat/>
    <w:pPr>
      <w:keepNext w:val="true"/>
      <w:widowControl/>
      <w:tabs>
        <w:tab w:val="clear" w:pos="720"/>
        <w:tab w:val="right" w:pos="6012" w:leader="none"/>
      </w:tabs>
      <w:spacing w:before="0" w:after="120"/>
      <w:ind w:hanging="360" w:start="720"/>
    </w:pPr>
    <w:rPr>
      <w:b/>
      <w:sz w:val="20"/>
    </w:rPr>
  </w:style>
  <w:style w:type="character" w:styleId="DefaultParagraphFont">
    <w:name w:val="Default Paragraph Font"/>
    <w:qFormat/>
    <w:rPr/>
  </w:style>
  <w:style w:type="character" w:styleId="ParaNum">
    <w:name w:val="ParaNum"/>
    <w:basedOn w:val="DefaultParagraphFont"/>
    <w:qFormat/>
    <w:rPr>
      <w:b/>
      <w:i/>
      <w:vanish/>
      <w:spacing w:val="0"/>
      <w:u w:val="none"/>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FootnoteReference">
    <w:name w:val="footnote reference"/>
    <w:rPr>
      <w:spacing w:val="0"/>
      <w:vertAlign w:val="superscript"/>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autoRedefine/>
    <w:pPr>
      <w:widowControl/>
      <w:ind w:hanging="360" w:start="360"/>
    </w:pPr>
    <w:rPr/>
  </w:style>
  <w:style w:type="paragraph" w:styleId="ListBullet2">
    <w:name w:val="List Bullet 2"/>
    <w:basedOn w:val="Normal"/>
    <w:autoRedefine/>
    <w:pPr>
      <w:widowControl/>
      <w:tabs>
        <w:tab w:val="left" w:pos="720" w:leader="none"/>
      </w:tabs>
      <w:ind w:hanging="360" w:start="720"/>
    </w:pPr>
    <w:rPr/>
  </w:style>
  <w:style w:type="paragraph" w:styleId="ListBullet3">
    <w:name w:val="List Bullet 3"/>
    <w:basedOn w:val="Normal"/>
    <w:autoRedefine/>
    <w:pPr>
      <w:widowControl/>
      <w:ind w:hanging="360" w:start="1080"/>
    </w:pPr>
    <w:rPr/>
  </w:style>
  <w:style w:type="paragraph" w:styleId="ListBullet4">
    <w:name w:val="List Bullet 4"/>
    <w:basedOn w:val="Normal"/>
    <w:autoRedefine/>
    <w:pPr>
      <w:widowControl/>
      <w:ind w:hanging="360" w:start="1440"/>
    </w:pPr>
    <w:rPr/>
  </w:style>
  <w:style w:type="paragraph" w:styleId="ListBullet5">
    <w:name w:val="List Bullet 5"/>
    <w:basedOn w:val="Normal"/>
    <w:autoRedefine/>
    <w:pPr>
      <w:widowControl/>
      <w:ind w:hanging="360" w:start="1800"/>
    </w:pPr>
    <w:rPr/>
  </w:style>
  <w:style w:type="paragraph" w:styleId="ListNumber">
    <w:name w:val="List Number"/>
    <w:basedOn w:val="Normal"/>
    <w:pPr>
      <w:widowControl/>
      <w:ind w:hanging="360" w:start="360"/>
    </w:pPr>
    <w:rPr/>
  </w:style>
  <w:style w:type="paragraph" w:styleId="ListNumber2">
    <w:name w:val="List Number 2"/>
    <w:basedOn w:val="Normal"/>
    <w:pPr>
      <w:widowControl/>
      <w:ind w:hanging="360" w:start="720"/>
    </w:pPr>
    <w:rPr/>
  </w:style>
  <w:style w:type="paragraph" w:styleId="ListNumber3">
    <w:name w:val="List Number 3"/>
    <w:basedOn w:val="Normal"/>
    <w:pPr>
      <w:widowControl/>
      <w:ind w:hanging="360" w:start="1080"/>
    </w:pPr>
    <w:rPr/>
  </w:style>
  <w:style w:type="paragraph" w:styleId="ListNumber4">
    <w:name w:val="List Number 4"/>
    <w:basedOn w:val="Normal"/>
    <w:pPr>
      <w:widowControl/>
      <w:tabs>
        <w:tab w:val="clear" w:pos="720"/>
        <w:tab w:val="left" w:pos="1440" w:leader="none"/>
      </w:tabs>
      <w:ind w:hanging="360" w:start="1440"/>
    </w:pPr>
    <w:rPr/>
  </w:style>
  <w:style w:type="paragraph" w:styleId="ListNumber5">
    <w:name w:val="List Number 5"/>
    <w:basedOn w:val="Normal"/>
    <w:pPr>
      <w:widowControl/>
      <w:ind w:hanging="360" w:start="1800"/>
    </w:pPr>
    <w:rPr/>
  </w:style>
  <w:style w:type="paragraph" w:styleId="Title">
    <w:name w:val="Title"/>
    <w:basedOn w:val="Normal"/>
    <w:next w:val="BodyText"/>
    <w:qFormat/>
    <w:pPr>
      <w:widowControl/>
      <w:spacing w:before="0" w:after="280"/>
      <w:jc w:val="center"/>
      <w:outlineLvl w:val="0"/>
    </w:pPr>
    <w:rPr>
      <w:b/>
      <w:kern w:val="2"/>
    </w:rPr>
  </w:style>
  <w:style w:type="paragraph" w:styleId="coverbody">
    <w:name w:val="coverbody"/>
    <w:basedOn w:val="Normal"/>
    <w:qFormat/>
    <w:pPr>
      <w:widowControl/>
      <w:spacing w:before="0" w:after="200"/>
      <w:jc w:val="both"/>
    </w:pPr>
    <w:rPr>
      <w:sz w:val="20"/>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PlainText">
    <w:name w:val="Plain Text"/>
    <w:basedOn w:val="Normal"/>
    <w:qFormat/>
    <w:pPr>
      <w:widowControl/>
    </w:pPr>
    <w:rPr>
      <w:sz w:val="20"/>
    </w:rPr>
  </w:style>
  <w:style w:type="paragraph" w:styleId="Signature-dbl">
    <w:name w:val="Signature-dbl"/>
    <w:basedOn w:val="Normal"/>
    <w:qFormat/>
    <w:pPr>
      <w:widowControl/>
      <w:tabs>
        <w:tab w:val="clear" w:pos="720"/>
        <w:tab w:val="right" w:pos="4320" w:leader="none"/>
        <w:tab w:val="left" w:pos="5040" w:leader="none"/>
        <w:tab w:val="right" w:pos="9360" w:leader="none"/>
      </w:tabs>
      <w:spacing w:before="0" w:after="120"/>
    </w:pPr>
    <w:rPr/>
  </w:style>
  <w:style w:type="paragraph" w:styleId="BlockTextBoldblkb">
    <w:name w:val="BlockTextBold,blkb"/>
    <w:basedOn w:val="Normal"/>
    <w:qFormat/>
    <w:pPr>
      <w:widowControl/>
      <w:spacing w:before="0" w:after="24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80" w:leader="none"/>
        <w:tab w:val="right" w:pos="9360" w:leader="none"/>
      </w:tabs>
    </w:pPr>
    <w:rPr/>
  </w:style>
  <w:style w:type="paragraph" w:styleId="Header">
    <w:name w:val="header"/>
    <w:basedOn w:val="Normal"/>
    <w:pPr>
      <w:widowControl/>
      <w:tabs>
        <w:tab w:val="clear" w:pos="720"/>
        <w:tab w:val="center" w:pos="4320" w:leader="none"/>
        <w:tab w:val="right" w:pos="8640" w:leader="none"/>
      </w:tabs>
    </w:pPr>
    <w:rPr/>
  </w:style>
  <w:style w:type="paragraph" w:styleId="BodyText2">
    <w:name w:val="Body Text 2"/>
    <w:basedOn w:val="Normal"/>
    <w:qFormat/>
    <w:pPr>
      <w:widowControl/>
      <w:tabs>
        <w:tab w:val="clear" w:pos="720"/>
        <w:tab w:val="right" w:pos="4475" w:leader="none"/>
      </w:tabs>
      <w:ind w:hanging="0" w:start="245"/>
    </w:pPr>
    <w:rPr>
      <w:b/>
      <w:sz w:val="20"/>
    </w:rPr>
  </w:style>
  <w:style w:type="paragraph" w:styleId="BodyTextIndent2">
    <w:name w:val="Body Text Indent 2"/>
    <w:basedOn w:val="Normal"/>
    <w:qFormat/>
    <w:pPr>
      <w:widowControl/>
      <w:tabs>
        <w:tab w:val="clear" w:pos="720"/>
        <w:tab w:val="right" w:pos="6012" w:leader="none"/>
      </w:tabs>
      <w:spacing w:before="0" w:after="120"/>
      <w:ind w:hanging="0" w:start="432"/>
      <w:jc w:val="both"/>
    </w:pPr>
    <w:rPr>
      <w:sz w:val="20"/>
    </w:rPr>
  </w:style>
  <w:style w:type="paragraph" w:styleId="BodyTextFirstIndentbtf">
    <w:name w:val="Body Text First Indent,btf"/>
    <w:basedOn w:val="Normal"/>
    <w:qFormat/>
    <w:pPr>
      <w:widowControl/>
      <w:spacing w:before="0" w:after="240"/>
      <w:ind w:firstLine="720"/>
      <w:jc w:val="both"/>
    </w:pPr>
    <w:rPr/>
  </w:style>
  <w:style w:type="paragraph" w:styleId="Title-Right">
    <w:name w:val="Title-Right"/>
    <w:basedOn w:val="Normal"/>
    <w:qFormat/>
    <w:pPr>
      <w:widowControl/>
      <w:spacing w:before="0" w:after="240"/>
      <w:jc w:val="end"/>
    </w:pPr>
    <w:rPr>
      <w:b/>
    </w:rPr>
  </w:style>
  <w:style w:type="paragraph" w:styleId="BlockTextblk">
    <w:name w:val="Block Text,blk"/>
    <w:basedOn w:val="Normal"/>
    <w:qFormat/>
    <w:pPr>
      <w:widowControl/>
      <w:spacing w:before="0" w:after="240"/>
      <w:jc w:val="both"/>
    </w:pPr>
    <w:rPr/>
  </w:style>
  <w:style w:type="paragraph" w:styleId="Quote">
    <w:name w:val="Quote"/>
    <w:basedOn w:val="Normal"/>
    <w:qFormat/>
    <w:pPr>
      <w:widowControl/>
      <w:spacing w:before="0" w:after="240"/>
      <w:ind w:hanging="0" w:start="1440" w:end="720"/>
      <w:jc w:val="both"/>
    </w:pPr>
    <w:rPr/>
  </w:style>
  <w:style w:type="paragraph" w:styleId="BodyTextIndent21">
    <w:name w:val="BodyTextIndent2"/>
    <w:basedOn w:val="Normal"/>
    <w:qFormat/>
    <w:pPr>
      <w:widowControl/>
      <w:spacing w:before="0" w:after="240"/>
      <w:ind w:firstLine="720" w:start="1440"/>
    </w:pPr>
    <w:rPr/>
  </w:style>
  <w:style w:type="paragraph" w:styleId="blockwline">
    <w:name w:val="blockwline"/>
    <w:basedOn w:val="Normal"/>
    <w:qFormat/>
    <w:pPr>
      <w:widowControl/>
      <w:tabs>
        <w:tab w:val="clear" w:pos="720"/>
        <w:tab w:val="right" w:pos="9360" w:leader="none"/>
      </w:tabs>
      <w:spacing w:before="0" w:after="120"/>
    </w:pPr>
    <w:rPr/>
  </w:style>
  <w:style w:type="paragraph" w:styleId="CoverTitle">
    <w:name w:val="CoverTitle"/>
    <w:basedOn w:val="Normal"/>
    <w:qFormat/>
    <w:pPr>
      <w:widowControl/>
      <w:jc w:val="center"/>
    </w:pPr>
    <w:rPr>
      <w:rFonts w:ascii="Arial Narrow" w:hAnsi="Arial Narrow"/>
      <w:sz w:val="144"/>
    </w:rPr>
  </w:style>
  <w:style w:type="paragraph" w:styleId="QuoteFirstIndent">
    <w:name w:val="QuoteFirstIndent"/>
    <w:basedOn w:val="Normal"/>
    <w:qFormat/>
    <w:pPr>
      <w:widowControl/>
      <w:spacing w:before="0" w:after="240"/>
      <w:ind w:firstLine="720" w:start="1440" w:end="720"/>
      <w:jc w:val="both"/>
    </w:pPr>
    <w:rPr/>
  </w:style>
  <w:style w:type="paragraph" w:styleId="blockindentwline">
    <w:name w:val="blockindentwline"/>
    <w:basedOn w:val="Normal"/>
    <w:qFormat/>
    <w:pPr>
      <w:widowControl/>
      <w:tabs>
        <w:tab w:val="clear" w:pos="720"/>
        <w:tab w:val="right" w:pos="9360" w:leader="none"/>
      </w:tabs>
      <w:spacing w:before="0" w:after="120"/>
      <w:ind w:hanging="0" w:start="720"/>
    </w:pPr>
    <w:rPr/>
  </w:style>
  <w:style w:type="paragraph" w:styleId="EnvelopeReturn">
    <w:name w:val="envelope return"/>
    <w:basedOn w:val="Normal"/>
    <w:pPr>
      <w:widowControl/>
    </w:pPr>
    <w:rPr/>
  </w:style>
  <w:style w:type="paragraph" w:styleId="TOC1">
    <w:name w:val="toc 1"/>
    <w:basedOn w:val="Normal"/>
    <w:next w:val="Normal"/>
    <w:autoRedefine/>
    <w:pPr>
      <w:keepNext w:val="true"/>
      <w:widowControl/>
      <w:tabs>
        <w:tab w:val="clear" w:pos="720"/>
        <w:tab w:val="left" w:pos="2160" w:leader="none"/>
        <w:tab w:val="right" w:pos="9360" w:leader="dot"/>
      </w:tabs>
      <w:spacing w:before="240" w:after="0"/>
    </w:pPr>
    <w:rPr>
      <w:caps/>
      <w:lang w:val="en-US"/>
    </w:rPr>
  </w:style>
  <w:style w:type="paragraph" w:styleId="TOC2">
    <w:name w:val="toc 2"/>
    <w:basedOn w:val="Normal"/>
    <w:next w:val="Normal"/>
    <w:autoRedefine/>
    <w:pPr>
      <w:widowControl/>
      <w:tabs>
        <w:tab w:val="clear" w:pos="720"/>
        <w:tab w:val="left" w:pos="1440" w:leader="none"/>
        <w:tab w:val="right" w:pos="9360" w:leader="dot"/>
      </w:tabs>
      <w:ind w:hanging="720" w:start="1440" w:end="720"/>
    </w:pPr>
    <w:rPr>
      <w:lang w:val="en-US"/>
    </w:rPr>
  </w:style>
  <w:style w:type="paragraph" w:styleId="NormalIndent">
    <w:name w:val="Normal Indent"/>
    <w:basedOn w:val="Normal"/>
    <w:qFormat/>
    <w:pPr>
      <w:widowControl/>
      <w:ind w:hanging="0" w:start="720"/>
    </w:pPr>
    <w:rPr/>
  </w:style>
  <w:style w:type="paragraph" w:styleId="TOC6">
    <w:name w:val="toc 6"/>
    <w:basedOn w:val="Normal"/>
    <w:next w:val="Normal"/>
    <w:autoRedefine/>
    <w:pPr>
      <w:widowControl/>
      <w:ind w:hanging="0" w:start="1200"/>
    </w:pPr>
    <w:rPr/>
  </w:style>
  <w:style w:type="paragraph" w:styleId="TOC7">
    <w:name w:val="toc 7"/>
    <w:basedOn w:val="Normal"/>
    <w:next w:val="Normal"/>
    <w:autoRedefine/>
    <w:pPr>
      <w:widowControl/>
      <w:ind w:hanging="0" w:start="1440"/>
    </w:pPr>
    <w:rPr/>
  </w:style>
  <w:style w:type="paragraph" w:styleId="TOC8">
    <w:name w:val="toc 8"/>
    <w:basedOn w:val="Normal"/>
    <w:next w:val="Normal"/>
    <w:autoRedefine/>
    <w:pPr>
      <w:widowControl/>
      <w:ind w:hanging="0" w:start="1680"/>
    </w:pPr>
    <w:rPr/>
  </w:style>
  <w:style w:type="paragraph" w:styleId="TOC9">
    <w:name w:val="toc 9"/>
    <w:basedOn w:val="Normal"/>
    <w:next w:val="Normal"/>
    <w:autoRedefine/>
    <w:pPr>
      <w:widowControl/>
      <w:ind w:hanging="0" w:start="1920"/>
    </w:pPr>
    <w:rPr/>
  </w:style>
  <w:style w:type="paragraph" w:styleId="Justified">
    <w:name w:val="Justified"/>
    <w:basedOn w:val="Normal"/>
    <w:next w:val="Heading2"/>
    <w:qFormat/>
    <w:pPr>
      <w:widowControl/>
      <w:spacing w:before="0" w:after="120"/>
    </w:pPr>
    <w:rPr>
      <w:sz w:val="22"/>
    </w:rPr>
  </w:style>
  <w:style w:type="paragraph" w:styleId="INVOICEHD2">
    <w:name w:val="INVOICE HD2"/>
    <w:basedOn w:val="Normal"/>
    <w:qFormat/>
    <w:pPr>
      <w:widowControl/>
      <w:tabs>
        <w:tab w:val="clear" w:pos="720"/>
        <w:tab w:val="left" w:pos="4680" w:leader="none"/>
      </w:tabs>
      <w:jc w:val="center"/>
    </w:pPr>
    <w:rPr>
      <w:rFonts w:ascii="Courier" w:hAnsi="Courier"/>
      <w:sz w:val="22"/>
    </w:rPr>
  </w:style>
  <w:style w:type="paragraph" w:styleId="FootnoteText">
    <w:name w:val="footnote text"/>
    <w:basedOn w:val="Normal"/>
    <w:pPr>
      <w:widowControl/>
      <w:spacing w:before="0" w:after="120"/>
      <w:ind w:hanging="360" w:start="36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Courier New" w:cs="Symbol"/>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5362</Words>
  <Characters>37535</Characters>
  <CharactersWithSpaces>30565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2001-03-20T11:06:00Z</dcterms:created>
  <dc:creator>jmoore2</dc:creator>
  <dc:description/>
  <cp:keywords>NYC 371355.5 02618 00125 3/20/2001  10:16 AM</cp:keywords>
  <dc:language>en-US</dc:language>
  <cp:lastModifiedBy/>
  <cp:lastPrinted>2001-03-19T17:49:00Z</cp:lastPrinted>
  <dcterms:modified xsi:type="dcterms:W3CDTF">2001-03-20T11:06:00Z</dcterms:modified>
  <cp:revision>4</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LeBoeuf, Lamb, Greene &amp; MacRae, L.L.P.</vt:lpwstr>
  </property>
</Properties>
</file>