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7"/>
        <w:widowControl/>
        <w:bidi w:val="0"/>
        <w:jc w:val="start"/>
        <w:rPr/>
      </w:pPr>
      <w:r>
        <w:rPr/>
      </w:r>
    </w:p>
    <w:p>
      <w:pPr>
        <w:pStyle w:val="Heading7"/>
        <w:bidi w:val="0"/>
        <w:jc w:val="start"/>
        <w:rPr/>
      </w:pPr>
      <w:r>
        <w:rPr/>
        <w:t>PRIVATE AND CONFIDENTIAL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BodyText2"/>
        <w:widowControl/>
        <w:bidi w:val="0"/>
        <w:jc w:val="start"/>
        <w:rPr/>
      </w:pPr>
      <w:r>
        <w:rPr/>
        <w:t>I am pleased to announce that Enron has been ranked in the following categories in the EPRM / Risk 2000 Commodity Derivative Rankings: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FIRST IN:</w:t>
        <w:tab/>
        <w:tab/>
      </w:r>
      <w:r>
        <w:rPr>
          <w:rFonts w:ascii="Arial" w:hAnsi="Arial"/>
          <w:sz w:val="24"/>
        </w:rPr>
        <w:t>Nat Gas, N.Am</w:t>
        <w:tab/>
        <w:t>Nymex look-alike swaps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Basis swaps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Nymex look-alike 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Basis 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Nat Gas, UK</w:t>
        <w:tab/>
        <w:tab/>
        <w:t>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Electricity, UK&amp;EU</w:t>
        <w:tab/>
        <w:t>swaps, UK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swaps, Europe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options, UK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SECOND IN:</w:t>
        <w:tab/>
        <w:tab/>
      </w:r>
      <w:r>
        <w:rPr>
          <w:rFonts w:ascii="Arial" w:hAnsi="Arial"/>
          <w:sz w:val="24"/>
        </w:rPr>
        <w:t>Gasoline</w:t>
        <w:tab/>
        <w:tab/>
        <w:t>swaps, Americas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Electricity, N.Am</w:t>
        <w:tab/>
        <w:t>swaps, N.Am Eastern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Options, N.Am Eastern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Weather derivatives</w:t>
        <w:tab/>
        <w:t>N.Am swaps</w:t>
      </w:r>
    </w:p>
    <w:p>
      <w:pPr>
        <w:pStyle w:val="Normal"/>
        <w:bidi w:val="0"/>
        <w:jc w:val="star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N.Am options</w:t>
      </w:r>
      <w:r>
        <w:rPr>
          <w:rFonts w:ascii="Arial" w:hAnsi="Arial"/>
          <w:b/>
          <w:sz w:val="24"/>
        </w:rPr>
        <w:tab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902" w:right="902" w:gutter="0" w:header="709" w:top="766" w:footer="709" w:bottom="76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  <w:r>
      <mc:AlternateContent>
        <mc:Choice Requires="wps">
          <w:drawing>
            <wp:anchor behindDoc="0" distT="72390" distB="72390" distL="72390" distR="72390" simplePos="0" locked="0" layoutInCell="1" allowOverlap="1" relativeHeight="0">
              <wp:simplePos x="0" y="0"/>
              <wp:positionH relativeFrom="column">
                <wp:posOffset>250190</wp:posOffset>
              </wp:positionH>
              <wp:positionV relativeFrom="paragraph">
                <wp:posOffset>-403860</wp:posOffset>
              </wp:positionV>
              <wp:extent cx="5852160" cy="365760"/>
              <wp:effectExtent l="0" t="0" r="0" b="0"/>
              <wp:wrapNone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365760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rmal"/>
                            <w:bidi w:val="0"/>
                            <w:jc w:val="center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Deadline 18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 xml:space="preserve"> December 2000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-0;width:460.8pt;height:28.8pt;mso-wrap-distance-left:5.7pt;mso-wrap-distance-right:5.7pt;mso-wrap-distance-top:5.7pt;mso-wrap-distance-bottom:5.7pt;margin-top:-31.8pt;mso-position-vertical-relative:text;margin-left:19.7pt;mso-position-horizontal-relative:text">
              <v:textbox inset="0in,0in,0in,0in">
                <w:txbxContent>
                  <w:p>
                    <w:pPr>
                      <w:pStyle w:val="Normal"/>
                      <w:bidi w:val="0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Deadline 18</w:t>
                    </w:r>
                    <w:r>
                      <w:rPr>
                        <w:rFonts w:ascii="Arial" w:hAnsi="Arial"/>
                        <w:b/>
                        <w:sz w:val="40"/>
                        <w:vertAlign w:val="superscript"/>
                      </w:rPr>
                      <w:t>th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 xml:space="preserve"> December 2000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Risk Waters Group, 28-29 Haymarket, London  SW1Y 4RX, UK.</w:t>
    </w:r>
  </w:p>
  <w:p>
    <w:pPr>
      <w:pStyle w:val="Footer"/>
      <w:bidi w:val="0"/>
      <w:jc w:val="center"/>
      <w:rPr>
        <w:rFonts w:ascii="Arial" w:hAnsi="Arial"/>
        <w:sz w:val="14"/>
      </w:rPr>
    </w:pPr>
    <w:r>
      <w:rPr>
        <w:rFonts w:ascii="Arial" w:hAnsi="Arial"/>
        <w:sz w:val="16"/>
      </w:rPr>
      <w:t>Tel +44 (0)20 7484 9700  Fax +44 (0)20 7930 2238  E-Mail market@riskwaters.com</w:t>
    </w:r>
  </w:p>
  <w:p>
    <w:pPr>
      <w:pStyle w:val="Footer"/>
      <w:bidi w:val="0"/>
      <w:jc w:val="center"/>
      <w:rPr>
        <w:rFonts w:ascii="Arial" w:hAnsi="Arial"/>
        <w:sz w:val="6"/>
      </w:rPr>
    </w:pPr>
    <w:r>
      <w:rPr>
        <w:rFonts w:ascii="Arial" w:hAnsi="Arial"/>
        <w:sz w:val="6"/>
      </w:rPr>
    </w:r>
  </w:p>
  <w:p>
    <w:pPr>
      <w:pStyle w:val="Footer"/>
      <w:bidi w:val="0"/>
      <w:jc w:val="center"/>
      <w:rPr>
        <w:rFonts w:ascii="Arial" w:hAnsi="Arial"/>
        <w:sz w:val="11"/>
      </w:rPr>
    </w:pP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-207010</wp:posOffset>
              </wp:positionH>
              <wp:positionV relativeFrom="paragraph">
                <wp:posOffset>61595</wp:posOffset>
              </wp:positionV>
              <wp:extent cx="6035675" cy="635"/>
              <wp:effectExtent l="0" t="0" r="0" b="0"/>
              <wp:wrapNone/>
              <wp:docPr id="6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76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6.3pt,4.85pt" to="458.9pt,4.85pt" ID="Shape1" stroked="f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/>
        <w:sz w:val="11"/>
      </w:rPr>
      <w:t xml:space="preserve">Risk Publications is a trading name of Financial Engineering Ltd. </w:t>
    </w:r>
  </w:p>
  <w:p>
    <w:pPr>
      <w:pStyle w:val="Footer"/>
      <w:bidi w:val="0"/>
      <w:jc w:val="center"/>
      <w:rPr>
        <w:rFonts w:ascii="Arial" w:hAnsi="Arial"/>
        <w:sz w:val="11"/>
      </w:rPr>
    </w:pPr>
    <w:r>
      <w:rPr>
        <w:rFonts w:ascii="Arial" w:hAnsi="Arial"/>
        <w:sz w:val="11"/>
      </w:rPr>
      <w:t>Registered in England &amp; Wales No. 2246228. VAT No. GB 681 3190 38</w:t>
    </w:r>
  </w:p>
  <w:p>
    <w:pPr>
      <w:pStyle w:val="Footer"/>
      <w:bidi w:val="0"/>
      <w:jc w:val="center"/>
      <w:rPr>
        <w:rFonts w:ascii="Arial" w:hAnsi="Arial"/>
        <w:sz w:val="11"/>
      </w:rPr>
    </w:pPr>
    <w:r>
      <w:rPr>
        <w:rFonts w:ascii="Arial" w:hAnsi="Arial"/>
        <w:sz w:val="11"/>
      </w:rPr>
      <w:t>Risk is a registered trademark.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4090670</wp:posOffset>
          </wp:positionH>
          <wp:positionV relativeFrom="paragraph">
            <wp:posOffset>647700</wp:posOffset>
          </wp:positionV>
          <wp:extent cx="2466975" cy="74295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-24130</wp:posOffset>
          </wp:positionH>
          <wp:positionV relativeFrom="paragraph">
            <wp:posOffset>7620</wp:posOffset>
          </wp:positionV>
          <wp:extent cx="737870" cy="1320165"/>
          <wp:effectExtent l="0" t="0" r="0" b="0"/>
          <wp:wrapSquare wrapText="bothSides"/>
          <wp:docPr id="2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320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/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2901950</wp:posOffset>
          </wp:positionH>
          <wp:positionV relativeFrom="paragraph">
            <wp:posOffset>7620</wp:posOffset>
          </wp:positionV>
          <wp:extent cx="613410" cy="1097280"/>
          <wp:effectExtent l="0" t="0" r="0" b="0"/>
          <wp:wrapSquare wrapText="bothSides"/>
          <wp:docPr id="3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2152015" cy="932180"/>
          <wp:effectExtent l="0" t="0" r="0" b="0"/>
          <wp:docPr id="4" name="Imag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</w:t>
    </w:r>
  </w:p>
  <w:p>
    <w:pPr>
      <w:pStyle w:val="Normal"/>
      <w:bidi w:val="0"/>
      <w:jc w:val="both"/>
      <w:rPr/>
    </w:pPr>
    <w:r>
      <w:rPr/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width:195.05pt;height:48.65pt;mso-wrap-distance-right:0pt" filled="f" o:ole="">
          <v:imagedata r:id="rId4" o:title=""/>
        </v:shape>
        <o:OLEObject Type="Embed" ProgID="Word.Picture.8" ShapeID="ole_rId3" DrawAspect="Content" ObjectID="_1955386825" r:id="rId3"/>
      </w:object>
    </w:r>
  </w:p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ms Rmn" w:cs="Times New Roman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before="240" w:after="0"/>
      <w:outlineLvl w:val="0"/>
    </w:pPr>
    <w:rPr>
      <w:rFonts w:ascii="Arial" w:hAnsi="Arial"/>
      <w:sz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/>
      <w:spacing w:before="240" w:after="60"/>
    </w:pPr>
    <w:rPr>
      <w:rFonts w:ascii="Arial" w:hAnsi="Arial"/>
      <w:b/>
      <w:i/>
      <w:lang w:val="en-GB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rFonts w:ascii="Tms Rmn" w:hAnsi="Tms Rmn"/>
      <w:lang w:val="en-GB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rFonts w:ascii="Tms Rmn" w:hAnsi="Tms Rmn"/>
      <w:lang w:val="en-GB"/>
    </w:rPr>
  </w:style>
  <w:style w:type="paragraph" w:styleId="Heading5">
    <w:name w:val="heading 5"/>
    <w:basedOn w:val="Normal"/>
    <w:next w:val="Normal"/>
    <w:qFormat/>
    <w:pPr>
      <w:keepNext w:val="true"/>
      <w:widowControl/>
      <w:jc w:val="center"/>
      <w:outlineLvl w:val="4"/>
    </w:pPr>
    <w:rPr>
      <w:rFonts w:ascii="Arial" w:hAnsi="Arial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 w:val="true"/>
      <w:widowControl/>
      <w:ind w:hanging="0" w:start="2880"/>
      <w:outlineLvl w:val="5"/>
    </w:pPr>
    <w:rPr>
      <w:rFonts w:ascii="Arial" w:hAnsi="Arial"/>
      <w:b/>
      <w:sz w:val="28"/>
      <w:u w:val="single"/>
      <w:lang w:val="en-GB"/>
    </w:rPr>
  </w:style>
  <w:style w:type="paragraph" w:styleId="Heading7">
    <w:name w:val="heading 7"/>
    <w:basedOn w:val="Normal"/>
    <w:next w:val="Normal"/>
    <w:qFormat/>
    <w:pPr>
      <w:keepNext w:val="true"/>
      <w:widowControl/>
      <w:ind w:firstLine="720" w:start="2160"/>
      <w:outlineLvl w:val="6"/>
    </w:pPr>
    <w:rPr>
      <w:rFonts w:ascii="Arial" w:hAnsi="Arial"/>
      <w:b/>
      <w:sz w:val="32"/>
      <w:u w:val="single"/>
      <w:lang w:val="en-GB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sz w:val="32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rFonts w:ascii="Tms Rmn" w:hAnsi="Tms Rmn"/>
      <w:sz w:val="20"/>
      <w:lang w:val="en-GB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rFonts w:ascii="Tms Rmn" w:hAnsi="Tms Rmn"/>
      <w:sz w:val="20"/>
      <w:lang w:val="en-GB"/>
    </w:rPr>
  </w:style>
  <w:style w:type="paragraph" w:styleId="EndnoteText">
    <w:name w:val="endnote text"/>
    <w:basedOn w:val="Normal"/>
    <w:pPr>
      <w:widowControl/>
    </w:pPr>
    <w:rPr>
      <w:rFonts w:ascii="Tms Rmn" w:hAnsi="Tms Rmn"/>
      <w:sz w:val="20"/>
      <w:lang w:val="en-GB"/>
    </w:rPr>
  </w:style>
  <w:style w:type="paragraph" w:styleId="Style7">
    <w:name w:val="Style"/>
    <w:qFormat/>
    <w:pPr>
      <w:widowControl/>
      <w:bidi w:val="0"/>
    </w:pPr>
    <w:rPr>
      <w:rFonts w:ascii="Times New Roman" w:hAnsi="Times New Roman" w:eastAsia="Tms Rmn" w:cs="Times New Roman"/>
      <w:color w:val="auto"/>
      <w:kern w:val="2"/>
      <w:sz w:val="20"/>
      <w:szCs w:val="24"/>
      <w:lang w:val="en-GB" w:eastAsia="zh-CN" w:bidi="hi-IN"/>
    </w:rPr>
  </w:style>
  <w:style w:type="paragraph" w:styleId="BodyText2">
    <w:name w:val="Body Text 2"/>
    <w:basedOn w:val="Normal"/>
    <w:qFormat/>
    <w:pPr>
      <w:widowControl/>
    </w:pPr>
    <w:rPr>
      <w:rFonts w:ascii="Arial" w:hAnsi="Arial"/>
      <w:lang w:val="en-GB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oleObject" Target="embeddings/oleObject1.bin"/><Relationship Id="rId4" Type="http://schemas.openxmlformats.org/officeDocument/2006/relationships/image" Target="media/image4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</Words>
  <Characters>0</Characters>
  <CharactersWithSpaces>104</CharactersWithSpaces>
  <Company>Risk Publications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2001-01-18T09:23:00Z</dcterms:created>
  <dc:creator>Gateway 2000 Licensed User</dc:creator>
  <dc:description/>
  <dc:language>en-US</dc:language>
  <cp:lastModifiedBy/>
  <cp:lastPrinted>2001-01-18T12:13:00Z</cp:lastPrinted>
  <dcterms:modified xsi:type="dcterms:W3CDTF">2001-01-18T09:23:00Z</dcterms:modified>
  <cp:revision>2</cp:revision>
  <dc:subject/>
  <dc:title>To:_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Eric William Thode</vt:lpwstr>
  </property>
</Properties>
</file>