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spacing w:before="960" w:after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8:49:45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8:49:48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8:49:51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8:49:54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8:49:57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8:50:00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8:50:02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0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8:50:03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8:50:06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8:50:09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8:50:12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8:50:15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0.0400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8:50:18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8:50:22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8:50:24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15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8:50:28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16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8:50:31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17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8:50:34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18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8:50:37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19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8:50:39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20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8:50:42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21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73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8:50:43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22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8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8:50:43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23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8:50:46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24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8:50:49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25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8:50:52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26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27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6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8:50:56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28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7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8:50:56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29 of    29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5004</Words>
  <Characters>35030</Characters>
  <CharactersWithSpaces>28525</CharactersWithSpaces>
  <Company>Enron Energy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2000-02-22T08:57:00Z</dcterms:created>
  <dc:creator>tdonovan</dc:creator>
  <dc:description/>
  <dc:language>en-CA</dc:language>
  <cp:lastModifiedBy/>
  <dcterms:modified xsi:type="dcterms:W3CDTF">2000-02-22T08:57:00Z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tdonovan</vt:lpwstr>
  </property>
</Properties>
</file>