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  <w:t>Scheduling and Pricing Working Group</w:t>
      </w:r>
    </w:p>
    <w:p>
      <w:pPr>
        <w:pStyle w:val="Normal"/>
        <w:jc w:val="center"/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  <w:t>December 18</w:t>
      </w:r>
      <w:r>
        <w:rPr>
          <w:rFonts w:cs="Copperplate Gothic Light" w:ascii="Copperplate Gothic Light" w:hAnsi="Copperplate Gothic Light"/>
          <w:sz w:val="20"/>
          <w:vertAlign w:val="superscript"/>
        </w:rPr>
        <w:t>th</w:t>
      </w:r>
    </w:p>
    <w:p>
      <w:pPr>
        <w:pStyle w:val="Normal"/>
        <w:jc w:val="center"/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</w:r>
    </w:p>
    <w:p>
      <w:pPr>
        <w:pStyle w:val="Normal"/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</w:r>
    </w:p>
    <w:p>
      <w:pPr>
        <w:pStyle w:val="Normal"/>
        <w:rPr>
          <w:rFonts w:ascii="Copperplate Gothic Bold" w:hAnsi="Copperplate Gothic Bold" w:cs="Copperplate Gothic Bold"/>
        </w:rPr>
      </w:pPr>
      <w:r>
        <w:rPr>
          <w:rFonts w:cs="Copperplate Gothic Bold" w:ascii="Copperplate Gothic Bold" w:hAnsi="Copperplate Gothic Bold"/>
        </w:rPr>
        <w:t xml:space="preserve">Agenda </w:t>
      </w:r>
    </w:p>
    <w:p>
      <w:pPr>
        <w:pStyle w:val="Normal"/>
        <w:rPr>
          <w:rFonts w:ascii="Copperplate Gothic Light" w:hAnsi="Copperplate Gothic Light" w:cs="Copperplate Gothic Light"/>
        </w:rPr>
      </w:pPr>
      <w:r>
        <w:rPr>
          <w:rFonts w:cs="Copperplate Gothic Light" w:ascii="Copperplate Gothic Light" w:hAnsi="Copperplate Gothic Light"/>
        </w:rPr>
      </w:r>
    </w:p>
    <w:p>
      <w:pPr>
        <w:pStyle w:val="Normal"/>
        <w:numPr>
          <w:ilvl w:val="0"/>
          <w:numId w:val="1"/>
        </w:numPr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  <w:t>Presentation and Discussion of longer term BME solution white papers</w:t>
      </w:r>
    </w:p>
    <w:p>
      <w:pPr>
        <w:pStyle w:val="Normal"/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</w:r>
    </w:p>
    <w:p>
      <w:pPr>
        <w:pStyle w:val="Normal"/>
        <w:numPr>
          <w:ilvl w:val="0"/>
          <w:numId w:val="1"/>
        </w:numPr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  <w:t>Update on uninstructed over generation including survey results.</w:t>
      </w:r>
    </w:p>
    <w:p>
      <w:pPr>
        <w:pStyle w:val="Normal"/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</w:r>
    </w:p>
    <w:p>
      <w:pPr>
        <w:pStyle w:val="Normal"/>
        <w:numPr>
          <w:ilvl w:val="0"/>
          <w:numId w:val="1"/>
        </w:numPr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  <w:t>Update on Circuit Breakers</w:t>
      </w:r>
    </w:p>
    <w:p>
      <w:pPr>
        <w:pStyle w:val="Normal"/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</w:r>
    </w:p>
    <w:p>
      <w:pPr>
        <w:pStyle w:val="Normal"/>
        <w:numPr>
          <w:ilvl w:val="0"/>
          <w:numId w:val="1"/>
        </w:numPr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  <w:t>Update on import/export curtailment solution</w:t>
      </w:r>
    </w:p>
    <w:p>
      <w:pPr>
        <w:pStyle w:val="Normal"/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</w:r>
    </w:p>
    <w:p>
      <w:pPr>
        <w:pStyle w:val="Normal"/>
        <w:numPr>
          <w:ilvl w:val="0"/>
          <w:numId w:val="1"/>
        </w:numPr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  <w:t>Closing and Posting Time</w:t>
      </w:r>
    </w:p>
    <w:p>
      <w:pPr>
        <w:pStyle w:val="Normal"/>
        <w:rPr>
          <w:rFonts w:ascii="Copperplate Gothic Light" w:hAnsi="Copperplate Gothic Light" w:cs="Copperplate Gothic Light"/>
          <w:sz w:val="20"/>
        </w:rPr>
      </w:pPr>
      <w:r>
        <w:rPr>
          <w:rFonts w:cs="Copperplate Gothic Light" w:ascii="Copperplate Gothic Light" w:hAnsi="Copperplate Gothic Light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pperplate Gothic Bold">
    <w:charset w:val="00" w:characterSet="windows-1252"/>
    <w:family w:val="swiss"/>
    <w:pitch w:val="variable"/>
  </w:font>
  <w:font w:name="Copperplate Gothic Ligh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576"/>
        </w:tabs>
        <w:ind w:start="504" w:hanging="28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2000-11-30T13:13:00Z</dcterms:created>
  <dc:creator>John Paul Reese</dc:creator>
  <dc:description/>
  <dc:language>en-CA</dc:language>
  <cp:lastModifiedBy>John Paul Reese</cp:lastModifiedBy>
  <dcterms:modified xsi:type="dcterms:W3CDTF">2000-12-13T01:07:00Z</dcterms:modified>
  <cp:revision>3</cp:revision>
  <dc:subject/>
  <dc:title>Scheduling and Pricing Working Group</dc:title>
</cp:coreProperties>
</file>