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80" w:type="dxa"/>
        <w:jc w:val="start"/>
        <w:tblInd w:w="79" w:type="dxa"/>
        <w:tblLayout w:type="fixed"/>
        <w:tblCellMar>
          <w:top w:w="0" w:type="dxa"/>
          <w:start w:w="79" w:type="dxa"/>
          <w:bottom w:w="0" w:type="dxa"/>
          <w:end w:w="79" w:type="dxa"/>
        </w:tblCellMar>
      </w:tblPr>
      <w:tblGrid>
        <w:gridCol w:w="1079"/>
        <w:gridCol w:w="9000"/>
      </w:tblGrid>
      <w:tr>
        <w:trPr>
          <w:cantSplit w:val="true"/>
        </w:trPr>
        <w:tc>
          <w:tcPr>
            <w:tcW w:w="10079" w:type="dxa"/>
            <w:gridSpan w:val="2"/>
            <w:tcBorders>
              <w:top w:val="single" w:sz="32" w:space="0" w:color="000000"/>
              <w:bottom w:val="single" w:sz="32" w:space="0" w:color="000000"/>
            </w:tcBorders>
          </w:tcPr>
          <w:p>
            <w:pPr>
              <w:pStyle w:val="Normal"/>
              <w:tabs>
                <w:tab w:val="clear" w:pos="720"/>
              </w:tabs>
              <w:bidi w:val="0"/>
              <w:spacing w:before="19" w:after="0"/>
              <w:ind w:hanging="0" w:start="0" w:end="0"/>
              <w:jc w:val="end"/>
              <w:rPr>
                <w:rFonts w:ascii="Arial" w:hAnsi="Arial"/>
                <w:b w:val="false"/>
                <w:lang w:val="en-CA"/>
              </w:rPr>
            </w:pPr>
            <w:r>
              <w:rPr/>
              <w:fldChar w:fldCharType="begin"/>
            </w:r>
            <w:r>
              <w:rPr/>
              <w:instrText xml:space="preserve"> SEQ CHAPTER \* ARABIC </w:instrText>
            </w:r>
            <w:r>
              <w:rPr/>
              <w:fldChar w:fldCharType="separate"/>
            </w:r>
            <w:r>
              <w:rPr/>
            </w:r>
            <w:r>
              <w:rPr/>
              <w:fldChar w:fldCharType="end"/>
            </w:r>
            <w:r>
              <w:rPr>
                <w:b w:val="false"/>
                <w:sz w:val="88"/>
              </w:rPr>
              <w:t>NMOGA Update</w:t>
            </w:r>
          </w:p>
          <w:p>
            <w:pPr>
              <w:pStyle w:val="Normal"/>
              <w:tabs>
                <w:tab w:val="clear" w:pos="720"/>
              </w:tabs>
              <w:bidi w:val="0"/>
              <w:spacing w:before="0" w:after="19"/>
              <w:ind w:hanging="0" w:start="0" w:end="0"/>
              <w:jc w:val="end"/>
              <w:rPr>
                <w:b w:val="false"/>
              </w:rPr>
            </w:pPr>
            <w:r>
              <w:rPr>
                <w:b w:val="false"/>
              </w:rPr>
            </w:r>
          </w:p>
        </w:tc>
      </w:tr>
      <w:tr>
        <w:trPr>
          <w:cantSplit w:val="true"/>
        </w:trPr>
        <w:tc>
          <w:tcPr>
            <w:tcW w:w="1079" w:type="dxa"/>
            <w:tcBorders/>
          </w:tcPr>
          <w:p>
            <w:pPr>
              <w:pStyle w:val="Normal"/>
              <w:tabs>
                <w:tab w:val="clear" w:pos="720"/>
              </w:tabs>
              <w:bidi w:val="0"/>
              <w:spacing w:before="19" w:after="76"/>
              <w:ind w:hanging="0" w:start="0" w:end="0"/>
              <w:jc w:val="start"/>
              <w:rPr/>
            </w:pPr>
            <w:r>
              <w:rPr>
                <w:rFonts w:ascii="Arial" w:hAnsi="Arial"/>
              </w:rPr>
              <w:t>To:</w:t>
            </w:r>
          </w:p>
        </w:tc>
        <w:tc>
          <w:tcPr>
            <w:tcW w:w="9000" w:type="dxa"/>
            <w:tcBorders/>
          </w:tcPr>
          <w:p>
            <w:pPr>
              <w:pStyle w:val="Normal"/>
              <w:tabs>
                <w:tab w:val="clear" w:pos="720"/>
              </w:tabs>
              <w:bidi w:val="0"/>
              <w:spacing w:before="19" w:after="76"/>
              <w:ind w:hanging="0" w:start="0" w:end="0"/>
              <w:jc w:val="start"/>
              <w:rPr/>
            </w:pPr>
            <w:r>
              <w:rPr>
                <w:rFonts w:ascii="Arial" w:hAnsi="Arial"/>
                <w:b w:val="false"/>
              </w:rPr>
              <w:t>Interested Parties</w:t>
            </w:r>
          </w:p>
        </w:tc>
      </w:tr>
      <w:tr>
        <w:trPr>
          <w:cantSplit w:val="true"/>
        </w:trPr>
        <w:tc>
          <w:tcPr>
            <w:tcW w:w="1079" w:type="dxa"/>
            <w:tcBorders/>
          </w:tcPr>
          <w:p>
            <w:pPr>
              <w:pStyle w:val="Normal"/>
              <w:bidi w:val="0"/>
              <w:spacing w:before="19" w:after="76"/>
              <w:ind w:hanging="0" w:start="0" w:end="0"/>
              <w:jc w:val="start"/>
              <w:rPr/>
            </w:pPr>
            <w:r>
              <w:rPr>
                <w:rFonts w:ascii="Arial" w:hAnsi="Arial"/>
              </w:rPr>
              <w:t>From:</w:t>
            </w:r>
          </w:p>
        </w:tc>
        <w:tc>
          <w:tcPr>
            <w:tcW w:w="9000" w:type="dxa"/>
            <w:tcBorders/>
          </w:tcPr>
          <w:p>
            <w:pPr>
              <w:pStyle w:val="Normal"/>
              <w:bidi w:val="0"/>
              <w:spacing w:before="19" w:after="76"/>
              <w:ind w:hanging="0" w:start="0" w:end="0"/>
              <w:jc w:val="start"/>
              <w:rPr/>
            </w:pPr>
            <w:r>
              <w:rPr>
                <w:rFonts w:ascii="Arial" w:hAnsi="Arial"/>
                <w:b w:val="false"/>
              </w:rPr>
              <w:t>Deborah Seligman</w:t>
            </w:r>
          </w:p>
        </w:tc>
      </w:tr>
      <w:tr>
        <w:trPr>
          <w:cantSplit w:val="true"/>
        </w:trPr>
        <w:tc>
          <w:tcPr>
            <w:tcW w:w="1079" w:type="dxa"/>
            <w:tcBorders/>
          </w:tcPr>
          <w:p>
            <w:pPr>
              <w:pStyle w:val="Normal"/>
              <w:tabs>
                <w:tab w:val="clear" w:pos="720"/>
              </w:tabs>
              <w:bidi w:val="0"/>
              <w:spacing w:before="19" w:after="76"/>
              <w:ind w:hanging="0" w:start="0" w:end="0"/>
              <w:jc w:val="start"/>
              <w:rPr/>
            </w:pPr>
            <w:r>
              <w:rPr>
                <w:rFonts w:ascii="Arial" w:hAnsi="Arial"/>
              </w:rPr>
              <w:t>Date:</w:t>
            </w:r>
          </w:p>
        </w:tc>
        <w:tc>
          <w:tcPr>
            <w:tcW w:w="9000" w:type="dxa"/>
            <w:tcBorders/>
          </w:tcPr>
          <w:p>
            <w:pPr>
              <w:pStyle w:val="Normal"/>
              <w:tabs>
                <w:tab w:val="clear" w:pos="720"/>
              </w:tabs>
              <w:bidi w:val="0"/>
              <w:spacing w:before="19" w:after="76"/>
              <w:ind w:hanging="0" w:start="0" w:end="0"/>
              <w:jc w:val="start"/>
              <w:rPr/>
            </w:pPr>
            <w:r>
              <w:rPr>
                <w:rFonts w:ascii="Arial" w:hAnsi="Arial"/>
                <w:b w:val="false"/>
              </w:rPr>
              <w:t>24 April 2001</w:t>
            </w:r>
          </w:p>
        </w:tc>
      </w:tr>
    </w:tbl>
    <w:p>
      <w:pPr>
        <w:pStyle w:val="Normal"/>
        <w:bidi w:val="0"/>
        <w:ind w:hanging="0" w:start="0" w:end="0"/>
        <w:jc w:val="start"/>
        <w:rPr>
          <w:b w:val="false"/>
        </w:rPr>
      </w:pPr>
      <w:r>
        <w:rPr>
          <w:b w:val="false"/>
        </w:rPr>
      </w:r>
    </w:p>
    <w:p>
      <w:pPr>
        <w:pStyle w:val="Normal"/>
        <w:bidi w:val="0"/>
        <w:ind w:hanging="0" w:start="0" w:end="0"/>
        <w:jc w:val="both"/>
        <w:rPr>
          <w:rFonts w:ascii="Arial" w:hAnsi="Arial"/>
          <w:b w:val="false"/>
        </w:rPr>
      </w:pPr>
      <w:r>
        <w:rPr>
          <w:rFonts w:ascii="Arial" w:hAnsi="Arial"/>
        </w:rPr>
        <w:t>NM Oil Conservation Division Pollution Prevention Best Management Practices (P2BMP) Manual and Pocket Guide:</w:t>
      </w:r>
      <w:r>
        <w:rPr>
          <w:rFonts w:ascii="Arial" w:hAnsi="Arial"/>
          <w:b w:val="false"/>
        </w:rPr>
        <w:t xml:space="preserve"> The NMOCD in conjunction with Moorhouse and Associates will be conducting several training session on their recently published P2BMP Manual and Pocket Guide.</w:t>
      </w:r>
    </w:p>
    <w:p>
      <w:pPr>
        <w:pStyle w:val="Normal"/>
        <w:bidi w:val="0"/>
        <w:ind w:hanging="0" w:start="0" w:end="0"/>
        <w:jc w:val="both"/>
        <w:rPr>
          <w:rFonts w:ascii="Arial" w:hAnsi="Arial"/>
          <w:b w:val="false"/>
        </w:rPr>
      </w:pPr>
      <w:r>
        <w:rPr>
          <w:rFonts w:ascii="Arial" w:hAnsi="Arial"/>
          <w:b w:val="false"/>
        </w:rPr>
      </w:r>
    </w:p>
    <w:p>
      <w:pPr>
        <w:pStyle w:val="Normal"/>
        <w:bidi w:val="0"/>
        <w:ind w:hanging="0" w:start="0" w:end="0"/>
        <w:jc w:val="both"/>
        <w:rPr>
          <w:rFonts w:ascii="Arial" w:hAnsi="Arial"/>
          <w:b w:val="false"/>
        </w:rPr>
      </w:pPr>
      <w:r>
        <w:rPr>
          <w:rFonts w:ascii="Arial" w:hAnsi="Arial"/>
          <w:b w:val="false"/>
        </w:rPr>
        <w:t>The P2BMP Training sessions are being planned for both the Hobbs and Farmington area.  This will be a two day training session on the P2BMP Manual, Volume I and II and will provide the tools and information needed to develop a comprehensive pollution based management system.  Eventual incentives for P2BMP in New Mexico would be reduction in regulatory burden.</w:t>
      </w:r>
    </w:p>
    <w:p>
      <w:pPr>
        <w:pStyle w:val="Normal"/>
        <w:bidi w:val="0"/>
        <w:ind w:hanging="0" w:start="0" w:end="0"/>
        <w:jc w:val="both"/>
        <w:rPr>
          <w:rFonts w:ascii="Arial" w:hAnsi="Arial"/>
          <w:b w:val="false"/>
        </w:rPr>
      </w:pPr>
      <w:r>
        <w:rPr>
          <w:rFonts w:ascii="Arial" w:hAnsi="Arial"/>
          <w:b w:val="false"/>
        </w:rPr>
      </w:r>
    </w:p>
    <w:p>
      <w:pPr>
        <w:pStyle w:val="Normal"/>
        <w:bidi w:val="0"/>
        <w:ind w:hanging="0" w:start="0" w:end="0"/>
        <w:jc w:val="both"/>
        <w:rPr>
          <w:rFonts w:ascii="Arial" w:hAnsi="Arial"/>
          <w:b w:val="false"/>
        </w:rPr>
      </w:pPr>
      <w:r>
        <w:rPr>
          <w:rFonts w:ascii="Arial" w:hAnsi="Arial"/>
          <w:b w:val="false"/>
        </w:rPr>
        <w:t>Additional one-day training sessions will also be held for the “Pocket Guide” which contains information that can be used readily in the field.  The contents of the pocket guide include material substitution, good housekeeping practices, and equipment maintenance.  The pocket guide is geared towards field personnel as a tool for implementing environmental best management practices.</w:t>
      </w:r>
    </w:p>
    <w:p>
      <w:pPr>
        <w:pStyle w:val="Normal"/>
        <w:bidi w:val="0"/>
        <w:ind w:hanging="0" w:start="0" w:end="0"/>
        <w:jc w:val="both"/>
        <w:rPr>
          <w:rFonts w:ascii="Arial" w:hAnsi="Arial"/>
          <w:b w:val="false"/>
        </w:rPr>
      </w:pPr>
      <w:r>
        <w:rPr>
          <w:rFonts w:ascii="Arial" w:hAnsi="Arial"/>
          <w:b w:val="false"/>
        </w:rPr>
      </w:r>
    </w:p>
    <w:p>
      <w:pPr>
        <w:pStyle w:val="Normal"/>
        <w:bidi w:val="0"/>
        <w:ind w:hanging="0" w:start="0" w:end="0"/>
        <w:jc w:val="both"/>
        <w:rPr>
          <w:rFonts w:ascii="Arial" w:hAnsi="Arial"/>
          <w:b w:val="false"/>
        </w:rPr>
      </w:pPr>
      <w:r>
        <w:rPr>
          <w:rFonts w:ascii="Arial" w:hAnsi="Arial"/>
          <w:b w:val="false"/>
        </w:rPr>
        <w:t>Anticipated dates for both the 2-day P2BMP Training sessions and the 1-day Pocket Guide Training sessions will be late May/early June and late June.  NMOGA will advise members of the training dates as soon as they are set.</w:t>
      </w:r>
    </w:p>
    <w:p>
      <w:pPr>
        <w:pStyle w:val="Normal"/>
        <w:bidi w:val="0"/>
        <w:ind w:hanging="0" w:start="0" w:end="0"/>
        <w:jc w:val="both"/>
        <w:rPr>
          <w:rFonts w:ascii="Arial" w:hAnsi="Arial"/>
          <w:b w:val="false"/>
        </w:rPr>
      </w:pPr>
      <w:r>
        <w:rPr>
          <w:rFonts w:ascii="Arial" w:hAnsi="Arial"/>
          <w:b w:val="false"/>
        </w:rPr>
      </w:r>
    </w:p>
    <w:p>
      <w:pPr>
        <w:pStyle w:val="Normal"/>
        <w:bidi w:val="0"/>
        <w:ind w:hanging="0" w:start="0" w:end="0"/>
        <w:jc w:val="both"/>
        <w:rPr>
          <w:rFonts w:ascii="Arial" w:hAnsi="Arial"/>
          <w:b w:val="false"/>
        </w:rPr>
      </w:pPr>
      <w:r>
        <w:rPr>
          <w:rFonts w:ascii="Arial" w:hAnsi="Arial"/>
          <w:b w:val="false"/>
        </w:rPr>
        <w:t>A copy of the P2BMP Manual, Volume I and II as well as the Pocket Guide may request in electronic format from NMOGA as follows:  BMP-Vol I, Doc #271, 82 pages; BMP-Vol II, Doc #272, 56 pages and Pocket Guide, Doc #273, 61 pages</w:t>
      </w:r>
      <w:r>
        <mc:AlternateContent>
          <mc:Choice Requires="wps">
            <w:drawing>
              <wp:anchor behindDoc="0" distT="152400" distB="152400" distL="152400" distR="152400" simplePos="0" locked="0" layoutInCell="0" allowOverlap="1" relativeHeight="2">
                <wp:simplePos x="0" y="0"/>
                <wp:positionH relativeFrom="column">
                  <wp:posOffset>3747135</wp:posOffset>
                </wp:positionH>
                <wp:positionV relativeFrom="paragraph">
                  <wp:posOffset>631190</wp:posOffset>
                </wp:positionV>
                <wp:extent cx="2964815" cy="1204595"/>
                <wp:effectExtent l="0" t="0" r="0" b="0"/>
                <wp:wrapSquare wrapText="bothSides"/>
                <wp:docPr id="1" name="Frame1"/>
                <a:graphic xmlns:a="http://schemas.openxmlformats.org/drawingml/2006/main">
                  <a:graphicData uri="http://schemas.microsoft.com/office/word/2010/wordprocessingShape">
                    <wps:wsp>
                      <wps:cNvSpPr txBox="1"/>
                      <wps:spPr>
                        <a:xfrm>
                          <a:off x="0" y="0"/>
                          <a:ext cx="2964815" cy="1204595"/>
                        </a:xfrm>
                        <a:prstGeom prst="rect"/>
                        <a:solidFill>
                          <a:srgbClr val="FFFFFF">
                            <a:alpha val="0"/>
                          </a:srgbClr>
                        </a:solidFill>
                      </wps:spPr>
                      <wps:txbx>
                        <w:txbxContent>
                          <w:p>
                            <w:pPr>
                              <w:pStyle w:val="Normal"/>
                              <w:bidi w:val="0"/>
                              <w:ind w:hanging="0" w:start="0" w:end="0"/>
                              <w:jc w:val="end"/>
                              <w:rPr>
                                <w:rFonts w:ascii="Arial" w:hAnsi="Arial"/>
                              </w:rPr>
                            </w:pPr>
                            <w:r>
                              <w:rPr>
                                <w:rFonts w:ascii="Arial" w:hAnsi="Arial"/>
                              </w:rPr>
                              <w:t>Deborah Seligman</w:t>
                            </w:r>
                          </w:p>
                          <w:p>
                            <w:pPr>
                              <w:pStyle w:val="Normal"/>
                              <w:bidi w:val="0"/>
                              <w:ind w:hanging="0" w:start="0" w:end="0"/>
                              <w:jc w:val="end"/>
                              <w:rPr>
                                <w:rFonts w:ascii="Arial" w:hAnsi="Arial"/>
                                <w:b w:val="false"/>
                              </w:rPr>
                            </w:pPr>
                            <w:r>
                              <w:rPr>
                                <w:rFonts w:ascii="Arial" w:hAnsi="Arial"/>
                              </w:rPr>
                              <w:t>New Mexico Oil &amp; Gas Association</w:t>
                            </w:r>
                          </w:p>
                          <w:p>
                            <w:pPr>
                              <w:pStyle w:val="Normal"/>
                              <w:bidi w:val="0"/>
                              <w:ind w:hanging="0" w:start="0" w:end="0"/>
                              <w:jc w:val="end"/>
                              <w:rPr>
                                <w:rFonts w:ascii="Arial" w:hAnsi="Arial"/>
                                <w:b w:val="false"/>
                              </w:rPr>
                            </w:pPr>
                            <w:r>
                              <w:rPr>
                                <w:rFonts w:ascii="Arial" w:hAnsi="Arial"/>
                                <w:b w:val="false"/>
                              </w:rPr>
                              <w:t>POB 1864, Santa Fe, NM 87504-1864</w:t>
                            </w:r>
                          </w:p>
                          <w:p>
                            <w:pPr>
                              <w:pStyle w:val="Normal"/>
                              <w:bidi w:val="0"/>
                              <w:ind w:hanging="0" w:start="0" w:end="0"/>
                              <w:jc w:val="end"/>
                              <w:rPr>
                                <w:rFonts w:ascii="Arial" w:hAnsi="Arial"/>
                                <w:b w:val="false"/>
                              </w:rPr>
                            </w:pPr>
                            <w:r>
                              <w:rPr>
                                <w:rFonts w:ascii="Arial" w:hAnsi="Arial"/>
                                <w:b w:val="false"/>
                              </w:rPr>
                              <w:t>PH: 505.982.2568 ~ FAX: 505.982.1809</w:t>
                            </w:r>
                          </w:p>
                          <w:p>
                            <w:pPr>
                              <w:pStyle w:val="Normal"/>
                              <w:bidi w:val="0"/>
                              <w:ind w:hanging="0" w:start="0" w:end="0"/>
                              <w:jc w:val="end"/>
                              <w:rPr>
                                <w:rFonts w:ascii="Arial" w:hAnsi="Arial"/>
                                <w:b w:val="false"/>
                              </w:rPr>
                            </w:pPr>
                            <w:hyperlink r:id="rId2">
                              <w:r>
                                <w:rPr>
                                  <w:rStyle w:val="Style9"/>
                                  <w:rFonts w:ascii="Arial" w:hAnsi="Arial"/>
                                  <w:b w:val="false"/>
                                  <w:color w:val="0000FF"/>
                                  <w:u w:val="single"/>
                                  <w:lang w:val="en-US" w:eastAsia="en-US"/>
                                </w:rPr>
                                <w:t>seligman@nmoga.org</w:t>
                              </w:r>
                            </w:hyperlink>
                            <w:r>
                              <w:rPr>
                                <w:rFonts w:ascii="Arial" w:hAnsi="Arial"/>
                                <w:b w:val="false"/>
                              </w:rPr>
                              <w:t xml:space="preserve"> ~ www.nmoga.org</w:t>
                            </w:r>
                          </w:p>
                        </w:txbxContent>
                      </wps:txbx>
                      <wps:bodyPr anchor="t" lIns="76200" tIns="45720" rIns="76200" bIns="45720">
                        <a:noAutofit/>
                      </wps:bodyPr>
                    </wps:wsp>
                  </a:graphicData>
                </a:graphic>
              </wp:anchor>
            </w:drawing>
          </mc:Choice>
          <mc:Fallback>
            <w:pict>
              <v:rect fillcolor="#FFFFFF" stroked="f" strokeweight="0pt" style="position:absolute;rotation:-0;width:233.45pt;height:94.85pt;mso-wrap-distance-left:12pt;mso-wrap-distance-right:12pt;mso-wrap-distance-top:12pt;mso-wrap-distance-bottom:12pt;margin-top:49.7pt;mso-position-vertical-relative:text;margin-left:295.05pt;mso-position-horizontal-relative:text">
                <v:fill opacity="0f"/>
                <v:textbox inset="0.0833333333333333in,0.05in,0.0833333333333333in">
                  <w:txbxContent>
                    <w:p>
                      <w:pPr>
                        <w:pStyle w:val="Normal"/>
                        <w:bidi w:val="0"/>
                        <w:ind w:hanging="0" w:start="0" w:end="0"/>
                        <w:jc w:val="end"/>
                        <w:rPr>
                          <w:rFonts w:ascii="Arial" w:hAnsi="Arial"/>
                        </w:rPr>
                      </w:pPr>
                      <w:r>
                        <w:rPr>
                          <w:rFonts w:ascii="Arial" w:hAnsi="Arial"/>
                        </w:rPr>
                        <w:t>Deborah Seligman</w:t>
                      </w:r>
                    </w:p>
                    <w:p>
                      <w:pPr>
                        <w:pStyle w:val="Normal"/>
                        <w:bidi w:val="0"/>
                        <w:ind w:hanging="0" w:start="0" w:end="0"/>
                        <w:jc w:val="end"/>
                        <w:rPr>
                          <w:rFonts w:ascii="Arial" w:hAnsi="Arial"/>
                          <w:b w:val="false"/>
                        </w:rPr>
                      </w:pPr>
                      <w:r>
                        <w:rPr>
                          <w:rFonts w:ascii="Arial" w:hAnsi="Arial"/>
                        </w:rPr>
                        <w:t>New Mexico Oil &amp; Gas Association</w:t>
                      </w:r>
                    </w:p>
                    <w:p>
                      <w:pPr>
                        <w:pStyle w:val="Normal"/>
                        <w:bidi w:val="0"/>
                        <w:ind w:hanging="0" w:start="0" w:end="0"/>
                        <w:jc w:val="end"/>
                        <w:rPr>
                          <w:rFonts w:ascii="Arial" w:hAnsi="Arial"/>
                          <w:b w:val="false"/>
                        </w:rPr>
                      </w:pPr>
                      <w:r>
                        <w:rPr>
                          <w:rFonts w:ascii="Arial" w:hAnsi="Arial"/>
                          <w:b w:val="false"/>
                        </w:rPr>
                        <w:t>POB 1864, Santa Fe, NM 87504-1864</w:t>
                      </w:r>
                    </w:p>
                    <w:p>
                      <w:pPr>
                        <w:pStyle w:val="Normal"/>
                        <w:bidi w:val="0"/>
                        <w:ind w:hanging="0" w:start="0" w:end="0"/>
                        <w:jc w:val="end"/>
                        <w:rPr>
                          <w:rFonts w:ascii="Arial" w:hAnsi="Arial"/>
                          <w:b w:val="false"/>
                        </w:rPr>
                      </w:pPr>
                      <w:r>
                        <w:rPr>
                          <w:rFonts w:ascii="Arial" w:hAnsi="Arial"/>
                          <w:b w:val="false"/>
                        </w:rPr>
                        <w:t>PH: 505.982.2568 ~ FAX: 505.982.1809</w:t>
                      </w:r>
                    </w:p>
                    <w:p>
                      <w:pPr>
                        <w:pStyle w:val="Normal"/>
                        <w:bidi w:val="0"/>
                        <w:ind w:hanging="0" w:start="0" w:end="0"/>
                        <w:jc w:val="end"/>
                        <w:rPr>
                          <w:rFonts w:ascii="Arial" w:hAnsi="Arial"/>
                          <w:b w:val="false"/>
                        </w:rPr>
                      </w:pPr>
                      <w:hyperlink r:id="rId3">
                        <w:r>
                          <w:rPr>
                            <w:rStyle w:val="Style9"/>
                            <w:rFonts w:ascii="Arial" w:hAnsi="Arial"/>
                            <w:b w:val="false"/>
                            <w:color w:val="0000FF"/>
                            <w:u w:val="single"/>
                            <w:lang w:val="en-US" w:eastAsia="en-US"/>
                          </w:rPr>
                          <w:t>seligman@nmoga.org</w:t>
                        </w:r>
                      </w:hyperlink>
                      <w:r>
                        <w:rPr>
                          <w:rFonts w:ascii="Arial" w:hAnsi="Arial"/>
                          <w:b w:val="false"/>
                        </w:rPr>
                        <w:t xml:space="preserve"> ~ www.nmoga.org</w:t>
                      </w:r>
                    </w:p>
                  </w:txbxContent>
                </v:textbox>
                <w10:wrap type="square"/>
              </v:rect>
            </w:pict>
          </mc:Fallback>
        </mc:AlternateContent>
      </w:r>
    </w:p>
    <w:p>
      <w:pPr>
        <w:pStyle w:val="Normal"/>
        <w:bidi w:val="0"/>
        <w:ind w:hanging="0" w:start="0" w:end="0"/>
        <w:jc w:val="both"/>
        <w:rPr>
          <w:rFonts w:ascii="Arial" w:hAnsi="Arial"/>
          <w:b w:val="false"/>
        </w:rPr>
      </w:pPr>
      <w:r>
        <w:rPr>
          <w:rFonts w:ascii="Arial" w:hAnsi="Arial"/>
          <w:b w:val="false"/>
        </w:rPr>
      </w:r>
    </w:p>
    <w:p>
      <w:pPr>
        <w:pStyle w:val="Normal"/>
        <w:bidi w:val="0"/>
        <w:ind w:hanging="0" w:start="0" w:end="0"/>
        <w:jc w:val="both"/>
        <w:rPr>
          <w:rFonts w:ascii="Arial" w:hAnsi="Arial"/>
          <w:b w:val="false"/>
        </w:rPr>
      </w:pPr>
      <w:r>
        <w:rPr>
          <w:rFonts w:ascii="Arial" w:hAnsi="Arial"/>
          <w:b w:val="false"/>
        </w:rPr>
        <w:t>You may also view or download the P2BMP Manual or Pocket Guide on our website at:</w:t>
      </w:r>
    </w:p>
    <w:p>
      <w:pPr>
        <w:pStyle w:val="Normal"/>
        <w:bidi w:val="0"/>
        <w:ind w:hanging="0" w:start="0" w:end="0"/>
        <w:jc w:val="start"/>
        <w:rPr>
          <w:rFonts w:ascii="Arial" w:hAnsi="Arial"/>
          <w:b w:val="false"/>
        </w:rPr>
      </w:pPr>
      <w:hyperlink r:id="rId4">
        <w:r>
          <w:rPr>
            <w:rStyle w:val="Style9"/>
            <w:rFonts w:ascii="Arial" w:hAnsi="Arial"/>
            <w:b w:val="false"/>
            <w:color w:val="0000FF"/>
            <w:u w:val="single"/>
            <w:lang w:val="en-US" w:eastAsia="en-US"/>
          </w:rPr>
          <w:t>http://www.nmoga.org/nmoga/environment/BMP-OCD.html</w:t>
        </w:r>
      </w:hyperlink>
      <w:r>
        <w:rPr>
          <w:rFonts w:ascii="Arial" w:hAnsi="Arial"/>
          <w:b w:val="false"/>
        </w:rPr>
        <w:t xml:space="preserve">  or from the NMOCD on their website at: </w:t>
      </w:r>
      <w:hyperlink r:id="rId5">
        <w:r>
          <w:rPr>
            <w:rStyle w:val="Hyperlink"/>
            <w:rFonts w:ascii="Arial" w:hAnsi="Arial"/>
            <w:b w:val="false"/>
            <w:lang w:val="en-US" w:eastAsia="en-US"/>
          </w:rPr>
          <w:t>http://www.emnrd.state.nm.us/ocd/publicat.htm</w:t>
        </w:r>
      </w:hyperlink>
      <w:r>
        <w:rPr>
          <w:rFonts w:ascii="Arial" w:hAnsi="Arial"/>
          <w:b w:val="false"/>
        </w:rPr>
        <w:t>.</w:t>
      </w:r>
    </w:p>
    <w:p>
      <w:pPr>
        <w:pStyle w:val="Normal"/>
        <w:bidi w:val="0"/>
        <w:ind w:hanging="0" w:start="0" w:end="0"/>
        <w:jc w:val="both"/>
        <w:rPr>
          <w:rFonts w:ascii="Arial" w:hAnsi="Arial"/>
          <w:b w:val="false"/>
          <w:i/>
          <w:i/>
        </w:rPr>
      </w:pPr>
      <w:r>
        <w:rPr>
          <w:rFonts w:ascii="Arial" w:hAnsi="Arial"/>
          <w:b w:val="false"/>
          <w:i/>
        </w:rPr>
        <w:t>If you do not have access to e-mail or the Internet, NMOGA can provide you with a hard copy by mail.</w:t>
      </w:r>
      <w:r>
        <w:rPr>
          <w:rFonts w:ascii="Arial" w:hAnsi="Arial"/>
          <w:b w:val="false"/>
        </w:rPr>
        <w:t xml:space="preserve">  </w:t>
      </w:r>
      <w:r>
        <w:rPr>
          <w:rFonts w:ascii="Arial" w:hAnsi="Arial"/>
          <w:b w:val="false"/>
          <w:i/>
        </w:rPr>
        <w:t>Please call 505.982.2568 to request a copy.</w:t>
      </w:r>
    </w:p>
    <w:p>
      <w:pPr>
        <w:pStyle w:val="Normal"/>
        <w:bidi w:val="0"/>
        <w:ind w:hanging="0" w:start="0" w:end="0"/>
        <w:jc w:val="both"/>
        <w:rPr>
          <w:rFonts w:ascii="Arial" w:hAnsi="Arial"/>
          <w:b w:val="false"/>
        </w:rPr>
      </w:pPr>
      <w:r>
        <w:rPr>
          <w:rFonts w:ascii="Arial" w:hAnsi="Arial"/>
          <w:b w:val="false"/>
        </w:rPr>
      </w:r>
    </w:p>
    <w:p>
      <w:pPr>
        <w:pStyle w:val="Normal"/>
        <w:bidi w:val="0"/>
        <w:ind w:hanging="0" w:start="0" w:end="0"/>
        <w:jc w:val="both"/>
        <w:rPr>
          <w:sz w:val="20"/>
        </w:rPr>
      </w:pPr>
      <w:r>
        <w:rPr>
          <w:rFonts w:ascii="Arial" w:hAnsi="Arial"/>
          <w:b w:val="false"/>
        </w:rPr>
        <w:t>REMINDER: The next Environmental Affairs Committee Meeting and Air Issues Subcommittee meeting will be held on Tuesday, June 26, in Farmington.  Bruce Gantner, Chair of the Environmental Committee has arranged for 4 “shallow well tours” on Tuesday, June 26, beginning at 1:40 p.m. at Pinon Hills.  Information and agendas will be sent at a later date.</w:t>
      </w:r>
    </w:p>
    <w:sectPr>
      <w:footerReference w:type="even" r:id="rId6"/>
      <w:footerReference w:type="default" r:id="rId7"/>
      <w:footerReference w:type="first" r:id="rId8"/>
      <w:type w:val="nextPage"/>
      <w:pgSz w:w="12240" w:h="15840"/>
      <w:pgMar w:left="1080" w:right="1080" w:gutter="0" w:header="0" w:top="360" w:footer="810" w:bottom="8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 w:name="Humanst521 Cn BT">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b w:val="false"/>
      </w:rPr>
    </w:pPr>
    <w:r>
      <w:rPr>
        <w:b w:val="false"/>
      </w:rPr>
    </w:r>
  </w:p>
  <w:p>
    <w:pPr>
      <w:pStyle w:val="Normal"/>
      <w:bidi w:val="0"/>
      <w:ind w:hanging="0" w:start="0" w:end="0"/>
      <w:jc w:val="center"/>
      <w:rPr>
        <w:rFonts w:ascii="Arial" w:hAnsi="Arial"/>
        <w:i/>
        <w:i/>
      </w:rPr>
    </w:pPr>
    <w:r>
      <w:rPr>
        <w:rFonts w:ascii="Arial" w:hAnsi="Arial"/>
        <w:i/>
      </w:rPr>
      <w:t>“</w:t>
    </w:r>
    <w:r>
      <w:rPr>
        <w:rFonts w:ascii="Arial" w:hAnsi="Arial"/>
        <w:i/>
      </w:rPr>
      <w:t>A healthy petroleum industry helps build a healthy New Mexico.”</w:t>
    </w:r>
  </w:p>
  <w:p>
    <w:pPr>
      <w:pStyle w:val="Normal"/>
      <w:bidi w:val="0"/>
      <w:ind w:hanging="0" w:start="0" w:end="0"/>
      <w:jc w:val="center"/>
      <w:rPr>
        <w:rFonts w:ascii="Arial" w:hAnsi="Arial"/>
      </w:rPr>
    </w:pPr>
    <w:r>
      <w:rPr>
        <w:rFonts w:ascii="Arial" w:hAnsi="Arial"/>
      </w:rPr>
      <w:t>Serving our members since 1929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b w:val="false"/>
      </w:rPr>
    </w:pPr>
    <w:r>
      <w:rPr>
        <w:b w:val="false"/>
      </w:rPr>
    </w:r>
  </w:p>
  <w:p>
    <w:pPr>
      <w:pStyle w:val="Normal"/>
      <w:bidi w:val="0"/>
      <w:ind w:hanging="0" w:start="0" w:end="0"/>
      <w:jc w:val="center"/>
      <w:rPr>
        <w:rFonts w:ascii="Arial" w:hAnsi="Arial"/>
        <w:i/>
        <w:i/>
      </w:rPr>
    </w:pPr>
    <w:r>
      <w:rPr>
        <w:rFonts w:ascii="Arial" w:hAnsi="Arial"/>
        <w:i/>
      </w:rPr>
      <w:t>“</w:t>
    </w:r>
    <w:r>
      <w:rPr>
        <w:rFonts w:ascii="Arial" w:hAnsi="Arial"/>
        <w:i/>
      </w:rPr>
      <w:t>A healthy petroleum industry helps build a healthy New Mexico.”</w:t>
    </w:r>
  </w:p>
  <w:p>
    <w:pPr>
      <w:pStyle w:val="Normal"/>
      <w:bidi w:val="0"/>
      <w:ind w:hanging="0" w:start="0" w:end="0"/>
      <w:jc w:val="center"/>
      <w:rPr>
        <w:rFonts w:ascii="Arial" w:hAnsi="Arial"/>
      </w:rPr>
    </w:pPr>
    <w:r>
      <w:rPr>
        <w:rFonts w:ascii="Arial" w:hAnsi="Arial"/>
      </w:rPr>
      <w:t>Serving our members since 1929</w:t>
    </w:r>
  </w:p>
</w:ftr>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Humanst521 Cn BT"/>
      <w:b/>
      <w:color w:val="auto"/>
      <w:kern w:val="2"/>
      <w:sz w:val="24"/>
      <w:szCs w:val="24"/>
      <w:lang w:val="en-US" w:eastAsia="en-US" w:bidi="hi-IN"/>
    </w:rPr>
  </w:style>
  <w:style w:type="character" w:styleId="DefaultParagraphFont">
    <w:name w:val="Default Paragraph Font"/>
    <w:qFormat/>
    <w:rPr/>
  </w:style>
  <w:style w:type="character" w:styleId="DefaultPara">
    <w:name w:val="Default Para"/>
    <w:qFormat/>
    <w:rPr/>
  </w:style>
  <w:style w:type="character" w:styleId="LineNumber">
    <w:name w:val="line number"/>
    <w:basedOn w:val="DefaultParagraphFont"/>
    <w:rPr>
      <w:sz w:val="20"/>
    </w:rPr>
  </w:style>
  <w:style w:type="character" w:styleId="Definition">
    <w:name w:val="Definition"/>
    <w:qFormat/>
    <w:rPr>
      <w:b/>
      <w:i/>
    </w:rPr>
  </w:style>
  <w:style w:type="character" w:styleId="CITE">
    <w:name w:val="CITE"/>
    <w:qFormat/>
    <w:rPr>
      <w:b/>
      <w:i/>
    </w:rPr>
  </w:style>
  <w:style w:type="character" w:styleId="CODE">
    <w:name w:val="CODE"/>
    <w:qFormat/>
    <w:rPr>
      <w:rFonts w:ascii="Courier New" w:hAnsi="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
    <w:name w:val="FollowedHype"/>
    <w:qFormat/>
    <w:rPr>
      <w:color w:val="800080"/>
      <w:u w:val="single"/>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Strong">
    <w:name w:val="Strong"/>
    <w:basedOn w:val="DefaultParagraphFont"/>
    <w:qFormat/>
    <w:rPr>
      <w:b/>
    </w:rPr>
  </w:style>
  <w:style w:type="character" w:styleId="Typewriter">
    <w:name w:val="Typewriter"/>
    <w:qFormat/>
    <w:rPr>
      <w:rFonts w:ascii="Courier New" w:hAnsi="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style>
  <w:style w:type="character" w:styleId="SYSHYPERTEXT">
    <w:name w:val="SYS_HYPERTEXT"/>
    <w:qFormat/>
    <w:rPr>
      <w:color w:val="0000FF"/>
      <w:u w:val="single"/>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_leve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textAlignment w:val="auto"/>
    </w:pPr>
    <w:rPr>
      <w:rFonts w:ascii="Times New Roman" w:hAnsi="Times New Roman" w:eastAsia="Courier New" w:cs="Humanst521 Cn BT"/>
      <w:color w:val="auto"/>
      <w:kern w:val="2"/>
      <w:sz w:val="24"/>
      <w:szCs w:val="24"/>
      <w:lang w:val="en-US" w:eastAsia="en-US" w:bidi="hi-IN"/>
    </w:rPr>
  </w:style>
  <w:style w:type="paragraph" w:styleId="Title">
    <w:name w:val="Title"/>
    <w:basedOn w:val="Normal"/>
    <w:qFormat/>
    <w:pPr>
      <w:widowControl w:val="false"/>
      <w:spacing w:lineRule="exact" w:line="1041"/>
      <w:ind w:hanging="0" w:start="0" w:end="0"/>
      <w:jc w:val="both"/>
      <w:textAlignment w:val="auto"/>
    </w:pPr>
    <w:rPr>
      <w:sz w:val="96"/>
      <w:lang w:val="en-US" w:eastAsia="en-US"/>
    </w:rPr>
  </w:style>
  <w:style w:type="paragraph" w:styleId="level2">
    <w:name w:val="_leve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textAlignment w:val="auto"/>
    </w:pPr>
    <w:rPr>
      <w:rFonts w:ascii="Times New Roman" w:hAnsi="Times New Roman" w:eastAsia="Courier New" w:cs="Humanst521 Cn BT"/>
      <w:color w:val="auto"/>
      <w:kern w:val="2"/>
      <w:sz w:val="24"/>
      <w:szCs w:val="24"/>
      <w:lang w:val="en-US" w:eastAsia="en-US" w:bidi="hi-IN"/>
    </w:rPr>
  </w:style>
  <w:style w:type="paragraph" w:styleId="Masthead">
    <w:name w:val="Masthead"/>
    <w:qFormat/>
    <w:pPr>
      <w:widowControl w:val="false"/>
      <w:bidi w:val="0"/>
      <w:jc w:val="start"/>
      <w:textAlignment w:val="auto"/>
    </w:pPr>
    <w:rPr>
      <w:rFonts w:ascii="Humanst521 Cn BT" w:hAnsi="Humanst521 Cn BT" w:eastAsia="Courier New" w:cs="Humanst521 Cn BT"/>
      <w:b/>
      <w:color w:val="auto"/>
      <w:kern w:val="2"/>
      <w:sz w:val="32"/>
      <w:szCs w:val="24"/>
      <w:lang w:val="en-US" w:eastAsia="en-US" w:bidi="hi-IN"/>
    </w:rPr>
  </w:style>
  <w:style w:type="paragraph" w:styleId="TinyRows">
    <w:name w:val="TinyRows"/>
    <w:qFormat/>
    <w:pPr>
      <w:widowControl w:val="false"/>
      <w:bidi w:val="0"/>
      <w:jc w:val="start"/>
      <w:textAlignment w:val="auto"/>
    </w:pPr>
    <w:rPr>
      <w:rFonts w:ascii="Times New Roman" w:hAnsi="Times New Roman" w:eastAsia="Courier New" w:cs="Humanst521 Cn BT"/>
      <w:b/>
      <w:color w:val="auto"/>
      <w:kern w:val="2"/>
      <w:sz w:val="10"/>
      <w:szCs w:val="24"/>
      <w:lang w:val="en-US" w:eastAsia="en-US" w:bidi="hi-IN"/>
    </w:rPr>
  </w:style>
  <w:style w:type="paragraph" w:styleId="level3">
    <w:name w:val="_leve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el4">
    <w:name w:val="_leve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el5">
    <w:name w:val="_leve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el6">
    <w:name w:val="_leve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el7">
    <w:name w:val="_leve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el8">
    <w:name w:val="_leve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el9">
    <w:name w:val="_level9"/>
    <w:qFormat/>
    <w:pPr>
      <w:widowControl w:val="false"/>
      <w:tabs>
        <w:tab w:val="clear" w:pos="720"/>
        <w:tab w:val="left" w:pos="6480" w:leader="none"/>
        <w:tab w:val="left" w:pos="7200" w:leader="none"/>
        <w:tab w:val="left" w:pos="7920" w:leader="none"/>
        <w:tab w:val="left" w:pos="8640" w:leader="none"/>
      </w:tabs>
      <w:bidi w:val="0"/>
      <w:ind w:hanging="720" w:start="648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sl1">
    <w:name w:val="_levs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sl2">
    <w:name w:val="_levs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sl3">
    <w:name w:val="_levs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sl4">
    <w:name w:val="_levs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sl5">
    <w:name w:val="_levs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sl6">
    <w:name w:val="_levs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sl7">
    <w:name w:val="_levs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sl8">
    <w:name w:val="_levs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sl9">
    <w:name w:val="_levsl9"/>
    <w:qFormat/>
    <w:pPr>
      <w:widowControl w:val="false"/>
      <w:tabs>
        <w:tab w:val="clear" w:pos="720"/>
        <w:tab w:val="left" w:pos="6480" w:leader="none"/>
        <w:tab w:val="left" w:pos="7200" w:leader="none"/>
        <w:tab w:val="left" w:pos="7920" w:leader="none"/>
        <w:tab w:val="left" w:pos="8640" w:leader="none"/>
      </w:tabs>
      <w:bidi w:val="0"/>
      <w:ind w:hanging="720" w:start="648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nl1">
    <w:name w:val="_levn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nl2">
    <w:name w:val="_levn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nl3">
    <w:name w:val="_levn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nl4">
    <w:name w:val="_levn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nl5">
    <w:name w:val="_levn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nl6">
    <w:name w:val="_levn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nl7">
    <w:name w:val="_levn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nl8">
    <w:name w:val="_levn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textAlignment w:val="auto"/>
    </w:pPr>
    <w:rPr>
      <w:rFonts w:ascii="Times New Roman" w:hAnsi="Times New Roman" w:eastAsia="Courier New" w:cs="Humanst521 Cn BT"/>
      <w:b/>
      <w:color w:val="auto"/>
      <w:kern w:val="2"/>
      <w:sz w:val="24"/>
      <w:szCs w:val="24"/>
      <w:lang w:val="en-US" w:eastAsia="en-US" w:bidi="hi-IN"/>
    </w:rPr>
  </w:style>
  <w:style w:type="paragraph" w:styleId="levnl9">
    <w:name w:val="_levnl9"/>
    <w:qFormat/>
    <w:pPr>
      <w:widowControl w:val="false"/>
      <w:tabs>
        <w:tab w:val="clear" w:pos="720"/>
        <w:tab w:val="left" w:pos="6480" w:leader="none"/>
        <w:tab w:val="left" w:pos="7200" w:leader="none"/>
        <w:tab w:val="left" w:pos="7920" w:leader="none"/>
        <w:tab w:val="left" w:pos="8640" w:leader="none"/>
      </w:tabs>
      <w:bidi w:val="0"/>
      <w:ind w:hanging="720" w:start="6480"/>
      <w:jc w:val="both"/>
      <w:textAlignment w:val="auto"/>
    </w:pPr>
    <w:rPr>
      <w:rFonts w:ascii="Times New Roman" w:hAnsi="Times New Roman" w:eastAsia="Courier New" w:cs="Humanst521 Cn BT"/>
      <w:b/>
      <w:color w:val="auto"/>
      <w:kern w:val="2"/>
      <w:sz w:val="24"/>
      <w:szCs w:val="24"/>
      <w:lang w:val="en-US" w:eastAsia="en-US" w:bidi="hi-IN"/>
    </w:rPr>
  </w:style>
  <w:style w:type="paragraph" w:styleId="DefinitionT">
    <w:name w:val="Definition T"/>
    <w:qFormat/>
    <w:pPr>
      <w:widowControl w:val="false"/>
      <w:bidi w:val="0"/>
      <w:jc w:val="start"/>
      <w:textAlignment w:val="auto"/>
    </w:pPr>
    <w:rPr>
      <w:rFonts w:ascii="Times New Roman" w:hAnsi="Times New Roman" w:eastAsia="Courier New" w:cs="Humanst521 Cn BT"/>
      <w:b/>
      <w:color w:val="auto"/>
      <w:kern w:val="2"/>
      <w:sz w:val="24"/>
      <w:szCs w:val="24"/>
      <w:lang w:val="en-US" w:eastAsia="en-US" w:bidi="hi-IN"/>
    </w:rPr>
  </w:style>
  <w:style w:type="paragraph" w:styleId="DefinitionL">
    <w:name w:val="Definition L"/>
    <w:qFormat/>
    <w:pPr>
      <w:widowControl w:val="false"/>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360"/>
      <w:jc w:val="both"/>
      <w:textAlignment w:val="auto"/>
    </w:pPr>
    <w:rPr>
      <w:rFonts w:ascii="Times New Roman" w:hAnsi="Times New Roman" w:eastAsia="Courier New" w:cs="Humanst521 Cn BT"/>
      <w:b/>
      <w:color w:val="auto"/>
      <w:kern w:val="2"/>
      <w:sz w:val="24"/>
      <w:szCs w:val="24"/>
      <w:lang w:val="en-US" w:eastAsia="en-US" w:bidi="hi-IN"/>
    </w:rPr>
  </w:style>
  <w:style w:type="paragraph" w:styleId="H1">
    <w:name w:val="H1"/>
    <w:qFormat/>
    <w:pPr>
      <w:widowControl w:val="false"/>
      <w:bidi w:val="0"/>
      <w:jc w:val="start"/>
      <w:textAlignment w:val="auto"/>
    </w:pPr>
    <w:rPr>
      <w:rFonts w:ascii="Times New Roman" w:hAnsi="Times New Roman" w:eastAsia="Courier New" w:cs="Humanst521 Cn BT"/>
      <w:b/>
      <w:color w:val="auto"/>
      <w:kern w:val="2"/>
      <w:sz w:val="48"/>
      <w:szCs w:val="24"/>
      <w:lang w:val="en-US" w:eastAsia="en-US" w:bidi="hi-IN"/>
    </w:rPr>
  </w:style>
  <w:style w:type="paragraph" w:styleId="H2">
    <w:name w:val="H2"/>
    <w:qFormat/>
    <w:pPr>
      <w:widowControl w:val="false"/>
      <w:bidi w:val="0"/>
      <w:jc w:val="start"/>
      <w:textAlignment w:val="auto"/>
    </w:pPr>
    <w:rPr>
      <w:rFonts w:ascii="Times New Roman" w:hAnsi="Times New Roman" w:eastAsia="Courier New" w:cs="Humanst521 Cn BT"/>
      <w:b/>
      <w:color w:val="auto"/>
      <w:kern w:val="2"/>
      <w:sz w:val="36"/>
      <w:szCs w:val="24"/>
      <w:lang w:val="en-US" w:eastAsia="en-US" w:bidi="hi-IN"/>
    </w:rPr>
  </w:style>
  <w:style w:type="paragraph" w:styleId="H3">
    <w:name w:val="H3"/>
    <w:qFormat/>
    <w:pPr>
      <w:widowControl w:val="false"/>
      <w:bidi w:val="0"/>
      <w:jc w:val="start"/>
      <w:textAlignment w:val="auto"/>
    </w:pPr>
    <w:rPr>
      <w:rFonts w:ascii="Times New Roman" w:hAnsi="Times New Roman" w:eastAsia="Courier New" w:cs="Humanst521 Cn BT"/>
      <w:b/>
      <w:color w:val="auto"/>
      <w:kern w:val="2"/>
      <w:sz w:val="28"/>
      <w:szCs w:val="24"/>
      <w:lang w:val="en-US" w:eastAsia="en-US" w:bidi="hi-IN"/>
    </w:rPr>
  </w:style>
  <w:style w:type="paragraph" w:styleId="H4">
    <w:name w:val="H4"/>
    <w:qFormat/>
    <w:pPr>
      <w:widowControl w:val="false"/>
      <w:bidi w:val="0"/>
      <w:jc w:val="start"/>
      <w:textAlignment w:val="auto"/>
    </w:pPr>
    <w:rPr>
      <w:rFonts w:ascii="Times New Roman" w:hAnsi="Times New Roman" w:eastAsia="Courier New" w:cs="Humanst521 Cn BT"/>
      <w:b/>
      <w:color w:val="auto"/>
      <w:kern w:val="2"/>
      <w:sz w:val="24"/>
      <w:szCs w:val="24"/>
      <w:lang w:val="en-US" w:eastAsia="en-US" w:bidi="hi-IN"/>
    </w:rPr>
  </w:style>
  <w:style w:type="paragraph" w:styleId="H5">
    <w:name w:val="H5"/>
    <w:qFormat/>
    <w:pPr>
      <w:widowControl w:val="false"/>
      <w:bidi w:val="0"/>
      <w:jc w:val="start"/>
      <w:textAlignment w:val="auto"/>
    </w:pPr>
    <w:rPr>
      <w:rFonts w:ascii="Times New Roman" w:hAnsi="Times New Roman" w:eastAsia="Courier New" w:cs="Humanst521 Cn BT"/>
      <w:b/>
      <w:color w:val="auto"/>
      <w:kern w:val="2"/>
      <w:sz w:val="20"/>
      <w:szCs w:val="24"/>
      <w:lang w:val="en-US" w:eastAsia="en-US" w:bidi="hi-IN"/>
    </w:rPr>
  </w:style>
  <w:style w:type="paragraph" w:styleId="H6">
    <w:name w:val="H6"/>
    <w:qFormat/>
    <w:pPr>
      <w:widowControl w:val="false"/>
      <w:bidi w:val="0"/>
      <w:jc w:val="start"/>
      <w:textAlignment w:val="auto"/>
    </w:pPr>
    <w:rPr>
      <w:rFonts w:ascii="Times New Roman" w:hAnsi="Times New Roman" w:eastAsia="Courier New" w:cs="Humanst521 Cn BT"/>
      <w:b/>
      <w:color w:val="auto"/>
      <w:kern w:val="2"/>
      <w:sz w:val="16"/>
      <w:szCs w:val="24"/>
      <w:lang w:val="en-US" w:eastAsia="en-US" w:bidi="hi-IN"/>
    </w:rPr>
  </w:style>
  <w:style w:type="paragraph" w:styleId="Address">
    <w:name w:val="Address"/>
    <w:qFormat/>
    <w:pPr>
      <w:widowControl w:val="false"/>
      <w:bidi w:val="0"/>
      <w:jc w:val="start"/>
      <w:textAlignment w:val="auto"/>
    </w:pPr>
    <w:rPr>
      <w:rFonts w:ascii="Times New Roman" w:hAnsi="Times New Roman" w:eastAsia="Courier New" w:cs="Humanst521 Cn BT"/>
      <w:b/>
      <w:i/>
      <w:color w:val="auto"/>
      <w:kern w:val="2"/>
      <w:sz w:val="24"/>
      <w:szCs w:val="24"/>
      <w:lang w:val="en-US" w:eastAsia="en-US" w:bidi="hi-IN"/>
    </w:rPr>
  </w:style>
  <w:style w:type="paragraph" w:styleId="Blockquote">
    <w:name w:val="Blockquote"/>
    <w:qFormat/>
    <w:pPr>
      <w:widowControl w:val="false"/>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360" w:end="360"/>
      <w:jc w:val="both"/>
      <w:textAlignment w:val="auto"/>
    </w:pPr>
    <w:rPr>
      <w:rFonts w:ascii="Times New Roman" w:hAnsi="Times New Roman" w:eastAsia="Courier New" w:cs="Humanst521 Cn BT"/>
      <w:b/>
      <w:color w:val="auto"/>
      <w:kern w:val="2"/>
      <w:sz w:val="24"/>
      <w:szCs w:val="24"/>
      <w:lang w:val="en-US" w:eastAsia="en-US" w:bidi="hi-IN"/>
    </w:rPr>
  </w:style>
  <w:style w:type="paragraph" w:styleId="Preformatted">
    <w:name w:val="Preformatted"/>
    <w:qFormat/>
    <w:pPr>
      <w:widowControl w:val="false"/>
      <w:tabs>
        <w:tab w:val="clear" w:pos="720"/>
        <w:tab w:val="left" w:pos="0" w:leader="none"/>
        <w:tab w:val="left" w:pos="958" w:leader="none"/>
        <w:tab w:val="left" w:pos="1917" w:leader="none"/>
        <w:tab w:val="left" w:pos="2876" w:leader="none"/>
        <w:tab w:val="left" w:pos="3835" w:leader="none"/>
        <w:tab w:val="left" w:pos="4794" w:leader="none"/>
        <w:tab w:val="left" w:pos="5754" w:leader="none"/>
        <w:tab w:val="left" w:pos="6712" w:leader="none"/>
        <w:tab w:val="left" w:pos="7671" w:leader="none"/>
        <w:tab w:val="left" w:pos="8630" w:leader="none"/>
        <w:tab w:val="left" w:pos="9356" w:leader="none"/>
      </w:tabs>
      <w:bidi w:val="0"/>
      <w:jc w:val="both"/>
      <w:textAlignment w:val="auto"/>
    </w:pPr>
    <w:rPr>
      <w:rFonts w:ascii="Courier New" w:hAnsi="Courier New" w:eastAsia="Courier New" w:cs="Humanst521 Cn BT"/>
      <w:color w:val="auto"/>
      <w:kern w:val="2"/>
      <w:sz w:val="20"/>
      <w:szCs w:val="24"/>
      <w:lang w:val="en-US" w:eastAsia="en-US" w:bidi="hi-IN"/>
    </w:rPr>
  </w:style>
  <w:style w:type="paragraph" w:styleId="zBottomof">
    <w:name w:val="zBottom of"/>
    <w:qFormat/>
    <w:pPr>
      <w:widowControl w:val="false"/>
      <w:pBdr>
        <w:top w:val="single" w:sz="4" w:space="0" w:color="000000"/>
      </w:pBdr>
      <w:bidi w:val="0"/>
      <w:jc w:val="center"/>
      <w:textAlignment w:val="auto"/>
    </w:pPr>
    <w:rPr>
      <w:rFonts w:ascii="Arial" w:hAnsi="Arial" w:eastAsia="Courier New" w:cs="Humanst521 Cn BT"/>
      <w:color w:val="auto"/>
      <w:kern w:val="2"/>
      <w:sz w:val="16"/>
      <w:szCs w:val="24"/>
      <w:lang w:val="en-US" w:eastAsia="en-US" w:bidi="hi-IN"/>
    </w:rPr>
  </w:style>
  <w:style w:type="paragraph" w:styleId="zTopofFor">
    <w:name w:val="zTop of For"/>
    <w:qFormat/>
    <w:pPr>
      <w:widowControl w:val="false"/>
      <w:pBdr>
        <w:bottom w:val="single" w:sz="4" w:space="0" w:color="000000"/>
      </w:pBdr>
      <w:bidi w:val="0"/>
      <w:jc w:val="center"/>
      <w:textAlignment w:val="auto"/>
    </w:pPr>
    <w:rPr>
      <w:rFonts w:ascii="Arial" w:hAnsi="Arial" w:eastAsia="Courier New" w:cs="Humanst521 Cn BT"/>
      <w:color w:val="auto"/>
      <w:kern w:val="2"/>
      <w:sz w:val="16"/>
      <w:szCs w:val="24"/>
      <w:lang w:val="en-US" w:eastAsia="en-US" w:bidi="hi-IN"/>
    </w:rPr>
  </w:style>
  <w:style w:type="paragraph" w:styleId="123">
    <w:name w:val="1,2,3"/>
    <w:qFormat/>
    <w:pPr>
      <w:widowControl w:val="false"/>
      <w:bidi w:val="0"/>
      <w:ind w:start="-1440"/>
      <w:jc w:val="both"/>
      <w:textAlignment w:val="auto"/>
    </w:pPr>
    <w:rPr>
      <w:rFonts w:ascii="Times New Roman" w:hAnsi="Times New Roman" w:eastAsia="Courier New" w:cs="Humanst521 Cn BT"/>
      <w:color w:val="auto"/>
      <w:kern w:val="2"/>
      <w:sz w:val="24"/>
      <w:szCs w:val="24"/>
      <w:lang w:val="en-US" w:eastAsia="en-US" w:bidi="hi-IN"/>
    </w:rPr>
  </w:style>
  <w:style w:type="paragraph" w:styleId="FrameContents">
    <w:name w:val="Frame Contents"/>
    <w:basedOn w:val="Normal"/>
    <w:qFormat/>
    <w:pPr/>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ligman@nmoga.org" TargetMode="External"/><Relationship Id="rId3" Type="http://schemas.openxmlformats.org/officeDocument/2006/relationships/hyperlink" Target="mailto:seligman@nmoga.org" TargetMode="External"/><Relationship Id="rId4" Type="http://schemas.openxmlformats.org/officeDocument/2006/relationships/hyperlink" Target="http://www.nmoga.org/nmoga/environment/BMP-OCD.html" TargetMode="External"/><Relationship Id="rId5" Type="http://schemas.openxmlformats.org/officeDocument/2006/relationships/hyperlink" Target="http://www.emnrd.state.nm.us/ocd/publicat.htm"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352</Words>
  <Characters>2464</Characters>
  <CharactersWithSpaces>2007</CharactersWithSpaces>
  <Company>NMOGA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2001-04-26T16:39:00Z</dcterms:created>
  <dc:creator>Debra Seligman</dc:creator>
  <dc:description/>
  <dc:language>en-US</dc:language>
  <cp:lastModifiedBy/>
  <dcterms:modified xsi:type="dcterms:W3CDTF">2001-04-26T16:46:00Z</dcterms:modified>
  <cp:revision>5</cp:revision>
  <dc:subject/>
  <dc:title>Fax Cover Sheet - Trimline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Debra Seligman</vt:lpwstr>
  </property>
</Properties>
</file>