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01/15/2001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ENA Upstream Assets Company,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1375 - EUAC</w:t>
              <w:br/>
              <w:t>Delaware</w:t>
              <w:br/>
              <w:t>ENA</w:t>
              <w:br/>
              <w:t>CNEN</w:t>
              <w:br/>
              <w:t>1/15/2001</w:t>
              <w:br/>
              <w:t>12/20/2000</w:t>
              <w:br/>
              <w:t>DKorkmas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purchase and hold assets for ENA's purchases at the wellhead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of the Board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Brian L. Redmond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Barbara N. Gray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Counsel, Assets and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Jean M. Mrha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Mary A. Perkins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Stephen H. Douglas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3333523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Texas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12/28/2000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TX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 xml:space="preserve">Sole Member:  Enron North America Corp. - 100% </w:t>
      </w:r>
    </w:p>
    <w:p>
      <w:pPr>
        <w:pStyle w:val="Normal"/>
        <w:bidi w:val="0"/>
        <w:ind w:hanging="0" w:start="936" w:end="576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262</Words>
  <Characters>1837</Characters>
  <CharactersWithSpaces>1496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2001-01-15T13:03:00Z</dcterms:created>
  <dc:creator>Steven D. Gullion</dc:creator>
  <dc:description/>
  <dc:language>en-US</dc:language>
  <cp:lastModifiedBy/>
  <cp:lastPrinted>2001-01-15T13:03:00Z</cp:lastPrinted>
  <dcterms:modified xsi:type="dcterms:W3CDTF">2001-01-15T13:03:00Z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