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tab/>
        <w:t>Exhibit No. __</w:t>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Witness:  Richard H. Counihan</w:t>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Company:  GreenMountain.com</w:t>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I. 99-07-003</w:t>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Administrative Law Judge Andrea L. Biren</w:t>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center"/>
        <w:rPr>
          <w:rFonts w:ascii="Courier New" w:hAnsi="Courier New"/>
          <w:sz w:val="24"/>
        </w:rPr>
      </w:pPr>
      <w:r>
        <w:rPr>
          <w:rFonts w:ascii="Courier New" w:hAnsi="Courier New"/>
          <w:sz w:val="24"/>
        </w:rPr>
        <w:t>BEFORE THE</w:t>
      </w:r>
    </w:p>
    <w:p>
      <w:pPr>
        <w:pStyle w:val="Normal"/>
        <w:bidi w:val="0"/>
        <w:spacing w:lineRule="exact" w:line="240"/>
        <w:jc w:val="center"/>
        <w:rPr>
          <w:rFonts w:ascii="Courier New" w:hAnsi="Courier New"/>
          <w:sz w:val="24"/>
        </w:rPr>
      </w:pPr>
      <w:r>
        <w:rPr>
          <w:rFonts w:ascii="Courier New" w:hAnsi="Courier New"/>
          <w:sz w:val="24"/>
        </w:rPr>
        <w:t>PUBLIC UTILITIES COMMISSION</w:t>
      </w:r>
    </w:p>
    <w:p>
      <w:pPr>
        <w:pStyle w:val="Normal"/>
        <w:bidi w:val="0"/>
        <w:spacing w:lineRule="exact" w:line="240"/>
        <w:jc w:val="center"/>
        <w:rPr>
          <w:rFonts w:ascii="Courier New" w:hAnsi="Courier New"/>
          <w:sz w:val="24"/>
        </w:rPr>
      </w:pPr>
      <w:r>
        <w:rPr>
          <w:rFonts w:ascii="Courier New" w:hAnsi="Courier New"/>
          <w:sz w:val="24"/>
        </w:rPr>
        <w:t>OF THE</w:t>
      </w:r>
    </w:p>
    <w:p>
      <w:pPr>
        <w:pStyle w:val="Normal"/>
        <w:bidi w:val="0"/>
        <w:spacing w:lineRule="exact" w:line="240"/>
        <w:jc w:val="center"/>
        <w:rPr>
          <w:rFonts w:ascii="Courier New" w:hAnsi="Courier New"/>
          <w:sz w:val="24"/>
        </w:rPr>
      </w:pPr>
      <w:r>
        <w:rPr>
          <w:rFonts w:ascii="Courier New" w:hAnsi="Courier New"/>
          <w:sz w:val="24"/>
        </w:rPr>
        <w:t>STATE OF CALIFORNIA</w:t>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ind w:end="2976"/>
        <w:jc w:val="start"/>
        <w:rPr>
          <w:rFonts w:ascii="Courier New" w:hAnsi="Courier New"/>
          <w:sz w:val="24"/>
        </w:rPr>
      </w:pPr>
      <w:r>
        <w:rPr>
          <w:rFonts w:ascii="Courier New" w:hAnsi="Courier New"/>
          <w:sz w:val="24"/>
          <w:u w:val="single"/>
        </w:rPr>
        <w:tab/>
      </w:r>
    </w:p>
    <w:p>
      <w:pPr>
        <w:pStyle w:val="Normal"/>
        <w:bidi w:val="0"/>
        <w:spacing w:lineRule="exact" w:line="240"/>
        <w:ind w:end="2976"/>
        <w:jc w:val="start"/>
        <w:rPr>
          <w:rFonts w:ascii="Courier New" w:hAnsi="Courier New"/>
          <w:sz w:val="24"/>
        </w:rPr>
      </w:pPr>
      <w:r>
        <w:rPr>
          <w:rFonts w:ascii="Courier New" w:hAnsi="Courier New"/>
          <w:sz w:val="24"/>
        </w:rPr>
      </w:r>
    </w:p>
    <w:p>
      <w:pPr>
        <w:pStyle w:val="Normal"/>
        <w:bidi w:val="0"/>
        <w:spacing w:lineRule="exact" w:line="240"/>
        <w:ind w:end="2976"/>
        <w:jc w:val="start"/>
        <w:rPr>
          <w:rFonts w:ascii="Courier New" w:hAnsi="Courier New"/>
          <w:sz w:val="24"/>
        </w:rPr>
      </w:pPr>
      <w:r>
        <w:rPr>
          <w:rFonts w:ascii="Courier New" w:hAnsi="Courier New"/>
          <w:sz w:val="24"/>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bidi w:val="0"/>
        <w:spacing w:lineRule="exact" w:line="240"/>
        <w:ind w:end="2976"/>
        <w:jc w:val="start"/>
        <w:rPr>
          <w:rFonts w:ascii="Courier New" w:hAnsi="Courier New"/>
          <w:sz w:val="24"/>
        </w:rPr>
      </w:pPr>
      <w:r>
        <w:rPr>
          <w:rFonts w:ascii="Courier New" w:hAnsi="Courier New"/>
          <w:sz w:val="24"/>
          <w:u w:val="single"/>
        </w:rPr>
        <w:tab/>
      </w:r>
    </w:p>
    <w:p>
      <w:pPr>
        <w:pStyle w:val="Normal"/>
        <w:bidi w:val="0"/>
        <w:spacing w:lineRule="exact" w:line="240"/>
        <w:ind w:hanging="0" w:start="6600" w:end="2712"/>
        <w:jc w:val="start"/>
        <w:rPr>
          <w:rFonts w:ascii="Courier New" w:hAnsi="Courier New"/>
          <w:sz w:val="24"/>
        </w:rPr>
      </w:pPr>
      <w:r>
        <w:rPr>
          <w:rFonts w:ascii="Courier New" w:hAnsi="Courier New"/>
          <w:sz w:val="24"/>
        </w:rPr>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t>I. 99-07-003</w:t>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center"/>
        <w:rPr>
          <w:rFonts w:ascii="Courier New" w:hAnsi="Courier New"/>
          <w:sz w:val="24"/>
        </w:rPr>
      </w:pPr>
      <w:r>
        <w:rPr>
          <w:rFonts w:ascii="Courier New" w:hAnsi="Courier New"/>
          <w:sz w:val="24"/>
        </w:rPr>
        <w:t>PREPARED REBUTTAL TESTIMONY</w:t>
      </w:r>
    </w:p>
    <w:p>
      <w:pPr>
        <w:pStyle w:val="Normal"/>
        <w:bidi w:val="0"/>
        <w:spacing w:lineRule="exact" w:line="240"/>
        <w:jc w:val="center"/>
        <w:rPr>
          <w:rFonts w:ascii="Courier New" w:hAnsi="Courier New"/>
          <w:sz w:val="24"/>
        </w:rPr>
      </w:pPr>
      <w:r>
        <w:rPr>
          <w:rFonts w:ascii="Courier New" w:hAnsi="Courier New"/>
          <w:sz w:val="24"/>
        </w:rPr>
        <w:t>OF</w:t>
      </w:r>
    </w:p>
    <w:p>
      <w:pPr>
        <w:pStyle w:val="Normal"/>
        <w:bidi w:val="0"/>
        <w:spacing w:lineRule="exact" w:line="240"/>
        <w:jc w:val="center"/>
        <w:rPr>
          <w:rFonts w:ascii="Courier New" w:hAnsi="Courier New"/>
          <w:sz w:val="24"/>
        </w:rPr>
      </w:pPr>
      <w:r>
        <w:rPr>
          <w:rFonts w:ascii="Courier New" w:hAnsi="Courier New"/>
          <w:sz w:val="24"/>
        </w:rPr>
        <w:t>RICHARD H. COUNIHAN</w:t>
      </w:r>
    </w:p>
    <w:p>
      <w:pPr>
        <w:pStyle w:val="Normal"/>
        <w:bidi w:val="0"/>
        <w:spacing w:lineRule="exact" w:line="240"/>
        <w:jc w:val="center"/>
        <w:rPr>
          <w:rFonts w:ascii="Courier New" w:hAnsi="Courier New"/>
          <w:sz w:val="24"/>
        </w:rPr>
      </w:pPr>
      <w:r>
        <w:rPr>
          <w:rFonts w:ascii="Courier New" w:hAnsi="Courier New"/>
          <w:sz w:val="24"/>
        </w:rPr>
        <w:t>OF GREENMOUNTAIN.COM ON BEHALF</w:t>
      </w:r>
    </w:p>
    <w:p>
      <w:pPr>
        <w:pStyle w:val="Normal"/>
        <w:bidi w:val="0"/>
        <w:spacing w:lineRule="exact" w:line="240"/>
        <w:jc w:val="center"/>
        <w:rPr>
          <w:rFonts w:ascii="Courier New" w:hAnsi="Courier New"/>
          <w:sz w:val="24"/>
        </w:rPr>
      </w:pPr>
      <w:r>
        <w:rPr>
          <w:rFonts w:ascii="Courier New" w:hAnsi="Courier New"/>
          <w:sz w:val="24"/>
        </w:rPr>
        <w:t>OF CORE AGGREGATORS</w:t>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tabs>
          <w:tab w:val="clear" w:pos="720"/>
          <w:tab w:val="left" w:pos="4104" w:leader="none"/>
        </w:tabs>
        <w:bidi w:val="0"/>
        <w:spacing w:lineRule="exact" w:line="240"/>
        <w:jc w:val="start"/>
        <w:rPr>
          <w:rFonts w:ascii="Courier New" w:hAnsi="Courier New"/>
          <w:sz w:val="24"/>
        </w:rPr>
      </w:pPr>
      <w:r>
        <w:rPr>
          <w:rFonts w:ascii="Courier New" w:hAnsi="Courier New"/>
          <w:sz w:val="24"/>
        </w:rPr>
        <w:tab/>
        <w:t>John W. Leslie</w:t>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 xml:space="preserve">LUCE, FORWARD, HAMILTON &amp; SCRIPPS </w:t>
      </w:r>
      <w:r>
        <w:rPr>
          <w:rFonts w:ascii="Courier New" w:hAnsi="Courier New"/>
          <w:smallCaps/>
          <w:sz w:val="24"/>
        </w:rPr>
        <w:t>llp</w:t>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600 West Broadway, Suite 2600</w:t>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San Diego, California  92101</w:t>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Tel:  (619) 699-2536</w:t>
      </w:r>
    </w:p>
    <w:p>
      <w:pPr>
        <w:pStyle w:val="Normal"/>
        <w:tabs>
          <w:tab w:val="clear" w:pos="720"/>
          <w:tab w:val="left" w:pos="4104" w:leader="none"/>
        </w:tabs>
        <w:bidi w:val="0"/>
        <w:spacing w:lineRule="exact" w:line="240"/>
        <w:ind w:hanging="0" w:start="4104"/>
        <w:jc w:val="start"/>
        <w:rPr>
          <w:rFonts w:ascii="Courier New" w:hAnsi="Courier New"/>
          <w:sz w:val="24"/>
        </w:rPr>
      </w:pPr>
      <w:r>
        <w:rPr>
          <w:rFonts w:ascii="Courier New" w:hAnsi="Courier New"/>
          <w:sz w:val="24"/>
        </w:rPr>
        <w:t>Fax:  (619) 645-5363</w:t>
      </w:r>
    </w:p>
    <w:p>
      <w:pPr>
        <w:pStyle w:val="Normal"/>
        <w:tabs>
          <w:tab w:val="clear" w:pos="720"/>
          <w:tab w:val="left" w:pos="4104" w:leader="none"/>
        </w:tabs>
        <w:bidi w:val="0"/>
        <w:spacing w:lineRule="exact" w:line="240"/>
        <w:ind w:hanging="4104" w:start="4104"/>
        <w:jc w:val="start"/>
        <w:rPr>
          <w:rFonts w:ascii="Courier New" w:hAnsi="Courier New"/>
          <w:sz w:val="24"/>
        </w:rPr>
      </w:pPr>
      <w:r>
        <w:rPr>
          <w:rFonts w:ascii="Courier New" w:hAnsi="Courier New"/>
          <w:sz w:val="24"/>
        </w:rPr>
        <w:t>Date:  May 19, 2000</w:t>
        <w:tab/>
        <w:t>E-Mail:  jleslie@luce.com</w:t>
      </w:r>
    </w:p>
    <w:p>
      <w:pPr>
        <w:sectPr>
          <w:footerReference w:type="even" r:id="rId2"/>
          <w:footerReference w:type="default" r:id="rId3"/>
          <w:footerReference w:type="first" r:id="rId4"/>
          <w:type w:val="nextPage"/>
          <w:pgSz w:w="12240" w:h="15840"/>
          <w:pgMar w:left="2016" w:right="720" w:gutter="0" w:header="0" w:top="1440" w:footer="1200" w:bottom="1257"/>
          <w:pgNumType w:fmt="decimal"/>
          <w:formProt w:val="false"/>
          <w:titlePg/>
          <w:textDirection w:val="lrTb"/>
        </w:sectPr>
      </w:pPr>
    </w:p>
    <w:p>
      <w:pPr>
        <w:pStyle w:val="Normal"/>
        <w:bidi w:val="0"/>
        <w:spacing w:lineRule="exact" w:line="240"/>
        <w:jc w:val="center"/>
        <w:rPr>
          <w:rFonts w:ascii="Courier New" w:hAnsi="Courier New"/>
          <w:sz w:val="24"/>
        </w:rPr>
      </w:pPr>
      <w:r>
        <w:rPr>
          <w:rFonts w:ascii="Courier New" w:hAnsi="Courier New"/>
          <w:sz w:val="24"/>
        </w:rPr>
        <w:t>BEFORE THE</w:t>
      </w:r>
    </w:p>
    <w:p>
      <w:pPr>
        <w:pStyle w:val="Normal"/>
        <w:bidi w:val="0"/>
        <w:spacing w:lineRule="exact" w:line="240"/>
        <w:jc w:val="center"/>
        <w:rPr>
          <w:rFonts w:ascii="Courier New" w:hAnsi="Courier New"/>
          <w:sz w:val="24"/>
        </w:rPr>
      </w:pPr>
      <w:r>
        <w:rPr>
          <w:rFonts w:ascii="Courier New" w:hAnsi="Courier New"/>
          <w:sz w:val="24"/>
        </w:rPr>
        <w:t>PUBLIC UTILITIES COMMISSION</w:t>
      </w:r>
    </w:p>
    <w:p>
      <w:pPr>
        <w:pStyle w:val="Normal"/>
        <w:bidi w:val="0"/>
        <w:spacing w:lineRule="exact" w:line="240"/>
        <w:jc w:val="center"/>
        <w:rPr>
          <w:rFonts w:ascii="Courier New" w:hAnsi="Courier New"/>
          <w:sz w:val="24"/>
        </w:rPr>
      </w:pPr>
      <w:r>
        <w:rPr>
          <w:rFonts w:ascii="Courier New" w:hAnsi="Courier New"/>
          <w:sz w:val="24"/>
        </w:rPr>
        <w:t>OF THE</w:t>
      </w:r>
    </w:p>
    <w:p>
      <w:pPr>
        <w:pStyle w:val="Normal"/>
        <w:bidi w:val="0"/>
        <w:spacing w:lineRule="exact" w:line="240"/>
        <w:jc w:val="center"/>
        <w:rPr>
          <w:rFonts w:ascii="Courier New" w:hAnsi="Courier New"/>
          <w:sz w:val="24"/>
        </w:rPr>
      </w:pPr>
      <w:r>
        <w:rPr>
          <w:rFonts w:ascii="Courier New" w:hAnsi="Courier New"/>
          <w:sz w:val="24"/>
        </w:rPr>
        <w:t>STATE OF CALIFORNIA</w:t>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ind w:end="2976"/>
        <w:jc w:val="start"/>
        <w:rPr>
          <w:rFonts w:ascii="Courier New" w:hAnsi="Courier New"/>
          <w:sz w:val="24"/>
        </w:rPr>
      </w:pPr>
      <w:r>
        <w:rPr>
          <w:rFonts w:ascii="Courier New" w:hAnsi="Courier New"/>
          <w:sz w:val="24"/>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bidi w:val="0"/>
        <w:spacing w:lineRule="exact" w:line="240"/>
        <w:ind w:end="2976"/>
        <w:jc w:val="start"/>
        <w:rPr>
          <w:rFonts w:ascii="Courier New" w:hAnsi="Courier New"/>
          <w:sz w:val="24"/>
        </w:rPr>
      </w:pPr>
      <w:r>
        <w:rPr>
          <w:rFonts w:ascii="Courier New" w:hAnsi="Courier New"/>
          <w:sz w:val="24"/>
          <w:u w:val="single"/>
        </w:rPr>
        <w:tab/>
      </w:r>
    </w:p>
    <w:p>
      <w:pPr>
        <w:pStyle w:val="Normal"/>
        <w:bidi w:val="0"/>
        <w:spacing w:lineRule="exact" w:line="240"/>
        <w:ind w:hanging="0" w:start="6600" w:end="2712"/>
        <w:jc w:val="start"/>
        <w:rPr>
          <w:rFonts w:ascii="Courier New" w:hAnsi="Courier New"/>
          <w:sz w:val="24"/>
        </w:rPr>
      </w:pPr>
      <w:r>
        <w:rPr>
          <w:rFonts w:ascii="Courier New" w:hAnsi="Courier New"/>
          <w:sz w:val="24"/>
        </w:rPr>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600" w:end="2712"/>
        <w:jc w:val="start"/>
        <w:rPr>
          <w:rFonts w:ascii="Courier New" w:hAnsi="Courier New"/>
          <w:sz w:val="24"/>
        </w:rPr>
      </w:pPr>
      <w:r>
        <w:rPr>
          <w:rFonts w:ascii="Courier New" w:hAnsi="Courier New"/>
          <w:sz w:val="24"/>
        </w:rPr>
        <w:t>)</w:t>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r>
    </w:p>
    <w:p>
      <w:pPr>
        <w:pStyle w:val="Normal"/>
        <w:bidi w:val="0"/>
        <w:spacing w:lineRule="exact" w:line="240"/>
        <w:ind w:hanging="0" w:start="6864"/>
        <w:jc w:val="start"/>
        <w:rPr>
          <w:rFonts w:ascii="Courier New" w:hAnsi="Courier New"/>
          <w:sz w:val="24"/>
        </w:rPr>
      </w:pPr>
      <w:r>
        <w:rPr>
          <w:rFonts w:ascii="Courier New" w:hAnsi="Courier New"/>
          <w:sz w:val="24"/>
        </w:rPr>
        <w:t>I. 99-07-003</w:t>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spacing w:lineRule="exact" w:line="240"/>
        <w:jc w:val="start"/>
        <w:rPr>
          <w:rFonts w:ascii="Courier New" w:hAnsi="Courier New"/>
          <w:sz w:val="24"/>
        </w:rPr>
      </w:pPr>
      <w:r>
        <w:rPr>
          <w:rFonts w:ascii="Courier New" w:hAnsi="Courier New"/>
          <w:sz w:val="24"/>
        </w:rPr>
      </w:r>
    </w:p>
    <w:p>
      <w:pPr>
        <w:pStyle w:val="Normal"/>
        <w:bidi w:val="0"/>
        <w:jc w:val="center"/>
        <w:rPr>
          <w:rFonts w:ascii="Courier New" w:hAnsi="Courier New"/>
          <w:b/>
          <w:sz w:val="24"/>
        </w:rPr>
      </w:pPr>
      <w:r>
        <w:rPr>
          <w:rFonts w:ascii="Courier New" w:hAnsi="Courier New"/>
          <w:b/>
          <w:sz w:val="24"/>
        </w:rPr>
        <w:t>PREPARED REBUTTAL TESTIMONY OF RICHARD H. COUNIHAN</w:t>
      </w:r>
    </w:p>
    <w:p>
      <w:pPr>
        <w:pStyle w:val="Normal"/>
        <w:bidi w:val="0"/>
        <w:jc w:val="center"/>
        <w:rPr>
          <w:rFonts w:ascii="Courier New" w:hAnsi="Courier New"/>
          <w:sz w:val="24"/>
        </w:rPr>
      </w:pPr>
      <w:r>
        <w:rPr>
          <w:rFonts w:ascii="Courier New" w:hAnsi="Courier New"/>
          <w:b/>
          <w:sz w:val="24"/>
        </w:rPr>
        <w:t>OF GREENMOUNTAIN.COM ON BEHALF OF CORE AGGREGATORS</w:t>
      </w:r>
    </w:p>
    <w:p>
      <w:pPr>
        <w:pStyle w:val="Normal"/>
        <w:bidi w:val="0"/>
        <w:spacing w:lineRule="atLeast" w:line="480"/>
        <w:jc w:val="start"/>
        <w:rPr>
          <w:rFonts w:ascii="Courier New" w:hAnsi="Courier New"/>
          <w:sz w:val="24"/>
        </w:rPr>
      </w:pPr>
      <w:r>
        <w:rPr>
          <w:rFonts w:ascii="Courier New" w:hAnsi="Courier New"/>
          <w:sz w:val="24"/>
        </w:rPr>
      </w:r>
    </w:p>
    <w:p>
      <w:pPr>
        <w:pStyle w:val="Normal"/>
        <w:bidi w:val="0"/>
        <w:spacing w:lineRule="atLeast" w:line="480"/>
        <w:jc w:val="start"/>
        <w:rPr>
          <w:rFonts w:ascii="Courier New" w:hAnsi="Courier New"/>
          <w:sz w:val="24"/>
        </w:rPr>
      </w:pPr>
      <w:r>
        <w:rPr>
          <w:rFonts w:ascii="Courier New" w:hAnsi="Courier New"/>
          <w:sz w:val="24"/>
        </w:rPr>
        <w:tab/>
        <w:t>I am the same Richard H. Counihan who submitted prepared direct testimony on May 5, 2000 in the above-referenced proceeding.  Once again, this prepared rebuttal testimony is submitted on behalf of GreenMountain.com Company and the other core aggregators that have signed the "Comprehensive Gas OII Settlement Agreement for Southern California Gas Company and San Diego Gas &amp; Electric Company" (hereinafter referred to as the "Comprehensive Settlement").</w:t>
      </w:r>
    </w:p>
    <w:p>
      <w:pPr>
        <w:pStyle w:val="Normal"/>
        <w:bidi w:val="0"/>
        <w:spacing w:lineRule="atLeast" w:line="480"/>
        <w:jc w:val="start"/>
        <w:rPr>
          <w:rFonts w:ascii="Courier New" w:hAnsi="Courier New"/>
          <w:sz w:val="24"/>
        </w:rPr>
      </w:pPr>
      <w:r>
        <w:rPr>
          <w:rFonts w:ascii="Courier New" w:hAnsi="Courier New"/>
          <w:sz w:val="24"/>
        </w:rPr>
        <w:tab/>
        <w:t>My prepared rebuttal testimony, which supports the Comprehensive Settlement, raises objections to certain features of the "Post-Interim Settlement Agreement," which was filed in this proceeding on April 3, 2000 (hereinafter referred to as the "Post-Interim Settlement").  Specifically, my testimony addresses three areas of deficiency with respect to the Post-Interim Settlement Agreement.  These areas are as follows:</w:t>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First, the Post-Interim Settlement imposes an unfair and disproportionate stranded interstate capacity cost burden on core transportation-only customers.</w:t>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Second, the Post-Interim Settlement improperly fails to adopt core "reliability" storage unbundling, or unbundled balancing services, for core transportation-only customers.</w:t>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Third, the Post-Interim Settlement improperly fails to address any of the Commission's "promising options" that relate to revenue cycle services or other "retail" issues on the SoCalGas and SDG&amp;E systems.</w:t>
      </w:r>
    </w:p>
    <w:p>
      <w:pPr>
        <w:sectPr>
          <w:footerReference w:type="even" r:id="rId5"/>
          <w:footerReference w:type="default" r:id="rId6"/>
          <w:footerReference w:type="first" r:id="rId7"/>
          <w:type w:val="nextPage"/>
          <w:pgSz w:w="12240" w:h="15840"/>
          <w:pgMar w:left="2016" w:right="720" w:gutter="0" w:header="0" w:top="1440" w:footer="1200" w:bottom="1257"/>
          <w:pgNumType w:start="1" w:fmt="decimal"/>
          <w:formProt w:val="false"/>
          <w:textDirection w:val="lrTb"/>
          <w:docGrid w:type="default" w:linePitch="100" w:charSpace="0"/>
        </w:sectPr>
      </w:pPr>
    </w:p>
    <w:p>
      <w:pPr>
        <w:pStyle w:val="1Outline-tab"/>
        <w:bidi w:val="0"/>
        <w:spacing w:lineRule="atLeast" w:line="480"/>
        <w:ind w:hanging="720" w:start="720"/>
        <w:jc w:val="start"/>
        <w:rPr>
          <w:rFonts w:ascii="Courier New" w:hAnsi="Courier New"/>
          <w:u w:val="single"/>
        </w:rPr>
      </w:pPr>
      <w:r>
        <w:rPr>
          <w:rFonts w:ascii="Courier New" w:hAnsi="Courier New"/>
          <w:u w:val="single"/>
        </w:rPr>
        <w:t>Core Interstate Unbundling:  Allocation of Stranded Costs</w:t>
      </w:r>
    </w:p>
    <w:p>
      <w:pPr>
        <w:pStyle w:val="Normal"/>
        <w:bidi w:val="0"/>
        <w:spacing w:lineRule="atLeast" w:line="480"/>
        <w:jc w:val="start"/>
        <w:rPr>
          <w:rFonts w:ascii="Courier New" w:hAnsi="Courier New"/>
          <w:sz w:val="24"/>
        </w:rPr>
      </w:pPr>
      <w:r>
        <w:rPr>
          <w:rFonts w:ascii="Courier New" w:hAnsi="Courier New"/>
          <w:sz w:val="24"/>
        </w:rPr>
        <w:tab/>
        <w:t>Like the Comprehensive Settlement, the Post-Interim Settlement proposes to unbundle interstate capacity costs from the rates of core transport-only customers.  The Post-Interim Settlement contains an unreasonable cost allocation approach, however, for the stranded costs that arise from core interstate unbundling.</w:t>
      </w:r>
    </w:p>
    <w:p>
      <w:pPr>
        <w:pStyle w:val="Normal"/>
        <w:bidi w:val="0"/>
        <w:spacing w:lineRule="atLeast" w:line="480"/>
        <w:jc w:val="start"/>
        <w:rPr>
          <w:rFonts w:ascii="Courier New" w:hAnsi="Courier New"/>
          <w:sz w:val="24"/>
        </w:rPr>
      </w:pPr>
      <w:r>
        <w:rPr>
          <w:rFonts w:ascii="Courier New" w:hAnsi="Courier New"/>
          <w:sz w:val="24"/>
        </w:rPr>
        <w:tab/>
        <w:t xml:space="preserve">The level of the potential cost savings attributable to core interstate unbundling is critical to the success of the core aggregation program.  Under the Post-Interim Settlement, a disproportionate share of stranded interstate costs would be allocated to core transportation-only customers.  Compared to the agreed upon allocation approach that is incorporated in the Comprehensive Settlement, the allocation mechanism proposed in the Post-Interim Settlement would reduce the potential cost savings for core transportation-only customers.  This reduced cost savings likely would discourage participation in the program by marketers and core customers alike. </w:t>
      </w:r>
    </w:p>
    <w:p>
      <w:pPr>
        <w:pStyle w:val="2Outline-tab"/>
        <w:bidi w:val="0"/>
        <w:spacing w:lineRule="auto" w:line="240"/>
        <w:ind w:hanging="1440" w:start="1440"/>
        <w:jc w:val="start"/>
        <w:rPr>
          <w:rFonts w:ascii="Courier New" w:hAnsi="Courier New"/>
          <w:u w:val="single"/>
        </w:rPr>
      </w:pPr>
      <w:r>
        <w:rPr>
          <w:rFonts w:ascii="Courier New" w:hAnsi="Courier New"/>
        </w:rPr>
        <w:tab/>
      </w:r>
      <w:r>
        <w:rPr>
          <w:rFonts w:ascii="Courier New" w:hAnsi="Courier New"/>
          <w:u w:val="single"/>
        </w:rPr>
        <w:t>The Proposed Cost Allocation Mechanism Under the Post-Interim Settlement Would Impose an Undue Stranded Cost Burden on Core Transport-Only Customers</w:t>
      </w:r>
    </w:p>
    <w:p>
      <w:pPr>
        <w:pStyle w:val="Normal"/>
        <w:bidi w:val="0"/>
        <w:jc w:val="start"/>
        <w:rPr>
          <w:rFonts w:ascii="Courier New" w:hAnsi="Courier New"/>
          <w:sz w:val="24"/>
        </w:rPr>
      </w:pPr>
      <w:r>
        <w:rPr>
          <w:rFonts w:ascii="Courier New" w:hAnsi="Courier New"/>
          <w:sz w:val="24"/>
        </w:rPr>
      </w:r>
    </w:p>
    <w:p>
      <w:pPr>
        <w:pStyle w:val="Normal"/>
        <w:bidi w:val="0"/>
        <w:spacing w:lineRule="atLeast" w:line="480"/>
        <w:jc w:val="start"/>
        <w:rPr>
          <w:rFonts w:ascii="Courier New" w:hAnsi="Courier New"/>
          <w:sz w:val="24"/>
        </w:rPr>
      </w:pPr>
      <w:r>
        <w:rPr>
          <w:rFonts w:ascii="Courier New" w:hAnsi="Courier New"/>
          <w:sz w:val="24"/>
        </w:rPr>
        <w:tab/>
        <w:t xml:space="preserve">The Comprehensive Settlement achieves a fair balance with respect to the stranded costs associated with interstate capacity unbundling.  Under the Comprehensive Settlement, the stranded costs arising from core interstate unbundling that are allocated to the core market are allocated, as a threshold matter, on an equal cents per therm basis among all core customers.  Above 7 percent core market penetration, the stranded costs are allocated proportionately between residential and nonresidential customers based upon the customer class’ participation in the core transport-only program. </w:t>
      </w:r>
      <w:r>
        <w:rPr>
          <w:rStyle w:val="FootnoteReference"/>
          <w:rFonts w:ascii="Courier New" w:hAnsi="Courier New"/>
          <w:sz w:val="24"/>
          <w:vertAlign w:val="superscript"/>
        </w:rPr>
        <w:footnoteReference w:id="2"/>
      </w:r>
      <w:r>
        <w:rPr>
          <w:rFonts w:ascii="Courier New" w:hAnsi="Courier New"/>
          <w:sz w:val="24"/>
        </w:rPr>
        <w:t xml:space="preserve"> </w:t>
      </w:r>
    </w:p>
    <w:p>
      <w:pPr>
        <w:pStyle w:val="Normal"/>
        <w:bidi w:val="0"/>
        <w:spacing w:lineRule="atLeast" w:line="480"/>
        <w:jc w:val="start"/>
        <w:rPr>
          <w:rFonts w:ascii="Courier New" w:hAnsi="Courier New"/>
          <w:sz w:val="24"/>
        </w:rPr>
      </w:pPr>
      <w:r>
        <w:rPr>
          <w:rFonts w:ascii="Courier New" w:hAnsi="Courier New"/>
          <w:sz w:val="24"/>
        </w:rPr>
        <w:tab/>
        <w:t>By contrast, under the Post-Interim Settlement, the stranded costs arising from core interstate unbundling would be allocated 50 percent to core transportation-only customers, and 50 percent to core bundled sales customers.</w:t>
      </w:r>
      <w:r>
        <w:rPr>
          <w:rStyle w:val="FootnoteReference"/>
          <w:rFonts w:ascii="Courier New" w:hAnsi="Courier New"/>
          <w:sz w:val="24"/>
          <w:vertAlign w:val="superscript"/>
        </w:rPr>
        <w:footnoteReference w:id="3"/>
      </w:r>
      <w:r>
        <w:rPr>
          <w:rFonts w:ascii="Courier New" w:hAnsi="Courier New"/>
          <w:sz w:val="24"/>
        </w:rPr>
        <w:t xml:space="preserve">  At the current level of core customer participation in the core aggregation program, this proposed cost allocation approach would impose 50 percent of the stranded costs upon only 5 percent of the core market.  Under these conditions, the stranded cost surcharge for a residential transport-only customer would be $0.088 per dth, compared to a stranded cost surcharge of only $0.001 per dth for a residential sales customer.</w:t>
      </w:r>
      <w:r>
        <w:rPr>
          <w:rStyle w:val="FootnoteReference"/>
          <w:rFonts w:ascii="Courier New" w:hAnsi="Courier New"/>
          <w:sz w:val="24"/>
          <w:vertAlign w:val="superscript"/>
        </w:rPr>
        <w:footnoteReference w:id="4"/>
      </w:r>
    </w:p>
    <w:p>
      <w:pPr>
        <w:pStyle w:val="Normal"/>
        <w:bidi w:val="0"/>
        <w:spacing w:lineRule="atLeast" w:line="480"/>
        <w:jc w:val="start"/>
        <w:rPr>
          <w:rFonts w:ascii="Courier New" w:hAnsi="Courier New"/>
          <w:sz w:val="24"/>
        </w:rPr>
      </w:pPr>
      <w:r>
        <w:rPr>
          <w:rFonts w:ascii="Courier New" w:hAnsi="Courier New"/>
          <w:sz w:val="24"/>
        </w:rPr>
        <w:tab/>
        <w:t>The approach proposed in the Post-Interim Settlement would unfairly burden core transportation customers and would unfairly ignore the trade-off associated with eliminating the core market's responsibility for a portion of the interstate transition cost account (“ITCA”).  Elimination of the core portion of the ITCA is a common feature of both the Comprehensive Settlement and the Post-Interim Settlement.  Elimination of the core portion of the ITCA prevents residential sales customers from suffering a rate increase as a result of core interstate unbundling.</w:t>
      </w:r>
    </w:p>
    <w:p>
      <w:pPr>
        <w:pStyle w:val="2Outline-tab"/>
        <w:bidi w:val="0"/>
        <w:spacing w:lineRule="atLeast" w:line="480"/>
        <w:ind w:hanging="1440" w:start="1440"/>
        <w:jc w:val="start"/>
        <w:rPr>
          <w:rFonts w:ascii="Courier New" w:hAnsi="Courier New"/>
          <w:u w:val="single"/>
        </w:rPr>
      </w:pPr>
      <w:r>
        <w:rPr>
          <w:rFonts w:ascii="Courier New" w:hAnsi="Courier New"/>
        </w:rPr>
        <w:tab/>
      </w:r>
      <w:r>
        <w:rPr>
          <w:rFonts w:ascii="Courier New" w:hAnsi="Courier New"/>
          <w:u w:val="single"/>
        </w:rPr>
        <w:t>Elimination of the Core Market's Responsibility for the ITCA Offsets the Stranded Costs Arising as a Result of Core Interstate Unbundling</w:t>
      </w:r>
    </w:p>
    <w:p>
      <w:pPr>
        <w:pStyle w:val="Normal"/>
        <w:bidi w:val="0"/>
        <w:spacing w:lineRule="atLeast" w:line="480"/>
        <w:jc w:val="start"/>
        <w:rPr>
          <w:rFonts w:ascii="Courier New" w:hAnsi="Courier New"/>
          <w:sz w:val="24"/>
        </w:rPr>
      </w:pPr>
      <w:r>
        <w:rPr>
          <w:rFonts w:ascii="Courier New" w:hAnsi="Courier New"/>
          <w:sz w:val="24"/>
        </w:rPr>
        <w:tab/>
        <w:t>The Post-Interim Settlement, like the Comprehensive Settlement, shifts a substantial chunk of stranded interstate capacity costs away from the core market by eliminating any core customer responsibility for the ITCA.  This settlement provision shifts approximately $7.6 million per year from the core market to the noncore market, depending upon the market value of released firm interstate capacity.</w:t>
      </w:r>
      <w:r>
        <w:rPr>
          <w:rStyle w:val="FootnoteReference"/>
          <w:rFonts w:ascii="Courier New" w:hAnsi="Courier New"/>
          <w:sz w:val="24"/>
          <w:vertAlign w:val="superscript"/>
        </w:rPr>
        <w:footnoteReference w:id="5"/>
      </w:r>
      <w:r>
        <w:rPr>
          <w:rFonts w:ascii="Courier New" w:hAnsi="Courier New"/>
          <w:sz w:val="24"/>
        </w:rPr>
        <w:t xml:space="preserve">  Elimination of the core portion of the ITCA represents a rate benefit of $0.026 per dth for every core customer on SoCalGas' system (sales or transport, residential or nonresidential).</w:t>
      </w:r>
    </w:p>
    <w:p>
      <w:pPr>
        <w:pStyle w:val="Normal"/>
        <w:bidi w:val="0"/>
        <w:spacing w:lineRule="atLeast" w:line="480"/>
        <w:jc w:val="start"/>
        <w:rPr>
          <w:rFonts w:ascii="Courier New" w:hAnsi="Courier New"/>
          <w:sz w:val="24"/>
        </w:rPr>
      </w:pPr>
      <w:r>
        <w:rPr>
          <w:rFonts w:ascii="Courier New" w:hAnsi="Courier New"/>
          <w:sz w:val="24"/>
        </w:rPr>
        <w:tab/>
        <w:t>The reason why the Comprehensive Settlement eliminates the core market’s responsibility for the ITCA is to offset the stranded costs that are allocated to the core market as a result of core interstate unbundling.</w:t>
      </w:r>
      <w:r>
        <w:rPr>
          <w:rStyle w:val="FootnoteReference"/>
          <w:rFonts w:ascii="Courier New" w:hAnsi="Courier New"/>
          <w:sz w:val="24"/>
          <w:vertAlign w:val="superscript"/>
        </w:rPr>
        <w:footnoteReference w:id="6"/>
      </w:r>
      <w:r>
        <w:rPr>
          <w:rFonts w:ascii="Courier New" w:hAnsi="Courier New"/>
          <w:sz w:val="24"/>
        </w:rPr>
        <w:t xml:space="preserve">   Under the Comprehensive Settlement, the rate benefit arising from eliminating the core portion of the ITCA more than offsets the stranded cost burden that is imposed upon SoCalGas' residential bundled sales customers as a result of core interstate unbundling.  This stranded cost “offset” is true at every level of core customer participation in the transport-only program.  </w:t>
      </w:r>
    </w:p>
    <w:p>
      <w:pPr>
        <w:pStyle w:val="Normal"/>
        <w:bidi w:val="0"/>
        <w:spacing w:lineRule="atLeast" w:line="480"/>
        <w:jc w:val="start"/>
        <w:rPr>
          <w:rFonts w:ascii="Courier New" w:hAnsi="Courier New"/>
          <w:sz w:val="24"/>
        </w:rPr>
      </w:pPr>
      <w:r>
        <w:rPr>
          <w:rFonts w:ascii="Courier New" w:hAnsi="Courier New"/>
          <w:sz w:val="24"/>
        </w:rPr>
        <w:tab/>
        <w:t>Under the Comprehensive Settlement, at the current level of core customer participation (5 percent of the core market), bundled core residential sales customers would bear only $0.009 per dth in stranded costs, compared to the $0.026 rate benefit. Even at 25 percent core customer participation, the stranded cost  surcharge for a bundled core residential sales customer would be only $0.014 per dth.</w:t>
      </w:r>
      <w:r>
        <w:rPr>
          <w:rStyle w:val="FootnoteReference"/>
          <w:rFonts w:ascii="Courier New" w:hAnsi="Courier New"/>
          <w:sz w:val="24"/>
          <w:vertAlign w:val="superscript"/>
        </w:rPr>
        <w:footnoteReference w:id="7"/>
      </w:r>
    </w:p>
    <w:p>
      <w:pPr>
        <w:pStyle w:val="Normal"/>
        <w:bidi w:val="0"/>
        <w:spacing w:lineRule="atLeast" w:line="480"/>
        <w:jc w:val="start"/>
        <w:rPr>
          <w:rFonts w:ascii="Courier New" w:hAnsi="Courier New"/>
          <w:sz w:val="24"/>
        </w:rPr>
      </w:pPr>
      <w:r>
        <w:rPr>
          <w:rFonts w:ascii="Courier New" w:hAnsi="Courier New"/>
          <w:sz w:val="24"/>
        </w:rPr>
        <w:tab/>
      </w:r>
    </w:p>
    <w:p>
      <w:pPr>
        <w:pStyle w:val="Normal"/>
        <w:bidi w:val="0"/>
        <w:spacing w:lineRule="atLeast" w:line="480"/>
        <w:jc w:val="start"/>
        <w:rPr>
          <w:rFonts w:ascii="Courier New" w:hAnsi="Courier New"/>
          <w:sz w:val="24"/>
        </w:rPr>
      </w:pPr>
      <w:r>
        <w:rPr>
          <w:rFonts w:ascii="Courier New" w:hAnsi="Courier New"/>
          <w:sz w:val="24"/>
        </w:rPr>
        <w:tab/>
        <w:t>Under the Post-Interim Settlement's stranded cost allocation approach, SoCalGas' bundled residential sales customers would receive the same benefit ($0.026 per dth) for elimination of the core portion of the ITCA, but these customers would bear a smaller stranded cost charge as a result of core interstate unbundling than under the Comprehensive Settlement.  Based upon the current market share for core transport-only service (5 percent), residential sales customers would bear a stranded cost charge of only $0.001 per dth under the Post-Interim Settlement.  At 25 percent participation, residential bundled sales customers would bear a stranded cost charge of only $0.006 per dth under the Post-Interim Settlement.</w:t>
      </w:r>
    </w:p>
    <w:p>
      <w:pPr>
        <w:pStyle w:val="Normal"/>
        <w:bidi w:val="0"/>
        <w:spacing w:lineRule="atLeast" w:line="480"/>
        <w:jc w:val="start"/>
        <w:rPr>
          <w:rFonts w:ascii="Courier New" w:hAnsi="Courier New"/>
          <w:sz w:val="24"/>
        </w:rPr>
      </w:pPr>
      <w:r>
        <w:rPr>
          <w:rFonts w:ascii="Courier New" w:hAnsi="Courier New"/>
          <w:sz w:val="24"/>
        </w:rPr>
        <w:tab/>
        <w:t>The reduced stranded cost charge for bundled residential sales customers under the Post-Interim Settlement would cause other core customers to bear additional stranded costs.  The Post-Interim Settlement’s cost allocation proposal would reduce the cost savings that otherwise would be enjoyed by core customers that select competitive service options under the Comprehensive Settlement.</w:t>
      </w:r>
    </w:p>
    <w:p>
      <w:pPr>
        <w:pStyle w:val="Normal"/>
        <w:bidi w:val="0"/>
        <w:spacing w:lineRule="atLeast" w:line="480"/>
        <w:jc w:val="start"/>
        <w:rPr>
          <w:rFonts w:ascii="Courier New" w:hAnsi="Courier New"/>
          <w:sz w:val="24"/>
        </w:rPr>
      </w:pPr>
      <w:r>
        <w:rPr>
          <w:rFonts w:ascii="Courier New" w:hAnsi="Courier New"/>
          <w:sz w:val="24"/>
        </w:rPr>
        <w:tab/>
        <w:t xml:space="preserve">An analysis performed by SoCalGas, which is reflected in Appendix A, shows that under the Comprehensive Settlement, the net cost savings related to core interstate unbundling would be between $0.236 per dth and $0.242 per dth for all core transport-only customers, including residential and non-residential customers.  The slight difference in the level of the net cost savings is dependent upon the level of core customer participation in the core transport-only program.  </w:t>
      </w:r>
    </w:p>
    <w:p>
      <w:pPr>
        <w:pStyle w:val="Normal"/>
        <w:bidi w:val="0"/>
        <w:spacing w:lineRule="atLeast" w:line="480"/>
        <w:jc w:val="start"/>
        <w:rPr>
          <w:rFonts w:ascii="Courier New" w:hAnsi="Courier New"/>
          <w:sz w:val="24"/>
        </w:rPr>
      </w:pPr>
      <w:r>
        <w:rPr>
          <w:rFonts w:ascii="Courier New" w:hAnsi="Courier New"/>
          <w:sz w:val="24"/>
        </w:rPr>
        <w:tab/>
        <w:t>By contrast, under the Post-Interim Settlement, the net cost savings would be approximately $0.10 less -- between $0.129 per dth and $0.140 per dth -- for residential transport-only customers.   For nonresidential customers, however, the cost allocation mechanism proposed in the Post-Interim Settlement would lead to price distortions.  At 5 percent core market penetration, the cost savings for a nonresidential transport-only customer would be $0.15 per dth.  At 25 percent market penetration, however, the cost savings for a nonresidential transport-only customer would be $0.721 per dth.   This level of cost advantage is an unreasonable result of the allocation mechanism proposed in the Post-Interim Settlement.</w:t>
      </w:r>
      <w:r>
        <w:rPr>
          <w:rStyle w:val="FootnoteReference"/>
          <w:rFonts w:ascii="Courier New" w:hAnsi="Courier New"/>
          <w:sz w:val="24"/>
          <w:vertAlign w:val="superscript"/>
        </w:rPr>
        <w:footnoteReference w:id="8"/>
      </w:r>
      <w:r>
        <w:rPr>
          <w:rFonts w:ascii="Courier New" w:hAnsi="Courier New"/>
          <w:sz w:val="24"/>
        </w:rPr>
        <w:tab/>
        <w:tab/>
        <w:tab/>
        <w:tab/>
      </w:r>
    </w:p>
    <w:p>
      <w:pPr>
        <w:pStyle w:val="2Outline-tab"/>
        <w:bidi w:val="0"/>
        <w:spacing w:lineRule="auto" w:line="240"/>
        <w:ind w:hanging="1440" w:start="1440"/>
        <w:jc w:val="start"/>
        <w:rPr>
          <w:rFonts w:ascii="Courier New" w:hAnsi="Courier New"/>
          <w:u w:val="single"/>
        </w:rPr>
      </w:pPr>
      <w:r>
        <w:rPr>
          <w:rFonts w:ascii="Courier New" w:hAnsi="Courier New"/>
        </w:rPr>
        <w:tab/>
      </w:r>
      <w:r>
        <w:rPr>
          <w:rFonts w:ascii="Courier New" w:hAnsi="Courier New"/>
          <w:u w:val="single"/>
        </w:rPr>
        <w:t>Stranded Costs Should be Allocated Equitably Among Core Sales Customers and Core-Transport-Only Customers</w:t>
      </w:r>
    </w:p>
    <w:p>
      <w:pPr>
        <w:pStyle w:val="Normal"/>
        <w:bidi w:val="0"/>
        <w:jc w:val="start"/>
        <w:rPr>
          <w:rFonts w:ascii="Courier New" w:hAnsi="Courier New"/>
          <w:sz w:val="24"/>
        </w:rPr>
      </w:pPr>
      <w:r>
        <w:rPr>
          <w:rFonts w:ascii="Courier New" w:hAnsi="Courier New"/>
          <w:sz w:val="24"/>
        </w:rPr>
      </w:r>
    </w:p>
    <w:p>
      <w:pPr>
        <w:pStyle w:val="Normal"/>
        <w:bidi w:val="0"/>
        <w:jc w:val="start"/>
        <w:rPr>
          <w:rFonts w:ascii="Courier New" w:hAnsi="Courier New"/>
          <w:sz w:val="24"/>
        </w:rPr>
      </w:pPr>
      <w:r>
        <w:rPr>
          <w:rFonts w:ascii="Courier New" w:hAnsi="Courier New"/>
          <w:sz w:val="24"/>
        </w:rPr>
      </w:r>
    </w:p>
    <w:p>
      <w:pPr>
        <w:pStyle w:val="Normal"/>
        <w:bidi w:val="0"/>
        <w:spacing w:lineRule="atLeast" w:line="480"/>
        <w:jc w:val="start"/>
        <w:rPr>
          <w:rFonts w:ascii="Courier New" w:hAnsi="Courier New"/>
          <w:sz w:val="24"/>
        </w:rPr>
      </w:pPr>
      <w:r>
        <w:rPr>
          <w:rFonts w:ascii="Courier New" w:hAnsi="Courier New"/>
          <w:sz w:val="24"/>
        </w:rPr>
        <w:tab/>
        <w:t xml:space="preserve">TURN witness Michel Florio describes, in his prepared testimony, the core interstate unbundling cost allocation provision of the Post-Interim Settlement (Ex.___).  Mr. Florio states that the cost allocation approach "reasonably ties responsibility for stranded cost recovery to the benefits of capacity unbundling."  Ex. ___ at p. ____.   Mr. Florio is wrong.  The cost allocation proposal in the Post-Interim Settlement distort the allocation of stranded costs among customer groups. The cost allocation approach in the Post-Interim Settlement reflects an effort to force core transport-only customers to bear a disproportionate burden for the stranded costs that arise from core interstate unbundling.  Moreover, while severely limiting the stranded cost impact upon core residential sales customers, the Post-Interim Settlement creates the potential for a significant rate </w:t>
      </w:r>
      <w:r>
        <w:rPr>
          <w:rFonts w:ascii="Courier New" w:hAnsi="Courier New"/>
          <w:sz w:val="24"/>
          <w:u w:val="single"/>
        </w:rPr>
        <w:t>increase</w:t>
      </w:r>
      <w:r>
        <w:rPr>
          <w:rFonts w:ascii="Courier New" w:hAnsi="Courier New"/>
          <w:sz w:val="24"/>
        </w:rPr>
        <w:t xml:space="preserve"> for core nonresidential sales customers.  Finally, the Post-Interim Settlement attempts to diminish the potential for cost savings for customers that choose competitive options under the core aggregation program.</w:t>
      </w:r>
    </w:p>
    <w:p>
      <w:pPr>
        <w:pStyle w:val="Normal"/>
        <w:bidi w:val="0"/>
        <w:spacing w:lineRule="atLeast" w:line="480"/>
        <w:jc w:val="start"/>
        <w:rPr>
          <w:rFonts w:ascii="Courier New" w:hAnsi="Courier New"/>
          <w:sz w:val="24"/>
        </w:rPr>
      </w:pPr>
      <w:r>
        <w:rPr>
          <w:rFonts w:ascii="Courier New" w:hAnsi="Courier New"/>
          <w:sz w:val="24"/>
        </w:rPr>
        <w:tab/>
        <w:t xml:space="preserve">A key purpose of core interstate unbundling is to provide all  core customers (and their suppliers) with an opportunity and an incentive to participate in the competitive market.  If a disproportionate share of the stranded costs associated with core interstate unbundling is allocated to the very customers that choose a competitive service provider, there will be a diminished cost savings for transport-only customers, and thus a reduced incentive for core customers to participate in transport-only service.  </w:t>
      </w:r>
    </w:p>
    <w:p>
      <w:pPr>
        <w:pStyle w:val="1Outline-tab"/>
        <w:tabs>
          <w:tab w:val="left" w:pos="720" w:leader="none"/>
          <w:tab w:val="left" w:pos="1440" w:leader="none"/>
        </w:tabs>
        <w:bidi w:val="0"/>
        <w:spacing w:lineRule="atLeast" w:line="480"/>
        <w:ind w:hanging="1440" w:start="1440"/>
        <w:jc w:val="start"/>
        <w:rPr>
          <w:rFonts w:ascii="Courier New" w:hAnsi="Courier New"/>
          <w:u w:val="single"/>
        </w:rPr>
      </w:pPr>
      <w:r>
        <w:rPr>
          <w:rFonts w:ascii="Courier New" w:hAnsi="Courier New"/>
        </w:rPr>
        <w:tab/>
      </w:r>
      <w:r>
        <w:rPr>
          <w:rFonts w:ascii="Courier New" w:hAnsi="Courier New"/>
          <w:u w:val="single"/>
        </w:rPr>
        <w:t>Core Storage Unbundling and Unbundled Balancing</w:t>
      </w:r>
    </w:p>
    <w:p>
      <w:pPr>
        <w:pStyle w:val="Normal"/>
        <w:bidi w:val="0"/>
        <w:spacing w:lineRule="atLeast" w:line="480"/>
        <w:jc w:val="start"/>
        <w:rPr>
          <w:rFonts w:ascii="Courier New" w:hAnsi="Courier New"/>
          <w:sz w:val="24"/>
        </w:rPr>
      </w:pPr>
      <w:r>
        <w:rPr>
          <w:rFonts w:ascii="Courier New" w:hAnsi="Courier New"/>
          <w:sz w:val="24"/>
        </w:rPr>
        <w:tab/>
        <w:t>Two key components of the Comprehensive Settlement for core aggregation customers and their suppliers are core storage unbundling and unbundled balancing.  The unbundling of core reliability storage presents the potential for a cost savings up to approximately $0.058 per dth, depending upon the cost of the alternate resources employed by and for the core aggregation group.  Unbundled balancing presents the opportunity for a core transportation-only customer to enjoy a cost savings of approximately $0.016 per dth.  These cost savings opportunities are important to the success of the core aggregation program.</w:t>
      </w:r>
    </w:p>
    <w:p>
      <w:pPr>
        <w:pStyle w:val="Normal"/>
        <w:bidi w:val="0"/>
        <w:spacing w:lineRule="atLeast" w:line="480"/>
        <w:jc w:val="start"/>
        <w:rPr>
          <w:rFonts w:ascii="Courier New" w:hAnsi="Courier New"/>
          <w:sz w:val="24"/>
        </w:rPr>
      </w:pPr>
      <w:r>
        <w:rPr>
          <w:rFonts w:ascii="Courier New" w:hAnsi="Courier New"/>
          <w:sz w:val="24"/>
        </w:rPr>
        <w:tab/>
        <w:t xml:space="preserve">The stranded costs that arise from core storage unbundling will have little, if any effect upon bundled core sales customers. Under the Comprehensive Settlement, the "stranded" storage assets that arise from the unbundling of core reliability storage, and from the unbundling of balancing, will be transferred to SoCalGas' unbundled storage program.  </w:t>
      </w:r>
      <w:r>
        <w:rPr>
          <w:rFonts w:ascii="Courier New" w:hAnsi="Courier New"/>
          <w:sz w:val="24"/>
          <w:u w:val="single"/>
        </w:rPr>
        <w:t>See</w:t>
      </w:r>
      <w:r>
        <w:rPr>
          <w:rFonts w:ascii="Courier New" w:hAnsi="Courier New"/>
          <w:sz w:val="24"/>
        </w:rPr>
        <w:t xml:space="preserve"> Comprehensive Settlement at Section 5.4.4.7 (p. 59).  To the extent that SoCalGas is unable to market this unbundled storage, the stranded storage costs will be borne in proportionate amounts by SoCalGas' shareholders and by all core and noncore customers on an equal cents per therm basis.  </w:t>
      </w:r>
      <w:r>
        <w:rPr>
          <w:rFonts w:ascii="Courier New" w:hAnsi="Courier New"/>
          <w:sz w:val="24"/>
          <w:u w:val="single"/>
        </w:rPr>
        <w:t>See</w:t>
      </w:r>
      <w:r>
        <w:rPr>
          <w:rFonts w:ascii="Courier New" w:hAnsi="Courier New"/>
          <w:sz w:val="24"/>
        </w:rPr>
        <w:t xml:space="preserve"> Comprehensive Settlement at Section 2.3.3 (p. 39).  </w:t>
      </w:r>
    </w:p>
    <w:p>
      <w:pPr>
        <w:pStyle w:val="Normal"/>
        <w:bidi w:val="0"/>
        <w:spacing w:lineRule="atLeast" w:line="480"/>
        <w:jc w:val="start"/>
        <w:rPr>
          <w:rFonts w:ascii="Courier New" w:hAnsi="Courier New"/>
          <w:sz w:val="24"/>
        </w:rPr>
      </w:pPr>
      <w:r>
        <w:rPr>
          <w:rFonts w:ascii="Courier New" w:hAnsi="Courier New"/>
          <w:sz w:val="24"/>
        </w:rPr>
        <w:tab/>
        <w:t>The broad sharing of stranded storage costs means that SoCalGas’ bundled core sales customers will not be substantially affected if storage reliability service and balancing service are unbundled for core transportation-only customers.  Morever, during the period prior to January 1, 2003, the Comprehensive Settlement provides a "cap" of 15 percent on the amount of core reliability storage that can be unbundled.  Once the cap is removed, SoCalGas’ shareholders will bear 100 percent of the risk of all unbundled storage costs, because SoCalGas’ ratepayers will not bear any stranded storage costs after January 1, 2003.</w:t>
      </w:r>
    </w:p>
    <w:p>
      <w:pPr>
        <w:pStyle w:val="Normal"/>
        <w:bidi w:val="0"/>
        <w:spacing w:lineRule="atLeast" w:line="480"/>
        <w:jc w:val="start"/>
        <w:rPr>
          <w:rFonts w:ascii="Courier New" w:hAnsi="Courier New"/>
          <w:sz w:val="24"/>
        </w:rPr>
      </w:pPr>
      <w:r>
        <w:rPr>
          <w:rFonts w:ascii="Courier New" w:hAnsi="Courier New"/>
          <w:sz w:val="24"/>
        </w:rPr>
        <w:tab/>
        <w:t xml:space="preserve">Under the Post-Interim Settlement, however, the issues of core reliability storage unbundling and unbundled balancing would be deferred until SoCalGas’ next BCAP (i.e. until January 2003).  To delay consideration of these elements of restructuring would be wrong.  It is in this proceeding that the Commission intended to address gas industry restructuring issues.  The unbundling of core storage, and the unbundling of balancing, are two issues that were specifically identified by the Commission as "promising options" that are to be addressed in this case.  These matters are important to the package of competitive service options that are available to core transportation-only customers.  These restructuring matters should not be put off until 2003.  </w:t>
      </w:r>
    </w:p>
    <w:p>
      <w:pPr>
        <w:pStyle w:val="1Outline-tab"/>
        <w:bidi w:val="0"/>
        <w:spacing w:lineRule="atLeast" w:line="480"/>
        <w:ind w:hanging="720" w:start="720"/>
        <w:jc w:val="start"/>
        <w:rPr>
          <w:rFonts w:ascii="Courier New" w:hAnsi="Courier New"/>
          <w:u w:val="single"/>
        </w:rPr>
      </w:pPr>
      <w:r>
        <w:rPr>
          <w:rFonts w:ascii="Courier New" w:hAnsi="Courier New"/>
          <w:u w:val="single"/>
        </w:rPr>
        <w:t>Retail Issues Ignored by the Post-Interim Settlement</w:t>
      </w:r>
    </w:p>
    <w:p>
      <w:pPr>
        <w:pStyle w:val="Normal"/>
        <w:bidi w:val="0"/>
        <w:spacing w:lineRule="atLeast" w:line="480"/>
        <w:jc w:val="start"/>
        <w:rPr>
          <w:rFonts w:ascii="Courier New" w:hAnsi="Courier New"/>
          <w:sz w:val="24"/>
        </w:rPr>
      </w:pPr>
      <w:r>
        <w:rPr>
          <w:rFonts w:ascii="Courier New" w:hAnsi="Courier New"/>
          <w:sz w:val="24"/>
        </w:rPr>
        <w:tab/>
        <w:t>The Post-Interim Settlement does not address the following promising options that have been agreed upon as a part of the Comprehensive Settlement:</w:t>
      </w:r>
    </w:p>
    <w:p>
      <w:pPr>
        <w:pStyle w:val="Normal"/>
        <w:tabs>
          <w:tab w:val="left" w:pos="720" w:leader="none"/>
          <w:tab w:val="left" w:pos="1440" w:leader="none"/>
        </w:tabs>
        <w:bidi w:val="0"/>
        <w:ind w:hanging="1440" w:start="1440"/>
        <w:jc w:val="start"/>
        <w:rPr>
          <w:rFonts w:ascii="Courier New" w:hAnsi="Courier New"/>
          <w:sz w:val="24"/>
        </w:rPr>
      </w:pPr>
      <w:r>
        <w:rPr>
          <w:rFonts w:ascii="Courier New" w:hAnsi="Courier New"/>
          <w:sz w:val="24"/>
        </w:rPr>
        <w:tab/>
        <w:t>•</w:t>
        <w:tab/>
        <w:t>Eliminate the cap on core customer participation in the core aggregation program.</w:t>
      </w:r>
    </w:p>
    <w:p>
      <w:pPr>
        <w:pStyle w:val="Normal"/>
        <w:bidi w:val="0"/>
        <w:spacing w:lineRule="atLeast" w:line="480"/>
        <w:jc w:val="start"/>
        <w:rPr>
          <w:rFonts w:ascii="Courier New" w:hAnsi="Courier New"/>
          <w:sz w:val="24"/>
        </w:rPr>
      </w:pPr>
      <w:r>
        <w:rPr>
          <w:rFonts w:ascii="Courier New" w:hAnsi="Courier New"/>
          <w:sz w:val="24"/>
        </w:rPr>
        <w:tab/>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Reduce the minimum volume threshold for a core aggregation group.</w:t>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Eliminate the core subscription program.</w:t>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Re-examine the utility's role in core procurement.</w:t>
      </w:r>
    </w:p>
    <w:p>
      <w:pPr>
        <w:pStyle w:val="Normal"/>
        <w:tabs>
          <w:tab w:val="left" w:pos="720" w:leader="none"/>
          <w:tab w:val="left" w:pos="1440" w:leader="none"/>
        </w:tabs>
        <w:bidi w:val="0"/>
        <w:ind w:hanging="1440" w:start="1440"/>
        <w:jc w:val="start"/>
        <w:rPr>
          <w:rFonts w:ascii="Courier New" w:hAnsi="Courier New"/>
          <w:sz w:val="24"/>
        </w:rPr>
      </w:pPr>
      <w:r>
        <w:rPr>
          <w:rFonts w:ascii="Courier New" w:hAnsi="Courier New"/>
          <w:sz w:val="24"/>
        </w:rPr>
        <w:tab/>
        <w:t>•</w:t>
        <w:tab/>
        <w:t>Provide competitive billing options for customers similar to the options that are offered in the electric industry.</w:t>
      </w:r>
    </w:p>
    <w:p>
      <w:pPr>
        <w:pStyle w:val="Normal"/>
        <w:bidi w:val="0"/>
        <w:jc w:val="start"/>
        <w:rPr>
          <w:rFonts w:ascii="Courier New" w:hAnsi="Courier New"/>
          <w:sz w:val="24"/>
        </w:rPr>
      </w:pPr>
      <w:r>
        <w:rPr>
          <w:rFonts w:ascii="Courier New" w:hAnsi="Courier New"/>
          <w:sz w:val="24"/>
        </w:rPr>
      </w:r>
    </w:p>
    <w:p>
      <w:pPr>
        <w:pStyle w:val="Normal"/>
        <w:tabs>
          <w:tab w:val="left" w:pos="720" w:leader="none"/>
          <w:tab w:val="left" w:pos="1440" w:leader="none"/>
        </w:tabs>
        <w:bidi w:val="0"/>
        <w:spacing w:lineRule="atLeast" w:line="480"/>
        <w:ind w:hanging="1440" w:start="1440"/>
        <w:jc w:val="start"/>
        <w:rPr>
          <w:rFonts w:ascii="Courier New" w:hAnsi="Courier New"/>
          <w:sz w:val="24"/>
        </w:rPr>
      </w:pPr>
      <w:r>
        <w:rPr>
          <w:rFonts w:ascii="Courier New" w:hAnsi="Courier New"/>
          <w:sz w:val="24"/>
        </w:rPr>
        <w:tab/>
        <w:t>•</w:t>
        <w:tab/>
        <w:t>Provide for competitive metering technologies.</w:t>
      </w:r>
    </w:p>
    <w:p>
      <w:pPr>
        <w:pStyle w:val="Normal"/>
        <w:bidi w:val="0"/>
        <w:spacing w:lineRule="atLeast" w:line="480"/>
        <w:jc w:val="start"/>
        <w:rPr>
          <w:rFonts w:ascii="Courier New" w:hAnsi="Courier New"/>
          <w:sz w:val="24"/>
        </w:rPr>
      </w:pPr>
      <w:r>
        <w:rPr>
          <w:rFonts w:ascii="Courier New" w:hAnsi="Courier New"/>
          <w:sz w:val="24"/>
        </w:rPr>
        <w:tab/>
        <w:t>I described, in my prepared direct testimony, how the Comprehensive Settlement addresses each of the above-referenced promising options.  The agreed upon resolution of each of these items is intended to expand competitive opportunities for all customers.  Resolution of these items also eliminates cross-subsidies and duplicative payments that currently exist for competitive services that remain bundled with the costs of the utilities' monopoly services.</w:t>
      </w:r>
    </w:p>
    <w:p>
      <w:pPr>
        <w:pStyle w:val="Normal"/>
        <w:bidi w:val="0"/>
        <w:spacing w:lineRule="atLeast" w:line="480"/>
        <w:jc w:val="start"/>
        <w:rPr>
          <w:rFonts w:ascii="Courier New" w:hAnsi="Courier New"/>
          <w:sz w:val="24"/>
        </w:rPr>
      </w:pPr>
      <w:r>
        <w:rPr>
          <w:rFonts w:ascii="Courier New" w:hAnsi="Courier New"/>
          <w:sz w:val="24"/>
        </w:rPr>
        <w:tab/>
        <w:t>By ignoring these promising options, the Post-Interim Settlement denies opportunities that are required by core customers and their suppliers in order to participate effectively in the competitive marketplace.  The supporters of the Post-Interim Settlement present no basis for excluding these provisions from a comprehensive settlement of the issues in this case.</w:t>
      </w:r>
      <w:bookmarkStart w:id="0" w:name="BM_1_"/>
      <w:bookmarkEnd w:id="0"/>
    </w:p>
    <w:p>
      <w:pPr>
        <w:sectPr>
          <w:footnotePr>
            <w:numFmt w:val="decimal"/>
            <w:numRestart w:val="eachSect"/>
          </w:footnotePr>
          <w:type w:val="continuous"/>
          <w:pgSz w:w="12240" w:h="15840"/>
          <w:pgMar w:left="2016" w:right="720" w:gutter="0" w:header="0" w:top="1440" w:footer="1200" w:bottom="1257"/>
          <w:formProt w:val="false"/>
          <w:textDirection w:val="lrTb"/>
          <w:docGrid w:type="default" w:linePitch="100" w:charSpace="0"/>
        </w:sectPr>
      </w:pPr>
    </w:p>
    <w:p>
      <w:pPr>
        <w:pStyle w:val="Normal"/>
        <w:bidi w:val="0"/>
        <w:spacing w:lineRule="atLeast" w:line="480"/>
        <w:jc w:val="start"/>
        <w:rPr>
          <w:rFonts w:ascii="Courier New" w:hAnsi="Courier New"/>
          <w:sz w:val="24"/>
        </w:rPr>
      </w:pPr>
      <w:r>
        <w:rPr>
          <w:rFonts w:ascii="Courier New" w:hAnsi="Courier New"/>
          <w:sz w:val="24"/>
        </w:rPr>
        <w:tab/>
        <w:t xml:space="preserve">Finally, I strongly disagree with Southwest Gas Corporation’s witness, Larry L. Black, who states at page 16 of his prepared direct testimony that eliminating the core aggregation thresholds “would provide the most expedient option to expand procurement options for customers.”  The fact of the matter is that elimination of the core aggregation thresholds would be a useless exercise if the Commission failed to approve the unbundled service options that are an integral part of the Comprehensive Settlement.  Unless core customers can achieve meaningful cost savings as a result of participating in the core aggregation program, there will be little reason for the Commission to be concerned about removing the current “cap” on the level of core customer participation in the core aggregation program. </w:t>
      </w:r>
    </w:p>
    <w:p>
      <w:pPr>
        <w:pStyle w:val="Normal"/>
        <w:bidi w:val="0"/>
        <w:spacing w:lineRule="atLeast" w:line="480"/>
        <w:jc w:val="start"/>
        <w:rPr>
          <w:rFonts w:ascii="Courier New" w:hAnsi="Courier New"/>
          <w:sz w:val="24"/>
        </w:rPr>
      </w:pPr>
      <w:r>
        <w:rPr>
          <w:rFonts w:ascii="Courier New" w:hAnsi="Courier New"/>
          <w:sz w:val="24"/>
        </w:rPr>
      </w:r>
    </w:p>
    <w:p>
      <w:pPr>
        <w:pStyle w:val="Normal"/>
        <w:bidi w:val="0"/>
        <w:spacing w:lineRule="atLeast" w:line="480"/>
        <w:jc w:val="start"/>
        <w:rPr>
          <w:rFonts w:ascii="Courier New" w:hAnsi="Courier New"/>
          <w:sz w:val="24"/>
        </w:rPr>
      </w:pPr>
      <w:r>
        <w:rPr>
          <w:rFonts w:ascii="Courier New" w:hAnsi="Courier New"/>
          <w:sz w:val="24"/>
        </w:rPr>
      </w:r>
    </w:p>
    <w:sectPr>
      <w:footnotePr>
        <w:numFmt w:val="decimal"/>
        <w:numRestart w:val="eachSect"/>
      </w:footnotePr>
      <w:type w:val="continuous"/>
      <w:pgSz w:w="12240" w:h="15840"/>
      <w:pgMar w:left="2016" w:right="720" w:gutter="0" w:header="0" w:top="1440" w:footer="1200" w:bottom="125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24"/>
      </w:rPr>
    </w:pPr>
    <w:r>
      <w:rPr>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rFonts w:ascii="Courier New" w:hAnsi="Courier New"/>
          <w:sz w:val="24"/>
          <w:u w:val="single"/>
        </w:rPr>
        <w:t>See</w:t>
      </w:r>
      <w:r>
        <w:rPr>
          <w:rFonts w:ascii="Courier New" w:hAnsi="Courier New"/>
          <w:sz w:val="24"/>
        </w:rPr>
        <w:t xml:space="preserve"> Comprehensive Settlement (Ex. 1) at Section 5.3.3.5 (pp. 55-56).</w:t>
      </w:r>
    </w:p>
  </w:footnote>
  <w:footnote w:id="3">
    <w:p>
      <w:pPr>
        <w:pStyle w:val="FootnoteText"/>
        <w:bidi w:val="0"/>
        <w:jc w:val="start"/>
        <w:rPr/>
      </w:pPr>
      <w:r>
        <w:rPr>
          <w:rStyle w:val="FootnoteCharacters"/>
        </w:rPr>
        <w:footnoteRef/>
      </w:r>
      <w:r>
        <w:rPr>
          <w:rFonts w:ascii="Courier New" w:hAnsi="Courier New"/>
          <w:sz w:val="24"/>
          <w:u w:val="single"/>
        </w:rPr>
        <w:t>See</w:t>
      </w:r>
      <w:r>
        <w:rPr>
          <w:rFonts w:ascii="Courier New" w:hAnsi="Courier New"/>
          <w:sz w:val="24"/>
        </w:rPr>
        <w:t xml:space="preserve"> Post-Interim Settlement (Ex. __) at Section 4.3.1 (p. 7).  The Post-Interim Settlement also provides that the stranded costs that are allocated to bundled core sales customers shall be allocated between residential customers and nonresidential customers in proportion to the customer groups' participation in the core transportation program.  </w:t>
      </w:r>
      <w:r>
        <w:rPr>
          <w:rFonts w:ascii="Courier New" w:hAnsi="Courier New"/>
          <w:sz w:val="24"/>
          <w:u w:val="single"/>
        </w:rPr>
        <w:t>See</w:t>
      </w:r>
      <w:r>
        <w:rPr>
          <w:rFonts w:ascii="Courier New" w:hAnsi="Courier New"/>
          <w:sz w:val="24"/>
        </w:rPr>
        <w:t xml:space="preserve"> Post-Interim Settlement (Ex. __) at Section 4.3.2 (p. 7).</w:t>
      </w:r>
    </w:p>
  </w:footnote>
  <w:footnote w:id="4">
    <w:p>
      <w:pPr>
        <w:pStyle w:val="FootnoteText"/>
        <w:bidi w:val="0"/>
        <w:jc w:val="start"/>
        <w:rPr/>
      </w:pPr>
      <w:r>
        <w:rPr>
          <w:rStyle w:val="FootnoteCharacters"/>
        </w:rPr>
        <w:footnoteRef/>
      </w:r>
      <w:r>
        <w:rPr>
          <w:rFonts w:ascii="Courier New" w:hAnsi="Courier New"/>
          <w:sz w:val="24"/>
          <w:u w:val="single"/>
        </w:rPr>
        <w:t>See</w:t>
      </w:r>
      <w:r>
        <w:rPr>
          <w:rFonts w:ascii="Courier New" w:hAnsi="Courier New"/>
          <w:sz w:val="24"/>
        </w:rPr>
        <w:t xml:space="preserve"> Appendix A.</w:t>
      </w:r>
    </w:p>
  </w:footnote>
  <w:footnote w:id="5">
    <w:p>
      <w:pPr>
        <w:pStyle w:val="FootnoteText"/>
        <w:bidi w:val="0"/>
        <w:jc w:val="start"/>
        <w:rPr/>
      </w:pPr>
      <w:r>
        <w:rPr>
          <w:rStyle w:val="FootnoteCharacters"/>
        </w:rPr>
        <w:footnoteRef/>
      </w:r>
      <w:r>
        <w:rPr>
          <w:rFonts w:ascii="Courier New" w:hAnsi="Courier New"/>
          <w:sz w:val="24"/>
        </w:rPr>
        <w:t>The projected cost shift of $7.6 million, which was calculated by SoCalGas, is based upon an assumed market value for SoCalGas' released interstate capacity of 40 percent of the as-billed rate.  The assumption respecting the market value of capacity is based upon the estimate provided by Ms. Yap in Exhibit __, p. __.</w:t>
      </w:r>
    </w:p>
  </w:footnote>
  <w:footnote w:id="6">
    <w:p>
      <w:pPr>
        <w:pStyle w:val="FootnoteText"/>
        <w:bidi w:val="0"/>
        <w:jc w:val="start"/>
        <w:rPr/>
      </w:pPr>
      <w:r>
        <w:rPr>
          <w:rStyle w:val="FootnoteCharacters"/>
        </w:rPr>
        <w:footnoteRef/>
      </w:r>
      <w:r>
        <w:rPr>
          <w:rFonts w:ascii="Courier New" w:hAnsi="Courier New"/>
          <w:sz w:val="24"/>
        </w:rPr>
        <w:t>Under both the Comprehensive Settlement and the Post-Interim Settlement, the core class' responsibility for a portion of the ITCA ends on December 31, 2001.  Under both the Comprehensive Settlement and the Post-Interim Settlement, all stranded costs associated with core interstate unbundling are allocated exclusively to the core class effective January 1, 2002.</w:t>
      </w:r>
    </w:p>
  </w:footnote>
  <w:footnote w:id="7">
    <w:p>
      <w:pPr>
        <w:pStyle w:val="FootnoteText"/>
        <w:bidi w:val="0"/>
        <w:jc w:val="start"/>
        <w:rPr/>
      </w:pPr>
      <w:r>
        <w:rPr>
          <w:rStyle w:val="FootnoteCharacters"/>
        </w:rPr>
        <w:footnoteRef/>
      </w:r>
      <w:r>
        <w:rPr>
          <w:rFonts w:ascii="Courier New" w:hAnsi="Courier New"/>
          <w:sz w:val="24"/>
        </w:rPr>
        <w:t>Appendix A is a chart that shows the stranded cost impact, under both the Comprehensive Settlement and the Post-Interim Settlement, at levels of core customer participation in the core aggregation program from 5 percent to 30 percent of the core market.  This chart is based upon information provided by SoCalGas.  The numbers in the chart reflect the assumption that at every level of core customer participation, 85 percent of the core transport-only customers are nonresidential, and 15 percent of the core transport-only customers are residential.  This is the current breakdown of core customer participation in the core transport-only program.</w:t>
      </w:r>
    </w:p>
  </w:footnote>
  <w:footnote w:id="8">
    <w:p>
      <w:pPr>
        <w:pStyle w:val="FootnoteText"/>
        <w:bidi w:val="0"/>
        <w:jc w:val="start"/>
        <w:rPr/>
      </w:pPr>
      <w:r>
        <w:rPr>
          <w:rStyle w:val="FootnoteCharacters"/>
        </w:rPr>
        <w:footnoteRef/>
      </w:r>
      <w:r>
        <w:rPr>
          <w:rFonts w:ascii="Courier New" w:hAnsi="Courier New"/>
          <w:sz w:val="24"/>
        </w:rPr>
        <w:t xml:space="preserve">At the present time, 85 percent of the participants in the transport-only program (by volume) are nonresidential customers, and 15 percent of the participants (by volume) are residential customers.  Assuming that participation in the core transportation program expands among core customers in the same proportion, the nonresidential customers that choose to remain as bundled sales customers will bear an exaggerated and disproportionate share of the stranded costs arising from core interstate unbundling.  At 25 percent core customer participation in the core aggregation program, a bundled nonresidential sales customer would bear a stranded cost charge of  $0.586 per dth under the Post-Interim Settlement.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Outline-tab">
    <w:name w:val="1Outline-tab"/>
    <w:qFormat/>
    <w:pPr>
      <w:widowControl w:val="false"/>
      <w:tabs>
        <w:tab w:val="left" w:pos="720" w:leader="none"/>
      </w:tabs>
      <w:bidi w:val="0"/>
      <w:spacing w:lineRule="atLeast" w:line="0"/>
      <w:ind w:hanging="1296" w:start="1296"/>
      <w:jc w:val="both"/>
    </w:pPr>
    <w:rPr>
      <w:rFonts w:ascii="Liberation Serif" w:hAnsi="Liberation Serif" w:eastAsia="Liberation Sans" w:cs="NotoSans NF"/>
      <w:color w:val="auto"/>
      <w:kern w:val="2"/>
      <w:sz w:val="24"/>
      <w:szCs w:val="24"/>
      <w:lang w:val="en-CA" w:eastAsia="zh-CN" w:bidi="hi-IN"/>
    </w:rPr>
  </w:style>
  <w:style w:type="paragraph" w:styleId="2Outline-tab">
    <w:name w:val="2Outline-tab"/>
    <w:qFormat/>
    <w:pPr>
      <w:widowControl w:val="false"/>
      <w:tabs>
        <w:tab w:val="left" w:pos="720" w:leader="none"/>
        <w:tab w:val="left" w:pos="1440" w:leader="none"/>
      </w:tabs>
      <w:bidi w:val="0"/>
      <w:spacing w:lineRule="atLeast" w:line="0"/>
      <w:ind w:hanging="2016" w:start="2016"/>
      <w:jc w:val="both"/>
    </w:pPr>
    <w:rPr>
      <w:rFonts w:ascii="Liberation Serif" w:hAnsi="Liberation Serif" w:eastAsia="Liberation Sans" w:cs="NotoSans NF"/>
      <w:color w:val="auto"/>
      <w:kern w:val="2"/>
      <w:sz w:val="24"/>
      <w:szCs w:val="24"/>
      <w:lang w:val="en-CA" w:eastAsia="zh-CN" w:bidi="hi-IN"/>
    </w:rPr>
  </w:style>
  <w:style w:type="paragraph" w:styleId="3Outline-tab">
    <w:name w:val="3Outline-tab"/>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4Outline-tab">
    <w:name w:val="4Outline-tab"/>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5Outline-tab">
    <w:name w:val="5Outline-tab"/>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6Outline-tab">
    <w:name w:val="6Outline-tab"/>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7Outline-tab">
    <w:name w:val="7Outline-tab"/>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8Outline-tab">
    <w:name w:val="8Outline-tab"/>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1FSStyle">
    <w:name w:val="1F&amp;S Style"/>
    <w:qFormat/>
    <w:pPr>
      <w:widowControl w:val="false"/>
      <w:tabs>
        <w:tab w:val="left" w:pos="720" w:leader="none"/>
      </w:tabs>
      <w:bidi w:val="0"/>
      <w:spacing w:lineRule="atLeast" w:line="0"/>
      <w:ind w:hanging="1296" w:start="1296"/>
      <w:jc w:val="both"/>
    </w:pPr>
    <w:rPr>
      <w:rFonts w:ascii="Liberation Serif" w:hAnsi="Liberation Serif" w:eastAsia="Liberation Sans" w:cs="NotoSans NF"/>
      <w:color w:val="auto"/>
      <w:kern w:val="2"/>
      <w:sz w:val="24"/>
      <w:szCs w:val="24"/>
      <w:lang w:val="en-CA" w:eastAsia="zh-CN" w:bidi="hi-IN"/>
    </w:rPr>
  </w:style>
  <w:style w:type="paragraph" w:styleId="2FSStyle">
    <w:name w:val="2F&amp;S Style"/>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3FSStyle">
    <w:name w:val="3F&amp;S Style"/>
    <w:qFormat/>
    <w:pPr>
      <w:widowControl w:val="false"/>
      <w:tabs>
        <w:tab w:val="left" w:pos="720" w:leader="none"/>
        <w:tab w:val="left" w:pos="1440" w:leader="none"/>
      </w:tabs>
      <w:bidi w:val="0"/>
      <w:spacing w:lineRule="atLeast" w:line="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4FSStyle">
    <w:name w:val="4F&amp;S Style"/>
    <w:qFormat/>
    <w:pPr>
      <w:widowControl w:val="false"/>
      <w:tabs>
        <w:tab w:val="left" w:pos="720" w:leader="none"/>
        <w:tab w:val="left" w:pos="1440" w:leader="none"/>
        <w:tab w:val="left" w:pos="2160" w:leader="none"/>
      </w:tabs>
      <w:bidi w:val="0"/>
      <w:spacing w:lineRule="atLeast" w:line="0"/>
      <w:ind w:hanging="720" w:start="2160"/>
      <w:jc w:val="both"/>
    </w:pPr>
    <w:rPr>
      <w:rFonts w:ascii="Liberation Serif" w:hAnsi="Liberation Serif" w:eastAsia="Liberation Sans" w:cs="NotoSans NF"/>
      <w:color w:val="auto"/>
      <w:kern w:val="2"/>
      <w:sz w:val="24"/>
      <w:szCs w:val="24"/>
      <w:lang w:val="en-CA" w:eastAsia="zh-CN" w:bidi="hi-IN"/>
    </w:rPr>
  </w:style>
  <w:style w:type="paragraph" w:styleId="5FSStyle">
    <w:name w:val="5F&amp;S Style"/>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FSStyle">
    <w:name w:val="6F&amp;S Style"/>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FSStyle">
    <w:name w:val="7F&amp;S Style"/>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FSStyle">
    <w:name w:val="8F&amp;S Style"/>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