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jc w:val="start"/>
        <w:rPr/>
      </w:pPr>
      <w:r>
        <w:rPr/>
        <w:t>Approved RCRs</w:t>
      </w:r>
    </w:p>
    <w:p>
      <w:pPr>
        <w:pStyle w:val="Normal"/>
        <w:widowControl/>
        <w:suppressAutoHyphens w:val="true"/>
        <w:bidi w:val="0"/>
        <w:jc w:val="start"/>
        <w:rPr/>
      </w:pPr>
      <w:r>
        <w:rPr/>
      </w:r>
    </w:p>
    <w:p>
      <w:pPr>
        <w:pStyle w:val="Normal"/>
        <w:widowControl/>
        <w:suppressAutoHyphens w:val="true"/>
        <w:bidi w:val="0"/>
        <w:jc w:val="start"/>
        <w:rPr/>
      </w:pPr>
      <w:r>
        <w:rPr/>
        <w:t xml:space="preserve">Valuation of Remaining Generation Assets:    </w:t>
      </w:r>
    </w:p>
    <w:p>
      <w:pPr>
        <w:pStyle w:val="Normal"/>
        <w:widowControl/>
        <w:suppressAutoHyphens w:val="true"/>
        <w:bidi w:val="0"/>
        <w:jc w:val="start"/>
        <w:rPr/>
      </w:pPr>
      <w:r>
        <w:rPr/>
      </w:r>
    </w:p>
    <w:p>
      <w:pPr>
        <w:pStyle w:val="Normal"/>
        <w:widowControl/>
        <w:suppressAutoHyphens w:val="true"/>
        <w:bidi w:val="0"/>
        <w:jc w:val="start"/>
        <w:rPr/>
      </w:pPr>
      <w:r>
        <w:rPr/>
        <w:t>There are likely to be two phases to the proceeding.    The first will be to assign an interim value to the remaining generation assets held by PG&amp;E so as to allow for a timely end to the rate freeze.    The second phase will deal with the auction protocols and the ultimate true-up of PG&amp;E’s assets resulting from the auction process with the interim value.    In the second phase, Enron is participating through IEP.    The interest to EES is to have a timely roll-off of CTC so as to protect value of existing deals with customers.    ENA also has an interest in being able to approach government/public agencies who are under contract with PG&amp;E and buying out of those contracts.    Enron’s very public profile on this issue, along with our coalition work in Sacramento, has provided a lot of good will with potential customers of ENA, where ENA would partner with agencies interested in owning these assets and ENA would operate on their behalf.    ENA also has an interest in working with agencies who currently own their facilities but are interested in buying out of their contracts with PG&amp;E so that they can realize the profits of the marketplace, that are in excess of their current contract.    Relative to the latter, while it may be possible to establish a value for the contracts in the valuation proceeding, we have advised ENA, that it is unlikely that either the Commission or the Legislature will interfere with the contract.    Therefore, PG&amp;E must be willing party to negotiate a buy-out.</w:t>
      </w:r>
    </w:p>
    <w:p>
      <w:pPr>
        <w:pStyle w:val="Normal"/>
        <w:widowControl/>
        <w:suppressAutoHyphens w:val="true"/>
        <w:bidi w:val="0"/>
        <w:jc w:val="start"/>
        <w:rPr/>
      </w:pPr>
      <w:r>
        <w:rPr/>
      </w:r>
    </w:p>
    <w:p>
      <w:pPr>
        <w:pStyle w:val="Normal"/>
        <w:widowControl/>
        <w:suppressAutoHyphens w:val="true"/>
        <w:bidi w:val="0"/>
        <w:jc w:val="start"/>
        <w:rPr/>
      </w:pPr>
      <w:r>
        <w:rPr/>
        <w:t xml:space="preserve">Revenue Cycle Services/Direct Access Service Fees:    </w:t>
      </w:r>
    </w:p>
    <w:p>
      <w:pPr>
        <w:pStyle w:val="Normal"/>
        <w:widowControl/>
        <w:suppressAutoHyphens w:val="true"/>
        <w:bidi w:val="0"/>
        <w:jc w:val="start"/>
        <w:rPr/>
      </w:pPr>
      <w:r>
        <w:rPr/>
      </w:r>
    </w:p>
    <w:p>
      <w:pPr>
        <w:pStyle w:val="Normal"/>
        <w:widowControl/>
        <w:suppressAutoHyphens w:val="true"/>
        <w:bidi w:val="0"/>
        <w:jc w:val="start"/>
        <w:rPr/>
      </w:pPr>
      <w:r>
        <w:rPr/>
        <w:t xml:space="preserve">All three utilities were ordered to submit long-run marginal cost filings relative to providing revenue cycle services.      In addition, the utilities were ordered to submit their application for assessing fees for providing specific direct access services to direct access customers or ESPs.    The utilities are currently providing credits on a short-run avoided cost basis.    The expectation is that this case will result in a higher level of credits or unbundling of the costs from bundled rates.    The importance of this case is to identify the cost of the UDC in performing metering and billing services apart from the cost of providing distribution service.    The benefit will be to provide additional value to EES on existing contracts where Enron provides billing/metering services (CSC) and to allow for a faster return on investment for new customers.    </w:t>
      </w:r>
    </w:p>
    <w:p>
      <w:pPr>
        <w:pStyle w:val="Normal"/>
        <w:widowControl/>
        <w:suppressAutoHyphens w:val="true"/>
        <w:bidi w:val="0"/>
        <w:jc w:val="start"/>
        <w:rPr/>
      </w:pPr>
      <w:r>
        <w:rPr/>
      </w:r>
    </w:p>
    <w:p>
      <w:pPr>
        <w:pStyle w:val="Normal"/>
        <w:widowControl/>
        <w:suppressAutoHyphens w:val="true"/>
        <w:bidi w:val="0"/>
        <w:jc w:val="start"/>
        <w:rPr/>
      </w:pPr>
      <w:r>
        <w:rPr/>
        <w:t>On the service fee portion of the case, utilities submitted significant number of categories under which they would charge ESPS or their customers.    There is also a significant range of charges for similar services.    Many charges may be eliminated as duplicative of 376 costs.    We are hoping to raise issues relative to the bi-directional nature of resolving issues with the UDC so that both parties incur costs as part of the normal course of business.    We will also challenge UDC discretionary charges, where they believe they do not need CPUC approval because the markets are contestable.    This is important to Enron so that we are not hit with excessive charges from the UDC in providing service within the respective territories.</w:t>
      </w:r>
    </w:p>
    <w:p>
      <w:pPr>
        <w:pStyle w:val="Normal"/>
        <w:widowControl/>
        <w:suppressAutoHyphens w:val="true"/>
        <w:bidi w:val="0"/>
        <w:jc w:val="start"/>
        <w:rPr/>
      </w:pPr>
      <w:r>
        <w:rPr/>
      </w:r>
    </w:p>
    <w:p>
      <w:pPr>
        <w:pStyle w:val="Normal"/>
        <w:widowControl/>
        <w:suppressAutoHyphens w:val="true"/>
        <w:bidi w:val="0"/>
        <w:jc w:val="start"/>
        <w:rPr/>
      </w:pPr>
      <w:r>
        <w:rPr/>
        <w:t xml:space="preserve">PG&amp;E’s General Rate Case (Phase 1):    </w:t>
      </w:r>
    </w:p>
    <w:p>
      <w:pPr>
        <w:pStyle w:val="Normal"/>
        <w:widowControl/>
        <w:suppressAutoHyphens w:val="true"/>
        <w:bidi w:val="0"/>
        <w:jc w:val="start"/>
        <w:rPr/>
      </w:pPr>
      <w:r>
        <w:rPr/>
      </w:r>
    </w:p>
    <w:p>
      <w:pPr>
        <w:pStyle w:val="Normal"/>
        <w:widowControl/>
        <w:suppressAutoHyphens w:val="true"/>
        <w:bidi w:val="0"/>
        <w:jc w:val="start"/>
        <w:rPr/>
      </w:pPr>
      <w:r>
        <w:rPr/>
        <w:t>There is a possibility that PG&amp;E’s GRC will not be voted out by the Commission by year-end.    As such, we are actively lobbying the Commission, the Legislature and the Governor’s Office on this issue.    We are also coordinating with other consumer groups and working with the local newspapers.      PG&amp;E has asked for a total annual revenue requirement increase for gas and electricity of over $1 billion.    This has the potential of extending the rate freeze and resulting in higher overall rates after the rate freeze ends.    This poses a significant threat to the value of existing deals.    Upward pressure on the proposed decision has the affect of extending the rate freeze for several months.    Also, it is likely that the GRC revenue requirement will be the stating point for a PBR.    Therefore, the affects of the decision in this case has the potential of influencing rates for several years.</w:t>
      </w:r>
    </w:p>
    <w:p>
      <w:pPr>
        <w:pStyle w:val="Normal"/>
        <w:widowControl/>
        <w:suppressAutoHyphens w:val="true"/>
        <w:bidi w:val="0"/>
        <w:jc w:val="start"/>
        <w:rPr/>
      </w:pPr>
      <w:r>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0"/>
      <w:szCs w:val="24"/>
      <w:lang w:val="en-CA"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0</Words>
  <Characters>0</Characters>
  <CharactersWithSpaces>0</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1999-11-29T17:29:00Z</dcterms:created>
  <dc:creator>Mona L Petrochko</dc:creator>
  <dc:description/>
  <dc:language>en-CA</dc:language>
  <cp:lastModifiedBy/>
  <dcterms:modified xsi:type="dcterms:W3CDTF">1999-11-30T14:17:00Z</dcterms:modified>
  <cp:revision>2</cp:revision>
  <dc:subject/>
  <dc:title>Approved RCRs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Mona L Petrochko</vt:lpwstr>
  </property>
</Properties>
</file>