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jc w:val="start"/>
        <w:rPr>
          <w:rFonts w:ascii="Times New Roman" w:hAnsi="Times New Roman"/>
        </w:rPr>
      </w:pPr>
      <w:r>
        <w:rPr/>
        <w:t>RETAIL RATE DESIGN</w:t>
      </w:r>
    </w:p>
    <w:p>
      <w:pPr>
        <w:pStyle w:val="Normal"/>
        <w:widowControl/>
        <w:suppressAutoHyphens w:val="true"/>
        <w:bidi w:val="0"/>
        <w:jc w:val="start"/>
        <w:rPr/>
      </w:pPr>
      <w:r>
        <w:rPr/>
      </w:r>
    </w:p>
    <w:p>
      <w:pPr>
        <w:pStyle w:val="Normal"/>
        <w:widowControl/>
        <w:suppressAutoHyphens w:val="true"/>
        <w:bidi w:val="0"/>
        <w:jc w:val="start"/>
        <w:rPr/>
      </w:pPr>
      <w:r>
        <w:rPr/>
        <w:t>The following information provides insights into the various types of rate designs and how various load management techniques benefit from various rate designs.</w:t>
      </w:r>
    </w:p>
    <w:p>
      <w:pPr>
        <w:pStyle w:val="Normal"/>
        <w:widowControl/>
        <w:suppressAutoHyphens w:val="true"/>
        <w:bidi w:val="0"/>
        <w:jc w:val="start"/>
        <w:rPr/>
      </w:pPr>
      <w:r>
        <w:rPr/>
      </w:r>
    </w:p>
    <w:p>
      <w:pPr>
        <w:pStyle w:val="Heading3"/>
        <w:bidi w:val="0"/>
        <w:jc w:val="start"/>
        <w:rPr>
          <w:rFonts w:ascii="Times New Roman" w:hAnsi="Times New Roman"/>
        </w:rPr>
      </w:pPr>
      <w:r>
        <w:rPr/>
        <w:t>Load Management Definitions</w:t>
      </w:r>
    </w:p>
    <w:p>
      <w:pPr>
        <w:pStyle w:val="Normal"/>
        <w:widowControl/>
        <w:suppressAutoHyphens w:val="true"/>
        <w:bidi w:val="0"/>
        <w:jc w:val="start"/>
        <w:rPr/>
      </w:pPr>
      <w:r>
        <w:rPr/>
      </w:r>
    </w:p>
    <w:p>
      <w:pPr>
        <w:pStyle w:val="BodyText2"/>
        <w:bidi w:val="0"/>
        <w:jc w:val="start"/>
        <w:rPr>
          <w:rFonts w:ascii="Times New Roman" w:hAnsi="Times New Roman"/>
        </w:rPr>
      </w:pPr>
      <w:r>
        <w:rPr/>
        <w:t>Shave</w:t>
        <w:tab/>
        <w:t>To reduce a customer’s grid    metered maximum demand and consumption without changing the customer’s actual consumption.    This may be achieved with on-site generation.    Rate Design for Standby Service will impact the economics.</w:t>
      </w:r>
    </w:p>
    <w:p>
      <w:pPr>
        <w:pStyle w:val="Normal"/>
        <w:bidi w:val="0"/>
        <w:ind w:hanging="1440" w:start="1440"/>
        <w:jc w:val="start"/>
        <w:rPr/>
      </w:pPr>
      <w:r>
        <w:rPr/>
      </w:r>
    </w:p>
    <w:p>
      <w:pPr>
        <w:pStyle w:val="Normal"/>
        <w:bidi w:val="0"/>
        <w:ind w:hanging="1440" w:start="1440"/>
        <w:jc w:val="start"/>
        <w:rPr/>
      </w:pPr>
      <w:r>
        <w:rPr/>
        <w:t>Shift</w:t>
        <w:tab/>
        <w:t>To move a customer’s metered maximum demand and consumption from a more expensive time-of-use period to a less expensive time-of-use period, without reducing the customer’s maximum demand or total consumption.    This might occur naturally for some industries.</w:t>
      </w:r>
    </w:p>
    <w:p>
      <w:pPr>
        <w:pStyle w:val="Normal"/>
        <w:bidi w:val="0"/>
        <w:ind w:hanging="1440" w:start="1440"/>
        <w:jc w:val="start"/>
        <w:rPr/>
      </w:pPr>
      <w:r>
        <w:rPr/>
      </w:r>
    </w:p>
    <w:p>
      <w:pPr>
        <w:pStyle w:val="Normal"/>
        <w:bidi w:val="0"/>
        <w:ind w:hanging="1440" w:start="1440"/>
        <w:jc w:val="start"/>
        <w:rPr/>
      </w:pPr>
      <w:r>
        <w:rPr/>
        <w:t>Shape</w:t>
        <w:tab/>
        <w:t>To improve a customer’s load factor by reducing a customer’s metered maximum demand without necessarily reducing the customer’s metered consumption.    This may be achieved by installing chillers.</w:t>
      </w:r>
    </w:p>
    <w:p>
      <w:pPr>
        <w:pStyle w:val="Normal"/>
        <w:bidi w:val="0"/>
        <w:ind w:hanging="1440" w:start="1440"/>
        <w:jc w:val="start"/>
        <w:rPr/>
      </w:pPr>
      <w:r>
        <w:rPr/>
      </w:r>
    </w:p>
    <w:p>
      <w:pPr>
        <w:pStyle w:val="Normal"/>
        <w:bidi w:val="0"/>
        <w:ind w:hanging="1440" w:start="1440"/>
        <w:jc w:val="start"/>
        <w:rPr/>
      </w:pPr>
      <w:r>
        <w:rPr/>
        <w:t>Shed or Shear</w:t>
        <w:tab/>
        <w:t>To reduce a customer’s metered consumption without reducing the customer’s metered maximum demand.    This may be achieved with energy efficient facilities.</w:t>
      </w:r>
    </w:p>
    <w:p>
      <w:pPr>
        <w:pStyle w:val="Normal"/>
        <w:bidi w:val="0"/>
        <w:ind w:hanging="1440" w:start="1440"/>
        <w:jc w:val="start"/>
        <w:rPr/>
      </w:pPr>
      <w:r>
        <w:rPr/>
      </w:r>
    </w:p>
    <w:p>
      <w:pPr>
        <w:pStyle w:val="Normal"/>
        <w:bidi w:val="0"/>
        <w:ind w:hanging="1440" w:start="1440"/>
        <w:jc w:val="start"/>
        <w:rPr/>
      </w:pPr>
      <w:r>
        <w:rPr/>
        <w:t>Shrink</w:t>
        <w:tab/>
        <w:t>To reduce a customer’s metered maximum demand and consumption.    This may be achieved with energy efficient facilities.</w:t>
      </w:r>
    </w:p>
    <w:p>
      <w:pPr>
        <w:pStyle w:val="Normal"/>
        <w:bidi w:val="0"/>
        <w:ind w:hanging="1440" w:start="1440"/>
        <w:jc w:val="start"/>
        <w:rPr/>
      </w:pPr>
      <w:r>
        <w:rPr/>
      </w:r>
    </w:p>
    <w:tbl>
      <w:tblPr>
        <w:tblW w:w="8855" w:type="dxa"/>
        <w:jc w:val="start"/>
        <w:tblInd w:w="5" w:type="dxa"/>
        <w:tblLayout w:type="fixed"/>
        <w:tblCellMar>
          <w:top w:w="0" w:type="dxa"/>
          <w:start w:w="108" w:type="dxa"/>
          <w:bottom w:w="0" w:type="dxa"/>
          <w:end w:w="108" w:type="dxa"/>
        </w:tblCellMar>
      </w:tblPr>
      <w:tblGrid>
        <w:gridCol w:w="1771"/>
        <w:gridCol w:w="1771"/>
        <w:gridCol w:w="1771"/>
        <w:gridCol w:w="1771"/>
        <w:gridCol w:w="1771"/>
      </w:tblGrid>
      <w:tr>
        <w:trPr/>
        <w:tc>
          <w:tcPr>
            <w:tcW w:w="1771"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jc w:val="start"/>
              <w:rPr/>
            </w:pPr>
            <w:r>
              <w:rPr/>
            </w:r>
          </w:p>
        </w:tc>
        <w:tc>
          <w:tcPr>
            <w:tcW w:w="1771"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jc w:val="start"/>
              <w:rPr/>
            </w:pPr>
            <w:r>
              <w:rPr/>
              <w:t>Reduce Grid Metered On-Peak Demand</w:t>
            </w:r>
          </w:p>
        </w:tc>
        <w:tc>
          <w:tcPr>
            <w:tcW w:w="1771"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jc w:val="start"/>
              <w:rPr/>
            </w:pPr>
            <w:r>
              <w:rPr/>
              <w:t>Reduce Grid Metered Max Demand</w:t>
            </w:r>
          </w:p>
        </w:tc>
        <w:tc>
          <w:tcPr>
            <w:tcW w:w="1771"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jc w:val="start"/>
              <w:rPr/>
            </w:pPr>
            <w:r>
              <w:rPr/>
              <w:t>Improve Grid Metered Load Factor</w:t>
            </w:r>
          </w:p>
        </w:tc>
        <w:tc>
          <w:tcPr>
            <w:tcW w:w="1771"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jc w:val="start"/>
              <w:rPr/>
            </w:pPr>
            <w:r>
              <w:rPr/>
              <w:t>Reduce Grid Metered Total Consumption</w:t>
            </w:r>
          </w:p>
        </w:tc>
      </w:tr>
      <w:tr>
        <w:trPr/>
        <w:tc>
          <w:tcPr>
            <w:tcW w:w="1771"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jc w:val="start"/>
              <w:rPr/>
            </w:pPr>
            <w:r>
              <w:rPr/>
              <w:t>Shaving</w:t>
            </w:r>
          </w:p>
        </w:tc>
        <w:tc>
          <w:tcPr>
            <w:tcW w:w="1771"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jc w:val="start"/>
              <w:rPr/>
            </w:pPr>
            <w:r>
              <w:rPr/>
              <w:t>Yes</w:t>
            </w:r>
          </w:p>
        </w:tc>
        <w:tc>
          <w:tcPr>
            <w:tcW w:w="1771"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jc w:val="start"/>
              <w:rPr/>
            </w:pPr>
            <w:r>
              <w:rPr/>
              <w:t>Yes</w:t>
            </w:r>
          </w:p>
        </w:tc>
        <w:tc>
          <w:tcPr>
            <w:tcW w:w="1771"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jc w:val="start"/>
              <w:rPr/>
            </w:pPr>
            <w:r>
              <w:rPr/>
              <w:t>Yes</w:t>
            </w:r>
          </w:p>
        </w:tc>
        <w:tc>
          <w:tcPr>
            <w:tcW w:w="1771"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jc w:val="start"/>
              <w:rPr/>
            </w:pPr>
            <w:r>
              <w:rPr/>
              <w:t>Yes</w:t>
            </w:r>
          </w:p>
        </w:tc>
      </w:tr>
      <w:tr>
        <w:trPr/>
        <w:tc>
          <w:tcPr>
            <w:tcW w:w="1771"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jc w:val="start"/>
              <w:rPr/>
            </w:pPr>
            <w:r>
              <w:rPr/>
              <w:t>Shifting</w:t>
            </w:r>
          </w:p>
        </w:tc>
        <w:tc>
          <w:tcPr>
            <w:tcW w:w="1771"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jc w:val="start"/>
              <w:rPr/>
            </w:pPr>
            <w:r>
              <w:rPr/>
              <w:t>Yes</w:t>
            </w:r>
          </w:p>
        </w:tc>
        <w:tc>
          <w:tcPr>
            <w:tcW w:w="1771"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jc w:val="start"/>
              <w:rPr/>
            </w:pPr>
            <w:r>
              <w:rPr/>
              <w:t>No</w:t>
            </w:r>
          </w:p>
        </w:tc>
        <w:tc>
          <w:tcPr>
            <w:tcW w:w="1771"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jc w:val="start"/>
              <w:rPr/>
            </w:pPr>
            <w:r>
              <w:rPr/>
              <w:t>No</w:t>
            </w:r>
          </w:p>
        </w:tc>
        <w:tc>
          <w:tcPr>
            <w:tcW w:w="1771"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jc w:val="start"/>
              <w:rPr/>
            </w:pPr>
            <w:r>
              <w:rPr/>
              <w:t>No</w:t>
            </w:r>
          </w:p>
        </w:tc>
      </w:tr>
      <w:tr>
        <w:trPr/>
        <w:tc>
          <w:tcPr>
            <w:tcW w:w="1771"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jc w:val="start"/>
              <w:rPr/>
            </w:pPr>
            <w:r>
              <w:rPr/>
              <w:t>Shaping</w:t>
            </w:r>
          </w:p>
        </w:tc>
        <w:tc>
          <w:tcPr>
            <w:tcW w:w="1771"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jc w:val="start"/>
              <w:rPr/>
            </w:pPr>
            <w:r>
              <w:rPr/>
              <w:t>Yes</w:t>
            </w:r>
          </w:p>
        </w:tc>
        <w:tc>
          <w:tcPr>
            <w:tcW w:w="1771"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jc w:val="start"/>
              <w:rPr/>
            </w:pPr>
            <w:r>
              <w:rPr/>
              <w:t>Yes</w:t>
            </w:r>
          </w:p>
        </w:tc>
        <w:tc>
          <w:tcPr>
            <w:tcW w:w="1771"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jc w:val="start"/>
              <w:rPr/>
            </w:pPr>
            <w:r>
              <w:rPr/>
              <w:t>Yes</w:t>
            </w:r>
          </w:p>
        </w:tc>
        <w:tc>
          <w:tcPr>
            <w:tcW w:w="1771"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jc w:val="start"/>
              <w:rPr/>
            </w:pPr>
            <w:r>
              <w:rPr/>
              <w:t>No</w:t>
            </w:r>
          </w:p>
        </w:tc>
      </w:tr>
      <w:tr>
        <w:trPr/>
        <w:tc>
          <w:tcPr>
            <w:tcW w:w="1771"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jc w:val="start"/>
              <w:rPr/>
            </w:pPr>
            <w:r>
              <w:rPr/>
              <w:t>Shedding</w:t>
            </w:r>
          </w:p>
        </w:tc>
        <w:tc>
          <w:tcPr>
            <w:tcW w:w="1771"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jc w:val="start"/>
              <w:rPr/>
            </w:pPr>
            <w:r>
              <w:rPr/>
              <w:t>No</w:t>
            </w:r>
          </w:p>
        </w:tc>
        <w:tc>
          <w:tcPr>
            <w:tcW w:w="1771"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jc w:val="start"/>
              <w:rPr/>
            </w:pPr>
            <w:r>
              <w:rPr/>
              <w:t>No</w:t>
            </w:r>
          </w:p>
        </w:tc>
        <w:tc>
          <w:tcPr>
            <w:tcW w:w="1771"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jc w:val="start"/>
              <w:rPr/>
            </w:pPr>
            <w:r>
              <w:rPr/>
              <w:t>No</w:t>
            </w:r>
          </w:p>
        </w:tc>
        <w:tc>
          <w:tcPr>
            <w:tcW w:w="1771"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jc w:val="start"/>
              <w:rPr/>
            </w:pPr>
            <w:r>
              <w:rPr/>
              <w:t>Yes</w:t>
            </w:r>
          </w:p>
        </w:tc>
      </w:tr>
      <w:tr>
        <w:trPr/>
        <w:tc>
          <w:tcPr>
            <w:tcW w:w="1771"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jc w:val="start"/>
              <w:rPr/>
            </w:pPr>
            <w:r>
              <w:rPr/>
              <w:t>Shrinking</w:t>
            </w:r>
          </w:p>
        </w:tc>
        <w:tc>
          <w:tcPr>
            <w:tcW w:w="1771"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jc w:val="start"/>
              <w:rPr/>
            </w:pPr>
            <w:r>
              <w:rPr/>
              <w:t>Yes</w:t>
            </w:r>
          </w:p>
        </w:tc>
        <w:tc>
          <w:tcPr>
            <w:tcW w:w="1771"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jc w:val="start"/>
              <w:rPr/>
            </w:pPr>
            <w:r>
              <w:rPr/>
              <w:t>Yes</w:t>
            </w:r>
          </w:p>
        </w:tc>
        <w:tc>
          <w:tcPr>
            <w:tcW w:w="1771"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jc w:val="start"/>
              <w:rPr/>
            </w:pPr>
            <w:r>
              <w:rPr/>
              <w:t>No</w:t>
            </w:r>
          </w:p>
        </w:tc>
        <w:tc>
          <w:tcPr>
            <w:tcW w:w="1771"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jc w:val="start"/>
              <w:rPr/>
            </w:pPr>
            <w:r>
              <w:rPr/>
              <w:t>Yes</w:t>
            </w:r>
          </w:p>
        </w:tc>
      </w:tr>
    </w:tbl>
    <w:p>
      <w:pPr>
        <w:pStyle w:val="Normal"/>
        <w:bidi w:val="0"/>
        <w:ind w:hanging="1440" w:start="1440"/>
        <w:jc w:val="start"/>
        <w:rPr/>
      </w:pPr>
      <w:r>
        <w:rPr/>
      </w:r>
    </w:p>
    <w:p>
      <w:pPr>
        <w:pStyle w:val="Normal"/>
        <w:bidi w:val="0"/>
        <w:ind w:hanging="1440" w:start="1440"/>
        <w:jc w:val="start"/>
        <w:rPr/>
      </w:pPr>
      <w:r>
        <w:rPr/>
      </w:r>
    </w:p>
    <w:p>
      <w:pPr>
        <w:pStyle w:val="Heading4"/>
        <w:bidi w:val="0"/>
        <w:jc w:val="start"/>
        <w:rPr>
          <w:rFonts w:ascii="Times New Roman" w:hAnsi="Times New Roman"/>
        </w:rPr>
      </w:pPr>
      <w:r>
        <w:rPr/>
        <w:t>End-User Retail Rate Design Options</w:t>
      </w:r>
    </w:p>
    <w:p>
      <w:pPr>
        <w:pStyle w:val="Normal"/>
        <w:bidi w:val="0"/>
        <w:ind w:hanging="1440" w:start="1440"/>
        <w:jc w:val="start"/>
        <w:rPr/>
      </w:pPr>
      <w:r>
        <w:rPr/>
      </w:r>
    </w:p>
    <w:tbl>
      <w:tblPr>
        <w:tblW w:w="8857" w:type="dxa"/>
        <w:jc w:val="start"/>
        <w:tblInd w:w="7" w:type="dxa"/>
        <w:tblLayout w:type="fixed"/>
        <w:tblCellMar>
          <w:top w:w="0" w:type="dxa"/>
          <w:start w:w="108" w:type="dxa"/>
          <w:bottom w:w="0" w:type="dxa"/>
          <w:end w:w="108" w:type="dxa"/>
        </w:tblCellMar>
      </w:tblPr>
      <w:tblGrid>
        <w:gridCol w:w="2451"/>
        <w:gridCol w:w="1282"/>
        <w:gridCol w:w="1280"/>
        <w:gridCol w:w="1281"/>
        <w:gridCol w:w="1282"/>
        <w:gridCol w:w="1280"/>
      </w:tblGrid>
      <w:tr>
        <w:trPr/>
        <w:tc>
          <w:tcPr>
            <w:tcW w:w="2451" w:type="dxa"/>
            <w:tcBorders>
              <w:top w:val="single" w:sz="6" w:space="0" w:color="000000"/>
              <w:start w:val="single" w:sz="6" w:space="0" w:color="000000"/>
              <w:end w:val="single" w:sz="6" w:space="0" w:color="000000"/>
            </w:tcBorders>
            <w:shd w:color="auto" w:fill="FFFFFF" w:val="pct25"/>
          </w:tcPr>
          <w:p>
            <w:pPr>
              <w:pStyle w:val="Normal"/>
              <w:tabs>
                <w:tab w:val="clear" w:pos="720"/>
              </w:tabs>
              <w:bidi w:val="0"/>
              <w:jc w:val="start"/>
              <w:rPr/>
            </w:pPr>
            <w:r>
              <w:rPr/>
            </w:r>
          </w:p>
        </w:tc>
        <w:tc>
          <w:tcPr>
            <w:tcW w:w="1282" w:type="dxa"/>
            <w:tcBorders>
              <w:top w:val="single" w:sz="6" w:space="0" w:color="000000"/>
              <w:start w:val="single" w:sz="6" w:space="0" w:color="000000"/>
              <w:end w:val="single" w:sz="6" w:space="0" w:color="000000"/>
            </w:tcBorders>
            <w:shd w:color="auto" w:fill="FFFFFF" w:val="pct25"/>
          </w:tcPr>
          <w:p>
            <w:pPr>
              <w:pStyle w:val="Normal"/>
              <w:tabs>
                <w:tab w:val="clear" w:pos="720"/>
              </w:tabs>
              <w:bidi w:val="0"/>
              <w:jc w:val="start"/>
              <w:rPr/>
            </w:pPr>
            <w:r>
              <w:rPr>
                <w:b/>
              </w:rPr>
              <w:t>SHAVE</w:t>
            </w:r>
          </w:p>
        </w:tc>
        <w:tc>
          <w:tcPr>
            <w:tcW w:w="1280" w:type="dxa"/>
            <w:tcBorders>
              <w:top w:val="single" w:sz="6" w:space="0" w:color="000000"/>
              <w:start w:val="single" w:sz="6" w:space="0" w:color="000000"/>
              <w:end w:val="single" w:sz="6" w:space="0" w:color="000000"/>
            </w:tcBorders>
            <w:shd w:color="auto" w:fill="FFFFFF" w:val="pct25"/>
          </w:tcPr>
          <w:p>
            <w:pPr>
              <w:pStyle w:val="Normal"/>
              <w:tabs>
                <w:tab w:val="clear" w:pos="720"/>
              </w:tabs>
              <w:bidi w:val="0"/>
              <w:jc w:val="start"/>
              <w:rPr/>
            </w:pPr>
            <w:r>
              <w:rPr>
                <w:b/>
              </w:rPr>
              <w:t>SHIFT</w:t>
            </w:r>
          </w:p>
        </w:tc>
        <w:tc>
          <w:tcPr>
            <w:tcW w:w="1281" w:type="dxa"/>
            <w:tcBorders>
              <w:top w:val="single" w:sz="6" w:space="0" w:color="000000"/>
              <w:start w:val="single" w:sz="6" w:space="0" w:color="000000"/>
              <w:end w:val="single" w:sz="6" w:space="0" w:color="000000"/>
            </w:tcBorders>
            <w:shd w:color="auto" w:fill="FFFFFF" w:val="pct25"/>
          </w:tcPr>
          <w:p>
            <w:pPr>
              <w:pStyle w:val="Normal"/>
              <w:tabs>
                <w:tab w:val="clear" w:pos="720"/>
              </w:tabs>
              <w:bidi w:val="0"/>
              <w:jc w:val="start"/>
              <w:rPr/>
            </w:pPr>
            <w:r>
              <w:rPr>
                <w:b/>
              </w:rPr>
              <w:t>SHAPE</w:t>
            </w:r>
          </w:p>
        </w:tc>
        <w:tc>
          <w:tcPr>
            <w:tcW w:w="1282" w:type="dxa"/>
            <w:tcBorders>
              <w:top w:val="single" w:sz="6" w:space="0" w:color="000000"/>
              <w:start w:val="single" w:sz="6" w:space="0" w:color="000000"/>
              <w:end w:val="single" w:sz="6" w:space="0" w:color="000000"/>
            </w:tcBorders>
            <w:shd w:color="auto" w:fill="FFFFFF" w:val="pct25"/>
          </w:tcPr>
          <w:p>
            <w:pPr>
              <w:pStyle w:val="Normal"/>
              <w:tabs>
                <w:tab w:val="clear" w:pos="720"/>
              </w:tabs>
              <w:bidi w:val="0"/>
              <w:jc w:val="start"/>
              <w:rPr/>
            </w:pPr>
            <w:r>
              <w:rPr>
                <w:b/>
              </w:rPr>
              <w:t>SHED</w:t>
            </w:r>
          </w:p>
        </w:tc>
        <w:tc>
          <w:tcPr>
            <w:tcW w:w="1280" w:type="dxa"/>
            <w:tcBorders>
              <w:top w:val="single" w:sz="6" w:space="0" w:color="000000"/>
              <w:start w:val="single" w:sz="6" w:space="0" w:color="000000"/>
              <w:end w:val="single" w:sz="6" w:space="0" w:color="000000"/>
            </w:tcBorders>
            <w:shd w:color="auto" w:fill="FFFFFF" w:val="pct25"/>
          </w:tcPr>
          <w:p>
            <w:pPr>
              <w:pStyle w:val="Normal"/>
              <w:tabs>
                <w:tab w:val="clear" w:pos="720"/>
              </w:tabs>
              <w:bidi w:val="0"/>
              <w:jc w:val="start"/>
              <w:rPr/>
            </w:pPr>
            <w:r>
              <w:rPr>
                <w:b/>
              </w:rPr>
              <w:t>SHRINK</w:t>
            </w:r>
          </w:p>
        </w:tc>
      </w:tr>
      <w:tr>
        <w:trPr/>
        <w:tc>
          <w:tcPr>
            <w:tcW w:w="2451" w:type="dxa"/>
            <w:tcBorders>
              <w:top w:val="single" w:sz="6" w:space="0" w:color="000000"/>
              <w:start w:val="single" w:sz="6" w:space="0" w:color="000000"/>
              <w:end w:val="single" w:sz="6" w:space="0" w:color="000000"/>
            </w:tcBorders>
            <w:shd w:color="auto" w:fill="FFFFFF" w:val="pct5"/>
          </w:tcPr>
          <w:p>
            <w:pPr>
              <w:pStyle w:val="Normal"/>
              <w:tabs>
                <w:tab w:val="clear" w:pos="720"/>
              </w:tabs>
              <w:bidi w:val="0"/>
              <w:jc w:val="start"/>
              <w:rPr/>
            </w:pPr>
            <w:r>
              <w:rPr/>
              <w:t>ENERGY (VOLUMETRIC) RATES</w:t>
            </w:r>
          </w:p>
        </w:tc>
        <w:tc>
          <w:tcPr>
            <w:tcW w:w="1282" w:type="dxa"/>
            <w:tcBorders>
              <w:top w:val="single" w:sz="6" w:space="0" w:color="000000"/>
              <w:start w:val="single" w:sz="6" w:space="0" w:color="000000"/>
              <w:end w:val="single" w:sz="6" w:space="0" w:color="000000"/>
            </w:tcBorders>
            <w:shd w:color="auto" w:fill="FFFFFF" w:val="pct5"/>
          </w:tcPr>
          <w:p>
            <w:pPr>
              <w:pStyle w:val="Normal"/>
              <w:tabs>
                <w:tab w:val="clear" w:pos="720"/>
              </w:tabs>
              <w:bidi w:val="0"/>
              <w:jc w:val="start"/>
              <w:rPr/>
            </w:pPr>
            <w:r>
              <w:rPr/>
            </w:r>
          </w:p>
        </w:tc>
        <w:tc>
          <w:tcPr>
            <w:tcW w:w="1280" w:type="dxa"/>
            <w:tcBorders>
              <w:top w:val="single" w:sz="6" w:space="0" w:color="000000"/>
              <w:start w:val="single" w:sz="6" w:space="0" w:color="000000"/>
              <w:end w:val="single" w:sz="6" w:space="0" w:color="000000"/>
            </w:tcBorders>
            <w:shd w:color="auto" w:fill="FFFFFF" w:val="pct5"/>
          </w:tcPr>
          <w:p>
            <w:pPr>
              <w:pStyle w:val="Normal"/>
              <w:tabs>
                <w:tab w:val="clear" w:pos="720"/>
              </w:tabs>
              <w:bidi w:val="0"/>
              <w:jc w:val="start"/>
              <w:rPr/>
            </w:pPr>
            <w:r>
              <w:rPr/>
            </w:r>
          </w:p>
        </w:tc>
        <w:tc>
          <w:tcPr>
            <w:tcW w:w="1281" w:type="dxa"/>
            <w:tcBorders>
              <w:top w:val="single" w:sz="6" w:space="0" w:color="000000"/>
              <w:start w:val="single" w:sz="6" w:space="0" w:color="000000"/>
              <w:end w:val="single" w:sz="6" w:space="0" w:color="000000"/>
            </w:tcBorders>
            <w:shd w:color="auto" w:fill="FFFFFF" w:val="pct5"/>
          </w:tcPr>
          <w:p>
            <w:pPr>
              <w:pStyle w:val="Normal"/>
              <w:tabs>
                <w:tab w:val="clear" w:pos="720"/>
              </w:tabs>
              <w:bidi w:val="0"/>
              <w:jc w:val="start"/>
              <w:rPr/>
            </w:pPr>
            <w:r>
              <w:rPr/>
            </w:r>
          </w:p>
        </w:tc>
        <w:tc>
          <w:tcPr>
            <w:tcW w:w="1282" w:type="dxa"/>
            <w:tcBorders>
              <w:top w:val="single" w:sz="6" w:space="0" w:color="000000"/>
              <w:start w:val="single" w:sz="6" w:space="0" w:color="000000"/>
              <w:end w:val="single" w:sz="6" w:space="0" w:color="000000"/>
            </w:tcBorders>
            <w:shd w:color="auto" w:fill="FFFFFF" w:val="pct5"/>
          </w:tcPr>
          <w:p>
            <w:pPr>
              <w:pStyle w:val="Normal"/>
              <w:tabs>
                <w:tab w:val="clear" w:pos="720"/>
              </w:tabs>
              <w:bidi w:val="0"/>
              <w:jc w:val="start"/>
              <w:rPr/>
            </w:pPr>
            <w:r>
              <w:rPr/>
            </w:r>
          </w:p>
        </w:tc>
        <w:tc>
          <w:tcPr>
            <w:tcW w:w="1280" w:type="dxa"/>
            <w:tcBorders>
              <w:top w:val="single" w:sz="6" w:space="0" w:color="000000"/>
              <w:start w:val="single" w:sz="6" w:space="0" w:color="000000"/>
              <w:end w:val="single" w:sz="6" w:space="0" w:color="000000"/>
            </w:tcBorders>
            <w:shd w:color="auto" w:fill="FFFFFF" w:val="pct5"/>
          </w:tcPr>
          <w:p>
            <w:pPr>
              <w:pStyle w:val="Normal"/>
              <w:tabs>
                <w:tab w:val="clear" w:pos="720"/>
              </w:tabs>
              <w:bidi w:val="0"/>
              <w:jc w:val="start"/>
              <w:rPr/>
            </w:pPr>
            <w:r>
              <w:rPr/>
            </w:r>
          </w:p>
        </w:tc>
      </w:tr>
      <w:tr>
        <w:trPr/>
        <w:tc>
          <w:tcPr>
            <w:tcW w:w="2451" w:type="dxa"/>
            <w:tcBorders>
              <w:top w:val="single" w:sz="6" w:space="0" w:color="000000"/>
              <w:start w:val="single" w:sz="6" w:space="0" w:color="000000"/>
              <w:end w:val="single" w:sz="6" w:space="0" w:color="000000"/>
            </w:tcBorders>
            <w:shd w:color="auto" w:fill="FF0000"/>
          </w:tcPr>
          <w:p>
            <w:pPr>
              <w:pStyle w:val="Normal"/>
              <w:tabs>
                <w:tab w:val="clear" w:pos="720"/>
              </w:tabs>
              <w:bidi w:val="0"/>
              <w:jc w:val="start"/>
              <w:rPr/>
            </w:pPr>
            <w:r>
              <w:rPr/>
              <w:t>Flat Energy Rate</w:t>
            </w:r>
          </w:p>
        </w:tc>
        <w:tc>
          <w:tcPr>
            <w:tcW w:w="1282" w:type="dxa"/>
            <w:tcBorders>
              <w:top w:val="single" w:sz="6" w:space="0" w:color="000000"/>
              <w:start w:val="single" w:sz="6" w:space="0" w:color="000000"/>
              <w:bottom w:val="single" w:sz="6" w:space="0" w:color="000000"/>
              <w:end w:val="single" w:sz="6" w:space="0" w:color="000000"/>
            </w:tcBorders>
            <w:shd w:color="auto" w:fill="00FF00"/>
          </w:tcPr>
          <w:p>
            <w:pPr>
              <w:pStyle w:val="Normal"/>
              <w:numPr>
                <w:ilvl w:val="0"/>
                <w:numId w:val="1"/>
              </w:numPr>
              <w:tabs>
                <w:tab w:val="clear" w:pos="720"/>
                <w:tab w:val="left" w:pos="360" w:leader="none"/>
              </w:tabs>
              <w:bidi w:val="0"/>
              <w:jc w:val="start"/>
              <w:rPr>
                <w:highlight w:val="green"/>
              </w:rPr>
            </w:pPr>
            <w:r>
              <w:rPr>
                <w:highlight w:val="green"/>
              </w:rPr>
              <w:t>Savings</w:t>
            </w:r>
          </w:p>
          <w:p>
            <w:pPr>
              <w:pStyle w:val="Normal"/>
              <w:numPr>
                <w:ilvl w:val="0"/>
                <w:numId w:val="1"/>
              </w:numPr>
              <w:tabs>
                <w:tab w:val="clear" w:pos="720"/>
                <w:tab w:val="left" w:pos="360" w:leader="none"/>
              </w:tabs>
              <w:bidi w:val="0"/>
              <w:jc w:val="start"/>
              <w:rPr/>
            </w:pPr>
            <w:r>
              <w:rPr>
                <w:highlight w:val="green"/>
              </w:rPr>
              <w:t>Lower Average Rate</w:t>
            </w:r>
          </w:p>
        </w:tc>
        <w:tc>
          <w:tcPr>
            <w:tcW w:w="1280" w:type="dxa"/>
            <w:tcBorders>
              <w:top w:val="single" w:sz="6" w:space="0" w:color="000000"/>
              <w:start w:val="single" w:sz="6" w:space="0" w:color="000000"/>
              <w:bottom w:val="single" w:sz="6" w:space="0" w:color="000000"/>
              <w:end w:val="single" w:sz="6" w:space="0" w:color="000000"/>
            </w:tcBorders>
            <w:shd w:color="auto" w:fill="FF0000"/>
          </w:tcPr>
          <w:p>
            <w:pPr>
              <w:pStyle w:val="Normal"/>
              <w:numPr>
                <w:ilvl w:val="0"/>
                <w:numId w:val="1"/>
              </w:numPr>
              <w:tabs>
                <w:tab w:val="clear" w:pos="720"/>
                <w:tab w:val="left" w:pos="360" w:leader="none"/>
              </w:tabs>
              <w:bidi w:val="0"/>
              <w:jc w:val="start"/>
              <w:rPr>
                <w:highlight w:val="red"/>
              </w:rPr>
            </w:pPr>
            <w:r>
              <w:rPr>
                <w:highlight w:val="red"/>
              </w:rPr>
              <w:t>No Savings</w:t>
            </w:r>
          </w:p>
          <w:p>
            <w:pPr>
              <w:pStyle w:val="Normal"/>
              <w:numPr>
                <w:ilvl w:val="0"/>
                <w:numId w:val="1"/>
              </w:numPr>
              <w:tabs>
                <w:tab w:val="clear" w:pos="720"/>
                <w:tab w:val="left" w:pos="360" w:leader="none"/>
              </w:tabs>
              <w:bidi w:val="0"/>
              <w:jc w:val="start"/>
              <w:rPr/>
            </w:pPr>
            <w:r>
              <w:rPr>
                <w:highlight w:val="red"/>
              </w:rPr>
              <w:t>Same Average Rate</w:t>
            </w:r>
          </w:p>
        </w:tc>
        <w:tc>
          <w:tcPr>
            <w:tcW w:w="1281" w:type="dxa"/>
            <w:tcBorders>
              <w:top w:val="single" w:sz="6" w:space="0" w:color="000000"/>
              <w:start w:val="single" w:sz="6" w:space="0" w:color="000000"/>
              <w:bottom w:val="single" w:sz="6" w:space="0" w:color="000000"/>
              <w:end w:val="single" w:sz="6" w:space="0" w:color="000000"/>
            </w:tcBorders>
            <w:shd w:color="auto" w:fill="FF0000"/>
          </w:tcPr>
          <w:p>
            <w:pPr>
              <w:pStyle w:val="Normal"/>
              <w:numPr>
                <w:ilvl w:val="0"/>
                <w:numId w:val="1"/>
              </w:numPr>
              <w:tabs>
                <w:tab w:val="clear" w:pos="720"/>
                <w:tab w:val="left" w:pos="360" w:leader="none"/>
              </w:tabs>
              <w:bidi w:val="0"/>
              <w:jc w:val="start"/>
              <w:rPr>
                <w:highlight w:val="red"/>
              </w:rPr>
            </w:pPr>
            <w:r>
              <w:rPr>
                <w:highlight w:val="red"/>
              </w:rPr>
              <w:t>No Savings</w:t>
            </w:r>
          </w:p>
          <w:p>
            <w:pPr>
              <w:pStyle w:val="Normal"/>
              <w:numPr>
                <w:ilvl w:val="0"/>
                <w:numId w:val="1"/>
              </w:numPr>
              <w:tabs>
                <w:tab w:val="clear" w:pos="720"/>
                <w:tab w:val="left" w:pos="360" w:leader="none"/>
              </w:tabs>
              <w:bidi w:val="0"/>
              <w:jc w:val="start"/>
              <w:rPr/>
            </w:pPr>
            <w:r>
              <w:rPr>
                <w:highlight w:val="red"/>
              </w:rPr>
              <w:t>Same Average Rate</w:t>
            </w:r>
          </w:p>
        </w:tc>
        <w:tc>
          <w:tcPr>
            <w:tcW w:w="1282" w:type="dxa"/>
            <w:tcBorders>
              <w:top w:val="single" w:sz="6" w:space="0" w:color="000000"/>
              <w:start w:val="single" w:sz="6" w:space="0" w:color="000000"/>
              <w:bottom w:val="single" w:sz="6" w:space="0" w:color="000000"/>
              <w:end w:val="single" w:sz="6" w:space="0" w:color="000000"/>
            </w:tcBorders>
            <w:shd w:color="auto" w:fill="FFFF00"/>
          </w:tcPr>
          <w:p>
            <w:pPr>
              <w:pStyle w:val="Normal"/>
              <w:numPr>
                <w:ilvl w:val="0"/>
                <w:numId w:val="1"/>
              </w:numPr>
              <w:tabs>
                <w:tab w:val="clear" w:pos="720"/>
                <w:tab w:val="left" w:pos="360" w:leader="none"/>
              </w:tabs>
              <w:bidi w:val="0"/>
              <w:jc w:val="start"/>
              <w:rPr>
                <w:highlight w:val="yellow"/>
              </w:rPr>
            </w:pPr>
            <w:r>
              <w:rPr>
                <w:highlight w:val="yellow"/>
              </w:rPr>
              <w:t>Savings</w:t>
            </w:r>
          </w:p>
          <w:p>
            <w:pPr>
              <w:pStyle w:val="Normal"/>
              <w:numPr>
                <w:ilvl w:val="0"/>
                <w:numId w:val="1"/>
              </w:numPr>
              <w:tabs>
                <w:tab w:val="clear" w:pos="720"/>
                <w:tab w:val="left" w:pos="360" w:leader="none"/>
              </w:tabs>
              <w:bidi w:val="0"/>
              <w:jc w:val="start"/>
              <w:rPr/>
            </w:pPr>
            <w:r>
              <w:rPr>
                <w:highlight w:val="yellow"/>
              </w:rPr>
              <w:t>Same Average Rate</w:t>
            </w:r>
          </w:p>
        </w:tc>
        <w:tc>
          <w:tcPr>
            <w:tcW w:w="1280" w:type="dxa"/>
            <w:tcBorders>
              <w:top w:val="single" w:sz="6" w:space="0" w:color="000000"/>
              <w:start w:val="single" w:sz="6" w:space="0" w:color="000000"/>
              <w:bottom w:val="single" w:sz="6" w:space="0" w:color="000000"/>
              <w:end w:val="single" w:sz="6" w:space="0" w:color="000000"/>
            </w:tcBorders>
            <w:shd w:color="auto" w:fill="FFFF00"/>
          </w:tcPr>
          <w:p>
            <w:pPr>
              <w:pStyle w:val="Normal"/>
              <w:numPr>
                <w:ilvl w:val="0"/>
                <w:numId w:val="1"/>
              </w:numPr>
              <w:tabs>
                <w:tab w:val="clear" w:pos="720"/>
                <w:tab w:val="left" w:pos="360" w:leader="none"/>
              </w:tabs>
              <w:bidi w:val="0"/>
              <w:jc w:val="start"/>
              <w:rPr>
                <w:highlight w:val="yellow"/>
              </w:rPr>
            </w:pPr>
            <w:r>
              <w:rPr>
                <w:highlight w:val="yellow"/>
              </w:rPr>
              <w:t>Savings</w:t>
            </w:r>
          </w:p>
          <w:p>
            <w:pPr>
              <w:pStyle w:val="Normal"/>
              <w:numPr>
                <w:ilvl w:val="0"/>
                <w:numId w:val="1"/>
              </w:numPr>
              <w:tabs>
                <w:tab w:val="clear" w:pos="720"/>
                <w:tab w:val="left" w:pos="360" w:leader="none"/>
              </w:tabs>
              <w:bidi w:val="0"/>
              <w:jc w:val="start"/>
              <w:rPr/>
            </w:pPr>
            <w:r>
              <w:rPr>
                <w:highlight w:val="yellow"/>
              </w:rPr>
              <w:t>Same Average Rate</w:t>
            </w:r>
          </w:p>
        </w:tc>
      </w:tr>
      <w:tr>
        <w:trPr/>
        <w:tc>
          <w:tcPr>
            <w:tcW w:w="2451" w:type="dxa"/>
            <w:tcBorders>
              <w:top w:val="single" w:sz="6" w:space="0" w:color="000000"/>
              <w:start w:val="single" w:sz="6" w:space="0" w:color="000000"/>
              <w:end w:val="single" w:sz="6" w:space="0" w:color="000000"/>
            </w:tcBorders>
            <w:shd w:color="auto" w:fill="00FF00"/>
          </w:tcPr>
          <w:p>
            <w:pPr>
              <w:pStyle w:val="Normal"/>
              <w:tabs>
                <w:tab w:val="clear" w:pos="720"/>
              </w:tabs>
              <w:bidi w:val="0"/>
              <w:jc w:val="start"/>
              <w:rPr/>
            </w:pPr>
            <w:r>
              <w:rPr/>
              <w:t>Time-of-Use Energy Rate</w:t>
            </w:r>
          </w:p>
        </w:tc>
        <w:tc>
          <w:tcPr>
            <w:tcW w:w="1282" w:type="dxa"/>
            <w:tcBorders>
              <w:top w:val="single" w:sz="6" w:space="0" w:color="000000"/>
              <w:start w:val="single" w:sz="6" w:space="0" w:color="000000"/>
              <w:bottom w:val="single" w:sz="6" w:space="0" w:color="000000"/>
              <w:end w:val="single" w:sz="6" w:space="0" w:color="000000"/>
            </w:tcBorders>
            <w:shd w:color="auto" w:fill="00FF00"/>
          </w:tcPr>
          <w:p>
            <w:pPr>
              <w:pStyle w:val="Normal"/>
              <w:numPr>
                <w:ilvl w:val="0"/>
                <w:numId w:val="1"/>
              </w:numPr>
              <w:tabs>
                <w:tab w:val="clear" w:pos="720"/>
                <w:tab w:val="left" w:pos="360" w:leader="none"/>
              </w:tabs>
              <w:bidi w:val="0"/>
              <w:jc w:val="start"/>
              <w:rPr>
                <w:highlight w:val="green"/>
              </w:rPr>
            </w:pPr>
            <w:r>
              <w:rPr>
                <w:highlight w:val="green"/>
              </w:rPr>
              <w:t>Savings</w:t>
            </w:r>
          </w:p>
          <w:p>
            <w:pPr>
              <w:pStyle w:val="Normal"/>
              <w:numPr>
                <w:ilvl w:val="0"/>
                <w:numId w:val="1"/>
              </w:numPr>
              <w:tabs>
                <w:tab w:val="clear" w:pos="720"/>
                <w:tab w:val="left" w:pos="360" w:leader="none"/>
              </w:tabs>
              <w:bidi w:val="0"/>
              <w:jc w:val="start"/>
              <w:rPr/>
            </w:pPr>
            <w:r>
              <w:rPr>
                <w:highlight w:val="green"/>
              </w:rPr>
              <w:t>Lower Average Rate</w:t>
            </w:r>
          </w:p>
        </w:tc>
        <w:tc>
          <w:tcPr>
            <w:tcW w:w="1280" w:type="dxa"/>
            <w:tcBorders>
              <w:start w:val="single" w:sz="6" w:space="0" w:color="000000"/>
              <w:end w:val="single" w:sz="6" w:space="0" w:color="000000"/>
            </w:tcBorders>
            <w:shd w:color="auto" w:fill="00FF00"/>
          </w:tcPr>
          <w:p>
            <w:pPr>
              <w:pStyle w:val="Normal"/>
              <w:numPr>
                <w:ilvl w:val="0"/>
                <w:numId w:val="1"/>
              </w:numPr>
              <w:tabs>
                <w:tab w:val="clear" w:pos="720"/>
                <w:tab w:val="left" w:pos="360" w:leader="none"/>
              </w:tabs>
              <w:bidi w:val="0"/>
              <w:jc w:val="start"/>
              <w:rPr>
                <w:highlight w:val="green"/>
              </w:rPr>
            </w:pPr>
            <w:r>
              <w:rPr>
                <w:highlight w:val="green"/>
              </w:rPr>
              <w:t>Savings</w:t>
            </w:r>
          </w:p>
          <w:p>
            <w:pPr>
              <w:pStyle w:val="Normal"/>
              <w:numPr>
                <w:ilvl w:val="0"/>
                <w:numId w:val="1"/>
              </w:numPr>
              <w:tabs>
                <w:tab w:val="clear" w:pos="720"/>
                <w:tab w:val="left" w:pos="360" w:leader="none"/>
              </w:tabs>
              <w:bidi w:val="0"/>
              <w:jc w:val="start"/>
              <w:rPr/>
            </w:pPr>
            <w:r>
              <w:rPr>
                <w:highlight w:val="green"/>
              </w:rPr>
              <w:t>Lower Average Rate</w:t>
            </w:r>
          </w:p>
        </w:tc>
        <w:tc>
          <w:tcPr>
            <w:tcW w:w="1281" w:type="dxa"/>
            <w:tcBorders>
              <w:start w:val="single" w:sz="6" w:space="0" w:color="000000"/>
              <w:end w:val="single" w:sz="6" w:space="0" w:color="000000"/>
            </w:tcBorders>
            <w:shd w:color="auto" w:fill="00FF00"/>
          </w:tcPr>
          <w:p>
            <w:pPr>
              <w:pStyle w:val="Normal"/>
              <w:numPr>
                <w:ilvl w:val="0"/>
                <w:numId w:val="1"/>
              </w:numPr>
              <w:tabs>
                <w:tab w:val="clear" w:pos="720"/>
                <w:tab w:val="left" w:pos="360" w:leader="none"/>
              </w:tabs>
              <w:bidi w:val="0"/>
              <w:jc w:val="start"/>
              <w:rPr>
                <w:highlight w:val="green"/>
              </w:rPr>
            </w:pPr>
            <w:r>
              <w:rPr>
                <w:highlight w:val="green"/>
              </w:rPr>
              <w:t>Savings</w:t>
            </w:r>
          </w:p>
          <w:p>
            <w:pPr>
              <w:pStyle w:val="Normal"/>
              <w:numPr>
                <w:ilvl w:val="0"/>
                <w:numId w:val="1"/>
              </w:numPr>
              <w:tabs>
                <w:tab w:val="clear" w:pos="720"/>
                <w:tab w:val="left" w:pos="360" w:leader="none"/>
              </w:tabs>
              <w:bidi w:val="0"/>
              <w:jc w:val="start"/>
              <w:rPr/>
            </w:pPr>
            <w:r>
              <w:rPr>
                <w:highlight w:val="green"/>
              </w:rPr>
              <w:t>Lower Average Rate</w:t>
            </w:r>
          </w:p>
        </w:tc>
        <w:tc>
          <w:tcPr>
            <w:tcW w:w="1282" w:type="dxa"/>
            <w:tcBorders>
              <w:top w:val="single" w:sz="6" w:space="0" w:color="000000"/>
              <w:start w:val="single" w:sz="6" w:space="0" w:color="000000"/>
              <w:bottom w:val="single" w:sz="6" w:space="0" w:color="000000"/>
              <w:end w:val="single" w:sz="6" w:space="0" w:color="000000"/>
            </w:tcBorders>
            <w:shd w:color="auto" w:fill="FFFF00"/>
          </w:tcPr>
          <w:p>
            <w:pPr>
              <w:pStyle w:val="Normal"/>
              <w:numPr>
                <w:ilvl w:val="0"/>
                <w:numId w:val="1"/>
              </w:numPr>
              <w:tabs>
                <w:tab w:val="clear" w:pos="720"/>
                <w:tab w:val="left" w:pos="360" w:leader="none"/>
              </w:tabs>
              <w:bidi w:val="0"/>
              <w:jc w:val="start"/>
              <w:rPr>
                <w:highlight w:val="yellow"/>
              </w:rPr>
            </w:pPr>
            <w:r>
              <w:rPr>
                <w:highlight w:val="yellow"/>
              </w:rPr>
              <w:t>Savings</w:t>
            </w:r>
          </w:p>
          <w:p>
            <w:pPr>
              <w:pStyle w:val="Normal"/>
              <w:numPr>
                <w:ilvl w:val="0"/>
                <w:numId w:val="1"/>
              </w:numPr>
              <w:tabs>
                <w:tab w:val="clear" w:pos="720"/>
                <w:tab w:val="left" w:pos="360" w:leader="none"/>
              </w:tabs>
              <w:bidi w:val="0"/>
              <w:jc w:val="start"/>
              <w:rPr/>
            </w:pPr>
            <w:r>
              <w:rPr>
                <w:highlight w:val="yellow"/>
              </w:rPr>
              <w:t>Higher Average Rate</w:t>
            </w:r>
          </w:p>
        </w:tc>
        <w:tc>
          <w:tcPr>
            <w:tcW w:w="1280" w:type="dxa"/>
            <w:tcBorders>
              <w:top w:val="single" w:sz="6" w:space="0" w:color="000000"/>
              <w:start w:val="single" w:sz="6" w:space="0" w:color="000000"/>
              <w:bottom w:val="single" w:sz="6" w:space="0" w:color="000000"/>
              <w:end w:val="single" w:sz="6" w:space="0" w:color="000000"/>
            </w:tcBorders>
            <w:shd w:color="auto" w:fill="FFFF00"/>
          </w:tcPr>
          <w:p>
            <w:pPr>
              <w:pStyle w:val="Normal"/>
              <w:numPr>
                <w:ilvl w:val="0"/>
                <w:numId w:val="1"/>
              </w:numPr>
              <w:tabs>
                <w:tab w:val="clear" w:pos="720"/>
                <w:tab w:val="left" w:pos="360" w:leader="none"/>
              </w:tabs>
              <w:bidi w:val="0"/>
              <w:jc w:val="start"/>
              <w:rPr>
                <w:highlight w:val="yellow"/>
              </w:rPr>
            </w:pPr>
            <w:r>
              <w:rPr>
                <w:highlight w:val="yellow"/>
              </w:rPr>
              <w:t>Savings</w:t>
            </w:r>
          </w:p>
          <w:p>
            <w:pPr>
              <w:pStyle w:val="Normal"/>
              <w:numPr>
                <w:ilvl w:val="0"/>
                <w:numId w:val="1"/>
              </w:numPr>
              <w:tabs>
                <w:tab w:val="clear" w:pos="720"/>
                <w:tab w:val="left" w:pos="360" w:leader="none"/>
              </w:tabs>
              <w:bidi w:val="0"/>
              <w:jc w:val="start"/>
              <w:rPr/>
            </w:pPr>
            <w:r>
              <w:rPr>
                <w:highlight w:val="yellow"/>
              </w:rPr>
              <w:t>Same Average Rate</w:t>
            </w:r>
          </w:p>
        </w:tc>
      </w:tr>
      <w:tr>
        <w:trPr/>
        <w:tc>
          <w:tcPr>
            <w:tcW w:w="2451" w:type="dxa"/>
            <w:tcBorders>
              <w:top w:val="single" w:sz="6" w:space="0" w:color="000000"/>
              <w:start w:val="single" w:sz="6" w:space="0" w:color="000000"/>
              <w:end w:val="single" w:sz="6" w:space="0" w:color="000000"/>
            </w:tcBorders>
            <w:shd w:color="auto" w:fill="FF0000"/>
          </w:tcPr>
          <w:p>
            <w:pPr>
              <w:pStyle w:val="Normal"/>
              <w:tabs>
                <w:tab w:val="clear" w:pos="720"/>
              </w:tabs>
              <w:bidi w:val="0"/>
              <w:jc w:val="start"/>
              <w:rPr/>
            </w:pPr>
            <w:r>
              <w:rPr>
                <w:shd w:fill="FF0000" w:val="clear"/>
              </w:rPr>
              <w:t>Declining Block Energy Rate</w:t>
            </w:r>
          </w:p>
        </w:tc>
        <w:tc>
          <w:tcPr>
            <w:tcW w:w="1282" w:type="dxa"/>
            <w:tcBorders>
              <w:top w:val="single" w:sz="6" w:space="0" w:color="000000"/>
              <w:start w:val="single" w:sz="6" w:space="0" w:color="000000"/>
              <w:bottom w:val="single" w:sz="6" w:space="0" w:color="000000"/>
              <w:end w:val="single" w:sz="6" w:space="0" w:color="000000"/>
            </w:tcBorders>
            <w:shd w:color="auto" w:fill="00FF00"/>
          </w:tcPr>
          <w:p>
            <w:pPr>
              <w:pStyle w:val="Normal"/>
              <w:numPr>
                <w:ilvl w:val="0"/>
                <w:numId w:val="1"/>
              </w:numPr>
              <w:tabs>
                <w:tab w:val="clear" w:pos="720"/>
                <w:tab w:val="left" w:pos="360" w:leader="none"/>
              </w:tabs>
              <w:bidi w:val="0"/>
              <w:jc w:val="start"/>
              <w:rPr>
                <w:highlight w:val="green"/>
              </w:rPr>
            </w:pPr>
            <w:r>
              <w:rPr>
                <w:highlight w:val="green"/>
              </w:rPr>
              <w:t>Savings</w:t>
            </w:r>
          </w:p>
          <w:p>
            <w:pPr>
              <w:pStyle w:val="Normal"/>
              <w:numPr>
                <w:ilvl w:val="0"/>
                <w:numId w:val="1"/>
              </w:numPr>
              <w:tabs>
                <w:tab w:val="clear" w:pos="720"/>
                <w:tab w:val="left" w:pos="360" w:leader="none"/>
              </w:tabs>
              <w:bidi w:val="0"/>
              <w:jc w:val="start"/>
              <w:rPr/>
            </w:pPr>
            <w:r>
              <w:rPr>
                <w:highlight w:val="green"/>
              </w:rPr>
              <w:t>Lower Average Rate</w:t>
            </w:r>
          </w:p>
        </w:tc>
        <w:tc>
          <w:tcPr>
            <w:tcW w:w="1280" w:type="dxa"/>
            <w:tcBorders>
              <w:top w:val="single" w:sz="6" w:space="0" w:color="000000"/>
              <w:start w:val="single" w:sz="6" w:space="0" w:color="000000"/>
              <w:bottom w:val="single" w:sz="6" w:space="0" w:color="000000"/>
              <w:end w:val="single" w:sz="6" w:space="0" w:color="000000"/>
            </w:tcBorders>
            <w:shd w:color="auto" w:fill="FF0000"/>
          </w:tcPr>
          <w:p>
            <w:pPr>
              <w:pStyle w:val="Normal"/>
              <w:numPr>
                <w:ilvl w:val="0"/>
                <w:numId w:val="1"/>
              </w:numPr>
              <w:tabs>
                <w:tab w:val="clear" w:pos="720"/>
                <w:tab w:val="left" w:pos="360" w:leader="none"/>
              </w:tabs>
              <w:bidi w:val="0"/>
              <w:jc w:val="start"/>
              <w:rPr>
                <w:highlight w:val="red"/>
              </w:rPr>
            </w:pPr>
            <w:r>
              <w:rPr>
                <w:highlight w:val="red"/>
              </w:rPr>
              <w:t>No Savings</w:t>
            </w:r>
          </w:p>
          <w:p>
            <w:pPr>
              <w:pStyle w:val="Normal"/>
              <w:numPr>
                <w:ilvl w:val="0"/>
                <w:numId w:val="1"/>
              </w:numPr>
              <w:tabs>
                <w:tab w:val="clear" w:pos="720"/>
                <w:tab w:val="left" w:pos="360" w:leader="none"/>
              </w:tabs>
              <w:bidi w:val="0"/>
              <w:jc w:val="start"/>
              <w:rPr/>
            </w:pPr>
            <w:r>
              <w:rPr>
                <w:highlight w:val="red"/>
              </w:rPr>
              <w:t>Same Average Rate</w:t>
            </w:r>
          </w:p>
        </w:tc>
        <w:tc>
          <w:tcPr>
            <w:tcW w:w="1281" w:type="dxa"/>
            <w:tcBorders>
              <w:top w:val="single" w:sz="6" w:space="0" w:color="000000"/>
              <w:start w:val="single" w:sz="6" w:space="0" w:color="000000"/>
              <w:bottom w:val="single" w:sz="6" w:space="0" w:color="000000"/>
              <w:end w:val="single" w:sz="6" w:space="0" w:color="000000"/>
            </w:tcBorders>
            <w:shd w:color="auto" w:fill="FF0000"/>
          </w:tcPr>
          <w:p>
            <w:pPr>
              <w:pStyle w:val="Normal"/>
              <w:numPr>
                <w:ilvl w:val="0"/>
                <w:numId w:val="1"/>
              </w:numPr>
              <w:tabs>
                <w:tab w:val="clear" w:pos="720"/>
                <w:tab w:val="left" w:pos="360" w:leader="none"/>
              </w:tabs>
              <w:bidi w:val="0"/>
              <w:jc w:val="start"/>
              <w:rPr>
                <w:highlight w:val="red"/>
              </w:rPr>
            </w:pPr>
            <w:r>
              <w:rPr>
                <w:highlight w:val="red"/>
              </w:rPr>
              <w:t>No Savings</w:t>
            </w:r>
          </w:p>
          <w:p>
            <w:pPr>
              <w:pStyle w:val="Normal"/>
              <w:numPr>
                <w:ilvl w:val="0"/>
                <w:numId w:val="1"/>
              </w:numPr>
              <w:tabs>
                <w:tab w:val="clear" w:pos="720"/>
                <w:tab w:val="left" w:pos="360" w:leader="none"/>
              </w:tabs>
              <w:bidi w:val="0"/>
              <w:jc w:val="start"/>
              <w:rPr/>
            </w:pPr>
            <w:r>
              <w:rPr>
                <w:highlight w:val="red"/>
              </w:rPr>
              <w:t>Same Average Rate</w:t>
            </w:r>
          </w:p>
        </w:tc>
        <w:tc>
          <w:tcPr>
            <w:tcW w:w="1282" w:type="dxa"/>
            <w:tcBorders>
              <w:top w:val="single" w:sz="6" w:space="0" w:color="000000"/>
              <w:start w:val="single" w:sz="6" w:space="0" w:color="000000"/>
              <w:bottom w:val="single" w:sz="6" w:space="0" w:color="000000"/>
              <w:end w:val="single" w:sz="6" w:space="0" w:color="000000"/>
            </w:tcBorders>
            <w:shd w:color="auto" w:fill="FFFF00"/>
          </w:tcPr>
          <w:p>
            <w:pPr>
              <w:pStyle w:val="Normal"/>
              <w:numPr>
                <w:ilvl w:val="0"/>
                <w:numId w:val="1"/>
              </w:numPr>
              <w:tabs>
                <w:tab w:val="clear" w:pos="720"/>
                <w:tab w:val="left" w:pos="360" w:leader="none"/>
              </w:tabs>
              <w:bidi w:val="0"/>
              <w:jc w:val="start"/>
              <w:rPr>
                <w:highlight w:val="yellow"/>
              </w:rPr>
            </w:pPr>
            <w:r>
              <w:rPr>
                <w:highlight w:val="yellow"/>
              </w:rPr>
              <w:t>Savings</w:t>
            </w:r>
          </w:p>
          <w:p>
            <w:pPr>
              <w:pStyle w:val="Normal"/>
              <w:numPr>
                <w:ilvl w:val="0"/>
                <w:numId w:val="1"/>
              </w:numPr>
              <w:tabs>
                <w:tab w:val="clear" w:pos="720"/>
                <w:tab w:val="left" w:pos="360" w:leader="none"/>
              </w:tabs>
              <w:bidi w:val="0"/>
              <w:jc w:val="start"/>
              <w:rPr/>
            </w:pPr>
            <w:r>
              <w:rPr>
                <w:highlight w:val="yellow"/>
              </w:rPr>
              <w:t>Higher Average Rate</w:t>
            </w:r>
          </w:p>
        </w:tc>
        <w:tc>
          <w:tcPr>
            <w:tcW w:w="1280" w:type="dxa"/>
            <w:tcBorders>
              <w:top w:val="single" w:sz="6" w:space="0" w:color="000000"/>
              <w:start w:val="single" w:sz="6" w:space="0" w:color="000000"/>
              <w:bottom w:val="single" w:sz="6" w:space="0" w:color="000000"/>
              <w:end w:val="single" w:sz="6" w:space="0" w:color="000000"/>
            </w:tcBorders>
            <w:shd w:color="auto" w:fill="FFFF00"/>
          </w:tcPr>
          <w:p>
            <w:pPr>
              <w:pStyle w:val="Normal"/>
              <w:numPr>
                <w:ilvl w:val="0"/>
                <w:numId w:val="1"/>
              </w:numPr>
              <w:tabs>
                <w:tab w:val="clear" w:pos="720"/>
                <w:tab w:val="left" w:pos="360" w:leader="none"/>
              </w:tabs>
              <w:bidi w:val="0"/>
              <w:jc w:val="start"/>
              <w:rPr>
                <w:highlight w:val="yellow"/>
              </w:rPr>
            </w:pPr>
            <w:r>
              <w:rPr>
                <w:highlight w:val="yellow"/>
              </w:rPr>
              <w:t>Savings</w:t>
            </w:r>
          </w:p>
          <w:p>
            <w:pPr>
              <w:pStyle w:val="Normal"/>
              <w:numPr>
                <w:ilvl w:val="0"/>
                <w:numId w:val="1"/>
              </w:numPr>
              <w:tabs>
                <w:tab w:val="clear" w:pos="720"/>
                <w:tab w:val="left" w:pos="360" w:leader="none"/>
              </w:tabs>
              <w:bidi w:val="0"/>
              <w:jc w:val="start"/>
              <w:rPr/>
            </w:pPr>
            <w:r>
              <w:rPr>
                <w:highlight w:val="yellow"/>
              </w:rPr>
              <w:t>Higher Average Rate</w:t>
            </w:r>
          </w:p>
        </w:tc>
      </w:tr>
      <w:tr>
        <w:trPr/>
        <w:tc>
          <w:tcPr>
            <w:tcW w:w="2451" w:type="dxa"/>
            <w:tcBorders>
              <w:top w:val="single" w:sz="6" w:space="0" w:color="000000"/>
              <w:start w:val="single" w:sz="6" w:space="0" w:color="000000"/>
              <w:end w:val="single" w:sz="6" w:space="0" w:color="000000"/>
            </w:tcBorders>
            <w:shd w:color="auto" w:fill="FFFF00"/>
          </w:tcPr>
          <w:p>
            <w:pPr>
              <w:pStyle w:val="Normal"/>
              <w:tabs>
                <w:tab w:val="clear" w:pos="720"/>
              </w:tabs>
              <w:bidi w:val="0"/>
              <w:jc w:val="start"/>
              <w:rPr/>
            </w:pPr>
            <w:r>
              <w:rPr/>
              <w:t>Inverted Block Energy Rate</w:t>
            </w:r>
          </w:p>
        </w:tc>
        <w:tc>
          <w:tcPr>
            <w:tcW w:w="1282" w:type="dxa"/>
            <w:tcBorders>
              <w:top w:val="single" w:sz="6" w:space="0" w:color="000000"/>
              <w:start w:val="single" w:sz="6" w:space="0" w:color="000000"/>
              <w:bottom w:val="single" w:sz="6" w:space="0" w:color="000000"/>
              <w:end w:val="single" w:sz="6" w:space="0" w:color="000000"/>
            </w:tcBorders>
            <w:shd w:color="auto" w:fill="00FF00"/>
          </w:tcPr>
          <w:p>
            <w:pPr>
              <w:pStyle w:val="Normal"/>
              <w:numPr>
                <w:ilvl w:val="0"/>
                <w:numId w:val="1"/>
              </w:numPr>
              <w:tabs>
                <w:tab w:val="clear" w:pos="720"/>
                <w:tab w:val="left" w:pos="360" w:leader="none"/>
              </w:tabs>
              <w:bidi w:val="0"/>
              <w:jc w:val="start"/>
              <w:rPr>
                <w:highlight w:val="green"/>
              </w:rPr>
            </w:pPr>
            <w:r>
              <w:rPr>
                <w:highlight w:val="green"/>
              </w:rPr>
              <w:t>Savings</w:t>
            </w:r>
          </w:p>
          <w:p>
            <w:pPr>
              <w:pStyle w:val="Normal"/>
              <w:numPr>
                <w:ilvl w:val="0"/>
                <w:numId w:val="1"/>
              </w:numPr>
              <w:tabs>
                <w:tab w:val="clear" w:pos="720"/>
                <w:tab w:val="left" w:pos="360" w:leader="none"/>
              </w:tabs>
              <w:bidi w:val="0"/>
              <w:jc w:val="start"/>
              <w:rPr/>
            </w:pPr>
            <w:r>
              <w:rPr>
                <w:highlight w:val="green"/>
              </w:rPr>
              <w:t>Lower Average Rate</w:t>
            </w:r>
          </w:p>
        </w:tc>
        <w:tc>
          <w:tcPr>
            <w:tcW w:w="1280" w:type="dxa"/>
            <w:tcBorders>
              <w:top w:val="single" w:sz="6" w:space="0" w:color="000000"/>
              <w:start w:val="single" w:sz="6" w:space="0" w:color="000000"/>
              <w:bottom w:val="single" w:sz="6" w:space="0" w:color="000000"/>
              <w:end w:val="single" w:sz="6" w:space="0" w:color="000000"/>
            </w:tcBorders>
            <w:shd w:color="auto" w:fill="FF0000"/>
          </w:tcPr>
          <w:p>
            <w:pPr>
              <w:pStyle w:val="Normal"/>
              <w:numPr>
                <w:ilvl w:val="0"/>
                <w:numId w:val="1"/>
              </w:numPr>
              <w:tabs>
                <w:tab w:val="clear" w:pos="720"/>
                <w:tab w:val="left" w:pos="360" w:leader="none"/>
              </w:tabs>
              <w:bidi w:val="0"/>
              <w:jc w:val="start"/>
              <w:rPr>
                <w:highlight w:val="red"/>
              </w:rPr>
            </w:pPr>
            <w:r>
              <w:rPr>
                <w:highlight w:val="red"/>
              </w:rPr>
              <w:t>No Savings</w:t>
            </w:r>
          </w:p>
          <w:p>
            <w:pPr>
              <w:pStyle w:val="Normal"/>
              <w:numPr>
                <w:ilvl w:val="0"/>
                <w:numId w:val="1"/>
              </w:numPr>
              <w:tabs>
                <w:tab w:val="clear" w:pos="720"/>
                <w:tab w:val="left" w:pos="360" w:leader="none"/>
              </w:tabs>
              <w:bidi w:val="0"/>
              <w:jc w:val="start"/>
              <w:rPr/>
            </w:pPr>
            <w:r>
              <w:rPr>
                <w:highlight w:val="red"/>
              </w:rPr>
              <w:t>Same Average Rate</w:t>
            </w:r>
          </w:p>
        </w:tc>
        <w:tc>
          <w:tcPr>
            <w:tcW w:w="1281" w:type="dxa"/>
            <w:tcBorders>
              <w:top w:val="single" w:sz="6" w:space="0" w:color="000000"/>
              <w:start w:val="single" w:sz="6" w:space="0" w:color="000000"/>
              <w:bottom w:val="single" w:sz="6" w:space="0" w:color="000000"/>
              <w:end w:val="single" w:sz="6" w:space="0" w:color="000000"/>
            </w:tcBorders>
            <w:shd w:color="auto" w:fill="FF0000"/>
          </w:tcPr>
          <w:p>
            <w:pPr>
              <w:pStyle w:val="Normal"/>
              <w:numPr>
                <w:ilvl w:val="0"/>
                <w:numId w:val="1"/>
              </w:numPr>
              <w:tabs>
                <w:tab w:val="clear" w:pos="720"/>
                <w:tab w:val="left" w:pos="360" w:leader="none"/>
              </w:tabs>
              <w:bidi w:val="0"/>
              <w:jc w:val="start"/>
              <w:rPr>
                <w:highlight w:val="red"/>
              </w:rPr>
            </w:pPr>
            <w:r>
              <w:rPr>
                <w:highlight w:val="red"/>
              </w:rPr>
              <w:t>No Savings</w:t>
            </w:r>
          </w:p>
          <w:p>
            <w:pPr>
              <w:pStyle w:val="Normal"/>
              <w:numPr>
                <w:ilvl w:val="0"/>
                <w:numId w:val="1"/>
              </w:numPr>
              <w:tabs>
                <w:tab w:val="clear" w:pos="720"/>
                <w:tab w:val="left" w:pos="360" w:leader="none"/>
              </w:tabs>
              <w:bidi w:val="0"/>
              <w:jc w:val="start"/>
              <w:rPr/>
            </w:pPr>
            <w:r>
              <w:rPr>
                <w:highlight w:val="red"/>
              </w:rPr>
              <w:t>Same Average Rate</w:t>
            </w:r>
          </w:p>
        </w:tc>
        <w:tc>
          <w:tcPr>
            <w:tcW w:w="1282" w:type="dxa"/>
            <w:tcBorders>
              <w:start w:val="single" w:sz="6" w:space="0" w:color="000000"/>
              <w:bottom w:val="single" w:sz="6" w:space="0" w:color="000000"/>
              <w:end w:val="single" w:sz="6" w:space="0" w:color="000000"/>
            </w:tcBorders>
            <w:shd w:color="auto" w:fill="00FF00"/>
          </w:tcPr>
          <w:p>
            <w:pPr>
              <w:pStyle w:val="Normal"/>
              <w:numPr>
                <w:ilvl w:val="0"/>
                <w:numId w:val="1"/>
              </w:numPr>
              <w:tabs>
                <w:tab w:val="clear" w:pos="720"/>
                <w:tab w:val="left" w:pos="360" w:leader="none"/>
              </w:tabs>
              <w:bidi w:val="0"/>
              <w:jc w:val="start"/>
              <w:rPr>
                <w:highlight w:val="green"/>
              </w:rPr>
            </w:pPr>
            <w:r>
              <w:rPr>
                <w:highlight w:val="green"/>
              </w:rPr>
              <w:t>Savings</w:t>
            </w:r>
          </w:p>
          <w:p>
            <w:pPr>
              <w:pStyle w:val="Normal"/>
              <w:numPr>
                <w:ilvl w:val="0"/>
                <w:numId w:val="1"/>
              </w:numPr>
              <w:tabs>
                <w:tab w:val="clear" w:pos="720"/>
                <w:tab w:val="left" w:pos="360" w:leader="none"/>
              </w:tabs>
              <w:bidi w:val="0"/>
              <w:jc w:val="start"/>
              <w:rPr/>
            </w:pPr>
            <w:r>
              <w:rPr>
                <w:highlight w:val="green"/>
              </w:rPr>
              <w:t>Lower Average Rate</w:t>
            </w:r>
          </w:p>
        </w:tc>
        <w:tc>
          <w:tcPr>
            <w:tcW w:w="1280" w:type="dxa"/>
            <w:tcBorders>
              <w:start w:val="single" w:sz="6" w:space="0" w:color="000000"/>
              <w:bottom w:val="single" w:sz="6" w:space="0" w:color="000000"/>
              <w:end w:val="single" w:sz="6" w:space="0" w:color="000000"/>
            </w:tcBorders>
            <w:shd w:color="auto" w:fill="00FF00"/>
          </w:tcPr>
          <w:p>
            <w:pPr>
              <w:pStyle w:val="Normal"/>
              <w:numPr>
                <w:ilvl w:val="0"/>
                <w:numId w:val="1"/>
              </w:numPr>
              <w:tabs>
                <w:tab w:val="clear" w:pos="720"/>
                <w:tab w:val="left" w:pos="360" w:leader="none"/>
              </w:tabs>
              <w:bidi w:val="0"/>
              <w:jc w:val="start"/>
              <w:rPr/>
            </w:pPr>
            <w:r>
              <w:rPr>
                <w:highlight w:val="green"/>
              </w:rPr>
              <w:t>Savings Lower Average Rate</w:t>
            </w:r>
          </w:p>
        </w:tc>
      </w:tr>
      <w:tr>
        <w:trPr/>
        <w:tc>
          <w:tcPr>
            <w:tcW w:w="2451" w:type="dxa"/>
            <w:tcBorders>
              <w:top w:val="single" w:sz="6" w:space="0" w:color="000000"/>
              <w:start w:val="single" w:sz="6" w:space="0" w:color="000000"/>
              <w:bottom w:val="single" w:sz="6" w:space="0" w:color="000000"/>
              <w:end w:val="single" w:sz="6" w:space="0" w:color="000000"/>
            </w:tcBorders>
            <w:shd w:color="auto" w:fill="FFFF00"/>
          </w:tcPr>
          <w:p>
            <w:pPr>
              <w:pStyle w:val="Normal"/>
              <w:tabs>
                <w:tab w:val="clear" w:pos="720"/>
              </w:tabs>
              <w:bidi w:val="0"/>
              <w:jc w:val="start"/>
              <w:rPr/>
            </w:pPr>
            <w:r>
              <w:rPr/>
              <w:t>Step Energy Rate</w:t>
            </w:r>
          </w:p>
        </w:tc>
        <w:tc>
          <w:tcPr>
            <w:tcW w:w="1282" w:type="dxa"/>
            <w:tcBorders>
              <w:top w:val="single" w:sz="6" w:space="0" w:color="000000"/>
              <w:start w:val="single" w:sz="6" w:space="0" w:color="000000"/>
              <w:bottom w:val="single" w:sz="6" w:space="0" w:color="000000"/>
              <w:end w:val="single" w:sz="6" w:space="0" w:color="000000"/>
            </w:tcBorders>
            <w:shd w:color="auto" w:fill="00FF00"/>
          </w:tcPr>
          <w:p>
            <w:pPr>
              <w:pStyle w:val="Normal"/>
              <w:numPr>
                <w:ilvl w:val="0"/>
                <w:numId w:val="1"/>
              </w:numPr>
              <w:tabs>
                <w:tab w:val="clear" w:pos="720"/>
                <w:tab w:val="left" w:pos="360" w:leader="none"/>
              </w:tabs>
              <w:bidi w:val="0"/>
              <w:jc w:val="start"/>
              <w:rPr>
                <w:highlight w:val="green"/>
              </w:rPr>
            </w:pPr>
            <w:r>
              <w:rPr>
                <w:highlight w:val="green"/>
              </w:rPr>
              <w:t>Savings</w:t>
            </w:r>
          </w:p>
          <w:p>
            <w:pPr>
              <w:pStyle w:val="Normal"/>
              <w:numPr>
                <w:ilvl w:val="0"/>
                <w:numId w:val="1"/>
              </w:numPr>
              <w:tabs>
                <w:tab w:val="clear" w:pos="720"/>
                <w:tab w:val="left" w:pos="360" w:leader="none"/>
              </w:tabs>
              <w:bidi w:val="0"/>
              <w:jc w:val="start"/>
              <w:rPr/>
            </w:pPr>
            <w:r>
              <w:rPr>
                <w:highlight w:val="green"/>
              </w:rPr>
              <w:t>Lower Average Rate</w:t>
            </w:r>
          </w:p>
        </w:tc>
        <w:tc>
          <w:tcPr>
            <w:tcW w:w="1280" w:type="dxa"/>
            <w:tcBorders>
              <w:top w:val="single" w:sz="6" w:space="0" w:color="000000"/>
              <w:start w:val="single" w:sz="6" w:space="0" w:color="000000"/>
              <w:end w:val="single" w:sz="6" w:space="0" w:color="000000"/>
            </w:tcBorders>
            <w:shd w:color="auto" w:fill="FF0000"/>
          </w:tcPr>
          <w:p>
            <w:pPr>
              <w:pStyle w:val="Normal"/>
              <w:numPr>
                <w:ilvl w:val="0"/>
                <w:numId w:val="1"/>
              </w:numPr>
              <w:tabs>
                <w:tab w:val="clear" w:pos="720"/>
                <w:tab w:val="left" w:pos="360" w:leader="none"/>
              </w:tabs>
              <w:bidi w:val="0"/>
              <w:jc w:val="start"/>
              <w:rPr>
                <w:highlight w:val="red"/>
              </w:rPr>
            </w:pPr>
            <w:r>
              <w:rPr>
                <w:highlight w:val="red"/>
              </w:rPr>
              <w:t>No Savings</w:t>
            </w:r>
          </w:p>
          <w:p>
            <w:pPr>
              <w:pStyle w:val="Normal"/>
              <w:numPr>
                <w:ilvl w:val="0"/>
                <w:numId w:val="1"/>
              </w:numPr>
              <w:tabs>
                <w:tab w:val="clear" w:pos="720"/>
                <w:tab w:val="left" w:pos="360" w:leader="none"/>
              </w:tabs>
              <w:bidi w:val="0"/>
              <w:jc w:val="start"/>
              <w:rPr/>
            </w:pPr>
            <w:r>
              <w:rPr>
                <w:highlight w:val="red"/>
              </w:rPr>
              <w:t>Same Average Rate</w:t>
            </w:r>
          </w:p>
        </w:tc>
        <w:tc>
          <w:tcPr>
            <w:tcW w:w="1281" w:type="dxa"/>
            <w:tcBorders>
              <w:top w:val="single" w:sz="6" w:space="0" w:color="000000"/>
              <w:start w:val="single" w:sz="6" w:space="0" w:color="000000"/>
              <w:bottom w:val="single" w:sz="6" w:space="0" w:color="000000"/>
              <w:end w:val="single" w:sz="6" w:space="0" w:color="000000"/>
            </w:tcBorders>
            <w:shd w:color="auto" w:fill="FF0000"/>
          </w:tcPr>
          <w:p>
            <w:pPr>
              <w:pStyle w:val="Normal"/>
              <w:numPr>
                <w:ilvl w:val="0"/>
                <w:numId w:val="1"/>
              </w:numPr>
              <w:tabs>
                <w:tab w:val="clear" w:pos="720"/>
                <w:tab w:val="left" w:pos="360" w:leader="none"/>
              </w:tabs>
              <w:bidi w:val="0"/>
              <w:jc w:val="start"/>
              <w:rPr>
                <w:highlight w:val="red"/>
              </w:rPr>
            </w:pPr>
            <w:r>
              <w:rPr>
                <w:highlight w:val="red"/>
              </w:rPr>
              <w:t>No Savings</w:t>
            </w:r>
          </w:p>
          <w:p>
            <w:pPr>
              <w:pStyle w:val="Normal"/>
              <w:numPr>
                <w:ilvl w:val="0"/>
                <w:numId w:val="1"/>
              </w:numPr>
              <w:tabs>
                <w:tab w:val="clear" w:pos="720"/>
                <w:tab w:val="left" w:pos="360" w:leader="none"/>
              </w:tabs>
              <w:bidi w:val="0"/>
              <w:jc w:val="start"/>
              <w:rPr/>
            </w:pPr>
            <w:r>
              <w:rPr>
                <w:highlight w:val="red"/>
              </w:rPr>
              <w:t>Same Average Rate</w:t>
            </w:r>
          </w:p>
        </w:tc>
        <w:tc>
          <w:tcPr>
            <w:tcW w:w="1282" w:type="dxa"/>
            <w:tcBorders>
              <w:top w:val="single" w:sz="6" w:space="0" w:color="000000"/>
              <w:start w:val="single" w:sz="6" w:space="0" w:color="000000"/>
              <w:end w:val="single" w:sz="6" w:space="0" w:color="000000"/>
            </w:tcBorders>
            <w:shd w:color="auto" w:fill="00FF00"/>
          </w:tcPr>
          <w:p>
            <w:pPr>
              <w:pStyle w:val="Normal"/>
              <w:numPr>
                <w:ilvl w:val="0"/>
                <w:numId w:val="1"/>
              </w:numPr>
              <w:tabs>
                <w:tab w:val="clear" w:pos="720"/>
                <w:tab w:val="left" w:pos="360" w:leader="none"/>
              </w:tabs>
              <w:bidi w:val="0"/>
              <w:jc w:val="start"/>
              <w:rPr>
                <w:highlight w:val="green"/>
              </w:rPr>
            </w:pPr>
            <w:r>
              <w:rPr>
                <w:highlight w:val="green"/>
              </w:rPr>
              <w:t>Savings</w:t>
            </w:r>
          </w:p>
          <w:p>
            <w:pPr>
              <w:pStyle w:val="Normal"/>
              <w:numPr>
                <w:ilvl w:val="0"/>
                <w:numId w:val="1"/>
              </w:numPr>
              <w:tabs>
                <w:tab w:val="clear" w:pos="720"/>
                <w:tab w:val="left" w:pos="360" w:leader="none"/>
              </w:tabs>
              <w:bidi w:val="0"/>
              <w:jc w:val="start"/>
              <w:rPr/>
            </w:pPr>
            <w:r>
              <w:rPr>
                <w:highlight w:val="green"/>
              </w:rPr>
              <w:t>Lower Average Rate</w:t>
            </w:r>
          </w:p>
        </w:tc>
        <w:tc>
          <w:tcPr>
            <w:tcW w:w="1280" w:type="dxa"/>
            <w:tcBorders>
              <w:top w:val="single" w:sz="6" w:space="0" w:color="000000"/>
              <w:start w:val="single" w:sz="6" w:space="0" w:color="000000"/>
              <w:end w:val="single" w:sz="6" w:space="0" w:color="000000"/>
            </w:tcBorders>
            <w:shd w:color="auto" w:fill="00FF00"/>
          </w:tcPr>
          <w:p>
            <w:pPr>
              <w:pStyle w:val="Normal"/>
              <w:numPr>
                <w:ilvl w:val="0"/>
                <w:numId w:val="1"/>
              </w:numPr>
              <w:tabs>
                <w:tab w:val="clear" w:pos="720"/>
                <w:tab w:val="left" w:pos="360" w:leader="none"/>
              </w:tabs>
              <w:bidi w:val="0"/>
              <w:jc w:val="start"/>
              <w:rPr/>
            </w:pPr>
            <w:r>
              <w:rPr>
                <w:highlight w:val="green"/>
              </w:rPr>
              <w:t>Savings Lower Average Rate</w:t>
            </w:r>
          </w:p>
        </w:tc>
      </w:tr>
      <w:tr>
        <w:trPr/>
        <w:tc>
          <w:tcPr>
            <w:tcW w:w="2451" w:type="dxa"/>
            <w:tcBorders>
              <w:top w:val="single" w:sz="6" w:space="0" w:color="000000"/>
              <w:start w:val="single" w:sz="6" w:space="0" w:color="000000"/>
              <w:bottom w:val="single" w:sz="6" w:space="0" w:color="000000"/>
              <w:end w:val="single" w:sz="6" w:space="0" w:color="000000"/>
            </w:tcBorders>
            <w:shd w:color="auto" w:fill="FFFF00"/>
          </w:tcPr>
          <w:p>
            <w:pPr>
              <w:pStyle w:val="Normal"/>
              <w:tabs>
                <w:tab w:val="clear" w:pos="720"/>
              </w:tabs>
              <w:bidi w:val="0"/>
              <w:jc w:val="start"/>
              <w:rPr/>
            </w:pPr>
            <w:r>
              <w:rPr/>
              <w:t>Load Factor Energy Rate</w:t>
            </w:r>
          </w:p>
        </w:tc>
        <w:tc>
          <w:tcPr>
            <w:tcW w:w="1282" w:type="dxa"/>
            <w:tcBorders>
              <w:top w:val="single" w:sz="6" w:space="0" w:color="000000"/>
              <w:start w:val="single" w:sz="6" w:space="0" w:color="000000"/>
              <w:end w:val="single" w:sz="6" w:space="0" w:color="000000"/>
            </w:tcBorders>
            <w:shd w:color="auto" w:fill="00FF00"/>
          </w:tcPr>
          <w:p>
            <w:pPr>
              <w:pStyle w:val="Normal"/>
              <w:numPr>
                <w:ilvl w:val="0"/>
                <w:numId w:val="1"/>
              </w:numPr>
              <w:tabs>
                <w:tab w:val="clear" w:pos="720"/>
                <w:tab w:val="left" w:pos="360" w:leader="none"/>
              </w:tabs>
              <w:bidi w:val="0"/>
              <w:jc w:val="start"/>
              <w:rPr>
                <w:highlight w:val="green"/>
              </w:rPr>
            </w:pPr>
            <w:r>
              <w:rPr>
                <w:highlight w:val="green"/>
              </w:rPr>
              <w:t>Savings</w:t>
            </w:r>
          </w:p>
          <w:p>
            <w:pPr>
              <w:pStyle w:val="Normal"/>
              <w:numPr>
                <w:ilvl w:val="0"/>
                <w:numId w:val="1"/>
              </w:numPr>
              <w:tabs>
                <w:tab w:val="clear" w:pos="720"/>
                <w:tab w:val="left" w:pos="360" w:leader="none"/>
              </w:tabs>
              <w:bidi w:val="0"/>
              <w:jc w:val="start"/>
              <w:rPr/>
            </w:pPr>
            <w:r>
              <w:rPr>
                <w:highlight w:val="green"/>
              </w:rPr>
              <w:t>Lower Average Rate</w:t>
            </w:r>
          </w:p>
        </w:tc>
        <w:tc>
          <w:tcPr>
            <w:tcW w:w="1280" w:type="dxa"/>
            <w:tcBorders>
              <w:top w:val="single" w:sz="6" w:space="0" w:color="000000"/>
              <w:start w:val="single" w:sz="6" w:space="0" w:color="000000"/>
              <w:end w:val="single" w:sz="6" w:space="0" w:color="000000"/>
            </w:tcBorders>
            <w:shd w:color="auto" w:fill="FF0000"/>
          </w:tcPr>
          <w:p>
            <w:pPr>
              <w:pStyle w:val="Normal"/>
              <w:numPr>
                <w:ilvl w:val="0"/>
                <w:numId w:val="1"/>
              </w:numPr>
              <w:tabs>
                <w:tab w:val="clear" w:pos="720"/>
                <w:tab w:val="left" w:pos="360" w:leader="none"/>
              </w:tabs>
              <w:bidi w:val="0"/>
              <w:jc w:val="start"/>
              <w:rPr>
                <w:highlight w:val="red"/>
              </w:rPr>
            </w:pPr>
            <w:r>
              <w:rPr>
                <w:highlight w:val="red"/>
              </w:rPr>
              <w:t>No Savings</w:t>
            </w:r>
          </w:p>
          <w:p>
            <w:pPr>
              <w:pStyle w:val="Normal"/>
              <w:numPr>
                <w:ilvl w:val="0"/>
                <w:numId w:val="1"/>
              </w:numPr>
              <w:tabs>
                <w:tab w:val="clear" w:pos="720"/>
                <w:tab w:val="left" w:pos="360" w:leader="none"/>
              </w:tabs>
              <w:bidi w:val="0"/>
              <w:jc w:val="start"/>
              <w:rPr/>
            </w:pPr>
            <w:r>
              <w:rPr>
                <w:highlight w:val="red"/>
              </w:rPr>
              <w:t>Same Average Rate</w:t>
            </w:r>
          </w:p>
        </w:tc>
        <w:tc>
          <w:tcPr>
            <w:tcW w:w="1281" w:type="dxa"/>
            <w:tcBorders>
              <w:start w:val="single" w:sz="6" w:space="0" w:color="000000"/>
              <w:end w:val="single" w:sz="6" w:space="0" w:color="000000"/>
            </w:tcBorders>
            <w:shd w:color="auto" w:fill="00FF00"/>
          </w:tcPr>
          <w:p>
            <w:pPr>
              <w:pStyle w:val="Normal"/>
              <w:numPr>
                <w:ilvl w:val="0"/>
                <w:numId w:val="1"/>
              </w:numPr>
              <w:tabs>
                <w:tab w:val="clear" w:pos="720"/>
                <w:tab w:val="left" w:pos="360" w:leader="none"/>
              </w:tabs>
              <w:bidi w:val="0"/>
              <w:jc w:val="start"/>
              <w:rPr>
                <w:highlight w:val="green"/>
              </w:rPr>
            </w:pPr>
            <w:r>
              <w:rPr>
                <w:highlight w:val="green"/>
              </w:rPr>
              <w:t>Savings</w:t>
            </w:r>
          </w:p>
          <w:p>
            <w:pPr>
              <w:pStyle w:val="Normal"/>
              <w:numPr>
                <w:ilvl w:val="0"/>
                <w:numId w:val="1"/>
              </w:numPr>
              <w:tabs>
                <w:tab w:val="clear" w:pos="720"/>
                <w:tab w:val="left" w:pos="360" w:leader="none"/>
              </w:tabs>
              <w:bidi w:val="0"/>
              <w:jc w:val="start"/>
              <w:rPr/>
            </w:pPr>
            <w:r>
              <w:rPr>
                <w:highlight w:val="green"/>
              </w:rPr>
              <w:t>Lower Average Rate</w:t>
            </w:r>
          </w:p>
        </w:tc>
        <w:tc>
          <w:tcPr>
            <w:tcW w:w="1282" w:type="dxa"/>
            <w:tcBorders>
              <w:top w:val="single" w:sz="6" w:space="0" w:color="000000"/>
              <w:start w:val="single" w:sz="6" w:space="0" w:color="000000"/>
              <w:end w:val="single" w:sz="6" w:space="0" w:color="000000"/>
            </w:tcBorders>
            <w:shd w:color="auto" w:fill="FF0000"/>
          </w:tcPr>
          <w:p>
            <w:pPr>
              <w:pStyle w:val="Normal"/>
              <w:numPr>
                <w:ilvl w:val="0"/>
                <w:numId w:val="1"/>
              </w:numPr>
              <w:tabs>
                <w:tab w:val="clear" w:pos="720"/>
                <w:tab w:val="left" w:pos="360" w:leader="none"/>
              </w:tabs>
              <w:bidi w:val="0"/>
              <w:jc w:val="start"/>
              <w:rPr>
                <w:highlight w:val="red"/>
              </w:rPr>
            </w:pPr>
            <w:r>
              <w:rPr>
                <w:highlight w:val="red"/>
              </w:rPr>
              <w:t>Negative Savings</w:t>
            </w:r>
          </w:p>
          <w:p>
            <w:pPr>
              <w:pStyle w:val="Normal"/>
              <w:numPr>
                <w:ilvl w:val="0"/>
                <w:numId w:val="1"/>
              </w:numPr>
              <w:tabs>
                <w:tab w:val="clear" w:pos="720"/>
                <w:tab w:val="left" w:pos="360" w:leader="none"/>
              </w:tabs>
              <w:bidi w:val="0"/>
              <w:jc w:val="start"/>
              <w:rPr/>
            </w:pPr>
            <w:r>
              <w:rPr>
                <w:highlight w:val="red"/>
              </w:rPr>
              <w:t>Higher Average Rate</w:t>
            </w:r>
          </w:p>
        </w:tc>
        <w:tc>
          <w:tcPr>
            <w:tcW w:w="1280" w:type="dxa"/>
            <w:tcBorders>
              <w:top w:val="single" w:sz="6" w:space="0" w:color="000000"/>
              <w:start w:val="single" w:sz="6" w:space="0" w:color="000000"/>
              <w:end w:val="single" w:sz="6" w:space="0" w:color="000000"/>
            </w:tcBorders>
            <w:shd w:color="auto" w:fill="FFFF00"/>
          </w:tcPr>
          <w:p>
            <w:pPr>
              <w:pStyle w:val="Normal"/>
              <w:numPr>
                <w:ilvl w:val="0"/>
                <w:numId w:val="1"/>
              </w:numPr>
              <w:tabs>
                <w:tab w:val="clear" w:pos="720"/>
                <w:tab w:val="left" w:pos="360" w:leader="none"/>
              </w:tabs>
              <w:bidi w:val="0"/>
              <w:jc w:val="start"/>
              <w:rPr>
                <w:highlight w:val="yellow"/>
              </w:rPr>
            </w:pPr>
            <w:r>
              <w:rPr>
                <w:highlight w:val="yellow"/>
              </w:rPr>
              <w:t>Savings</w:t>
            </w:r>
          </w:p>
          <w:p>
            <w:pPr>
              <w:pStyle w:val="Normal"/>
              <w:numPr>
                <w:ilvl w:val="0"/>
                <w:numId w:val="1"/>
              </w:numPr>
              <w:tabs>
                <w:tab w:val="clear" w:pos="720"/>
                <w:tab w:val="left" w:pos="360" w:leader="none"/>
              </w:tabs>
              <w:bidi w:val="0"/>
              <w:jc w:val="start"/>
              <w:rPr/>
            </w:pPr>
            <w:r>
              <w:rPr>
                <w:highlight w:val="yellow"/>
              </w:rPr>
              <w:t>Same Average Rate</w:t>
            </w:r>
          </w:p>
        </w:tc>
      </w:tr>
      <w:tr>
        <w:trPr/>
        <w:tc>
          <w:tcPr>
            <w:tcW w:w="2451" w:type="dxa"/>
            <w:tcBorders>
              <w:start w:val="single" w:sz="6" w:space="0" w:color="000000"/>
              <w:end w:val="single" w:sz="6" w:space="0" w:color="000000"/>
            </w:tcBorders>
            <w:shd w:color="auto" w:fill="FFFFFF" w:val="pct5"/>
          </w:tcPr>
          <w:p>
            <w:pPr>
              <w:pStyle w:val="Normal"/>
              <w:tabs>
                <w:tab w:val="clear" w:pos="720"/>
              </w:tabs>
              <w:bidi w:val="0"/>
              <w:jc w:val="start"/>
              <w:rPr/>
            </w:pPr>
            <w:r>
              <w:rPr/>
              <w:t>DEMAND RATES</w:t>
            </w:r>
          </w:p>
        </w:tc>
        <w:tc>
          <w:tcPr>
            <w:tcW w:w="1282" w:type="dxa"/>
            <w:tcBorders>
              <w:top w:val="single" w:sz="6" w:space="0" w:color="000000"/>
              <w:start w:val="single" w:sz="6" w:space="0" w:color="000000"/>
              <w:bottom w:val="single" w:sz="6" w:space="0" w:color="000000"/>
              <w:end w:val="single" w:sz="6" w:space="0" w:color="000000"/>
            </w:tcBorders>
            <w:shd w:color="auto" w:fill="FFFFFF" w:val="pct5"/>
          </w:tcPr>
          <w:p>
            <w:pPr>
              <w:pStyle w:val="Normal"/>
              <w:tabs>
                <w:tab w:val="clear" w:pos="720"/>
              </w:tabs>
              <w:bidi w:val="0"/>
              <w:jc w:val="start"/>
              <w:rPr/>
            </w:pPr>
            <w:r>
              <w:rPr/>
            </w:r>
          </w:p>
        </w:tc>
        <w:tc>
          <w:tcPr>
            <w:tcW w:w="1280" w:type="dxa"/>
            <w:tcBorders>
              <w:top w:val="single" w:sz="6" w:space="0" w:color="000000"/>
              <w:start w:val="single" w:sz="6" w:space="0" w:color="000000"/>
              <w:bottom w:val="single" w:sz="6" w:space="0" w:color="000000"/>
              <w:end w:val="single" w:sz="6" w:space="0" w:color="000000"/>
            </w:tcBorders>
            <w:shd w:color="auto" w:fill="FFFFFF" w:val="pct5"/>
          </w:tcPr>
          <w:p>
            <w:pPr>
              <w:pStyle w:val="Normal"/>
              <w:tabs>
                <w:tab w:val="clear" w:pos="720"/>
              </w:tabs>
              <w:bidi w:val="0"/>
              <w:jc w:val="start"/>
              <w:rPr/>
            </w:pPr>
            <w:r>
              <w:rPr/>
            </w:r>
          </w:p>
        </w:tc>
        <w:tc>
          <w:tcPr>
            <w:tcW w:w="1281" w:type="dxa"/>
            <w:tcBorders>
              <w:top w:val="single" w:sz="6" w:space="0" w:color="000000"/>
              <w:start w:val="single" w:sz="6" w:space="0" w:color="000000"/>
              <w:bottom w:val="single" w:sz="6" w:space="0" w:color="000000"/>
              <w:end w:val="single" w:sz="6" w:space="0" w:color="000000"/>
            </w:tcBorders>
            <w:shd w:color="auto" w:fill="FFFFFF" w:val="pct5"/>
          </w:tcPr>
          <w:p>
            <w:pPr>
              <w:pStyle w:val="Normal"/>
              <w:tabs>
                <w:tab w:val="clear" w:pos="720"/>
              </w:tabs>
              <w:bidi w:val="0"/>
              <w:jc w:val="start"/>
              <w:rPr/>
            </w:pPr>
            <w:r>
              <w:rPr/>
            </w:r>
          </w:p>
        </w:tc>
        <w:tc>
          <w:tcPr>
            <w:tcW w:w="1282" w:type="dxa"/>
            <w:tcBorders>
              <w:top w:val="single" w:sz="6" w:space="0" w:color="000000"/>
              <w:start w:val="single" w:sz="6" w:space="0" w:color="000000"/>
              <w:bottom w:val="single" w:sz="6" w:space="0" w:color="000000"/>
              <w:end w:val="single" w:sz="6" w:space="0" w:color="000000"/>
            </w:tcBorders>
            <w:shd w:color="auto" w:fill="FFFFFF" w:val="pct5"/>
          </w:tcPr>
          <w:p>
            <w:pPr>
              <w:pStyle w:val="Normal"/>
              <w:tabs>
                <w:tab w:val="clear" w:pos="720"/>
              </w:tabs>
              <w:bidi w:val="0"/>
              <w:jc w:val="start"/>
              <w:rPr/>
            </w:pPr>
            <w:r>
              <w:rPr/>
            </w:r>
          </w:p>
        </w:tc>
        <w:tc>
          <w:tcPr>
            <w:tcW w:w="1280" w:type="dxa"/>
            <w:tcBorders>
              <w:top w:val="single" w:sz="6" w:space="0" w:color="000000"/>
              <w:start w:val="single" w:sz="6" w:space="0" w:color="000000"/>
              <w:bottom w:val="single" w:sz="6" w:space="0" w:color="000000"/>
              <w:end w:val="single" w:sz="6" w:space="0" w:color="000000"/>
            </w:tcBorders>
            <w:shd w:color="auto" w:fill="FFFFFF" w:val="pct5"/>
          </w:tcPr>
          <w:p>
            <w:pPr>
              <w:pStyle w:val="Normal"/>
              <w:tabs>
                <w:tab w:val="clear" w:pos="720"/>
              </w:tabs>
              <w:bidi w:val="0"/>
              <w:jc w:val="start"/>
              <w:rPr/>
            </w:pPr>
            <w:r>
              <w:rPr/>
            </w:r>
          </w:p>
        </w:tc>
      </w:tr>
      <w:tr>
        <w:trPr/>
        <w:tc>
          <w:tcPr>
            <w:tcW w:w="2451" w:type="dxa"/>
            <w:tcBorders>
              <w:top w:val="single" w:sz="6" w:space="0" w:color="000000"/>
              <w:start w:val="single" w:sz="6" w:space="0" w:color="000000"/>
              <w:end w:val="single" w:sz="6" w:space="0" w:color="000000"/>
            </w:tcBorders>
            <w:shd w:color="auto" w:fill="FFFF00"/>
          </w:tcPr>
          <w:p>
            <w:pPr>
              <w:pStyle w:val="Normal"/>
              <w:tabs>
                <w:tab w:val="clear" w:pos="720"/>
              </w:tabs>
              <w:bidi w:val="0"/>
              <w:jc w:val="start"/>
              <w:rPr/>
            </w:pPr>
            <w:r>
              <w:rPr>
                <w:shd w:fill="FFFF00" w:val="clear"/>
              </w:rPr>
              <w:t xml:space="preserve">Maximum (Non-Coincident) Demand Rate </w:t>
            </w:r>
          </w:p>
        </w:tc>
        <w:tc>
          <w:tcPr>
            <w:tcW w:w="1282" w:type="dxa"/>
            <w:tcBorders>
              <w:top w:val="single" w:sz="6" w:space="0" w:color="000000"/>
              <w:start w:val="single" w:sz="6" w:space="0" w:color="000000"/>
              <w:bottom w:val="single" w:sz="6" w:space="0" w:color="000000"/>
              <w:end w:val="single" w:sz="6" w:space="0" w:color="000000"/>
            </w:tcBorders>
            <w:shd w:color="auto" w:fill="00FF00"/>
          </w:tcPr>
          <w:p>
            <w:pPr>
              <w:pStyle w:val="Normal"/>
              <w:numPr>
                <w:ilvl w:val="0"/>
                <w:numId w:val="1"/>
              </w:numPr>
              <w:tabs>
                <w:tab w:val="clear" w:pos="720"/>
                <w:tab w:val="left" w:pos="360" w:leader="none"/>
              </w:tabs>
              <w:bidi w:val="0"/>
              <w:jc w:val="start"/>
              <w:rPr>
                <w:highlight w:val="green"/>
              </w:rPr>
            </w:pPr>
            <w:r>
              <w:rPr>
                <w:highlight w:val="green"/>
              </w:rPr>
              <w:t>Savings</w:t>
            </w:r>
          </w:p>
          <w:p>
            <w:pPr>
              <w:pStyle w:val="Normal"/>
              <w:numPr>
                <w:ilvl w:val="0"/>
                <w:numId w:val="1"/>
              </w:numPr>
              <w:tabs>
                <w:tab w:val="clear" w:pos="720"/>
                <w:tab w:val="left" w:pos="360" w:leader="none"/>
              </w:tabs>
              <w:bidi w:val="0"/>
              <w:jc w:val="start"/>
              <w:rPr/>
            </w:pPr>
            <w:r>
              <w:rPr>
                <w:highlight w:val="green"/>
              </w:rPr>
              <w:t>Lower Average Rate</w:t>
            </w:r>
          </w:p>
        </w:tc>
        <w:tc>
          <w:tcPr>
            <w:tcW w:w="1280" w:type="dxa"/>
            <w:tcBorders>
              <w:top w:val="single" w:sz="6" w:space="0" w:color="000000"/>
              <w:start w:val="single" w:sz="6" w:space="0" w:color="000000"/>
              <w:bottom w:val="single" w:sz="6" w:space="0" w:color="000000"/>
              <w:end w:val="single" w:sz="6" w:space="0" w:color="000000"/>
            </w:tcBorders>
            <w:shd w:color="auto" w:fill="FF0000"/>
          </w:tcPr>
          <w:p>
            <w:pPr>
              <w:pStyle w:val="Normal"/>
              <w:numPr>
                <w:ilvl w:val="0"/>
                <w:numId w:val="1"/>
              </w:numPr>
              <w:tabs>
                <w:tab w:val="clear" w:pos="720"/>
                <w:tab w:val="left" w:pos="360" w:leader="none"/>
              </w:tabs>
              <w:bidi w:val="0"/>
              <w:jc w:val="start"/>
              <w:rPr>
                <w:highlight w:val="red"/>
              </w:rPr>
            </w:pPr>
            <w:r>
              <w:rPr>
                <w:highlight w:val="red"/>
              </w:rPr>
              <w:t>No Savings</w:t>
            </w:r>
          </w:p>
          <w:p>
            <w:pPr>
              <w:pStyle w:val="Normal"/>
              <w:numPr>
                <w:ilvl w:val="0"/>
                <w:numId w:val="1"/>
              </w:numPr>
              <w:tabs>
                <w:tab w:val="clear" w:pos="720"/>
                <w:tab w:val="left" w:pos="360" w:leader="none"/>
              </w:tabs>
              <w:bidi w:val="0"/>
              <w:jc w:val="start"/>
              <w:rPr/>
            </w:pPr>
            <w:r>
              <w:rPr>
                <w:highlight w:val="red"/>
              </w:rPr>
              <w:t>Same Average Rate</w:t>
            </w:r>
          </w:p>
        </w:tc>
        <w:tc>
          <w:tcPr>
            <w:tcW w:w="1281" w:type="dxa"/>
            <w:tcBorders>
              <w:top w:val="single" w:sz="6" w:space="0" w:color="000000"/>
              <w:start w:val="single" w:sz="6" w:space="0" w:color="000000"/>
              <w:bottom w:val="single" w:sz="6" w:space="0" w:color="000000"/>
              <w:end w:val="single" w:sz="6" w:space="0" w:color="000000"/>
            </w:tcBorders>
            <w:shd w:color="auto" w:fill="00FF00"/>
          </w:tcPr>
          <w:p>
            <w:pPr>
              <w:pStyle w:val="Normal"/>
              <w:numPr>
                <w:ilvl w:val="0"/>
                <w:numId w:val="1"/>
              </w:numPr>
              <w:tabs>
                <w:tab w:val="clear" w:pos="720"/>
                <w:tab w:val="left" w:pos="360" w:leader="none"/>
              </w:tabs>
              <w:bidi w:val="0"/>
              <w:jc w:val="start"/>
              <w:rPr>
                <w:highlight w:val="green"/>
              </w:rPr>
            </w:pPr>
            <w:r>
              <w:rPr>
                <w:highlight w:val="green"/>
              </w:rPr>
              <w:t>Savings</w:t>
            </w:r>
          </w:p>
          <w:p>
            <w:pPr>
              <w:pStyle w:val="Normal"/>
              <w:numPr>
                <w:ilvl w:val="0"/>
                <w:numId w:val="1"/>
              </w:numPr>
              <w:tabs>
                <w:tab w:val="clear" w:pos="720"/>
                <w:tab w:val="left" w:pos="360" w:leader="none"/>
              </w:tabs>
              <w:bidi w:val="0"/>
              <w:jc w:val="start"/>
              <w:rPr/>
            </w:pPr>
            <w:r>
              <w:rPr>
                <w:highlight w:val="green"/>
              </w:rPr>
              <w:t>Lower Average Rate</w:t>
            </w:r>
          </w:p>
        </w:tc>
        <w:tc>
          <w:tcPr>
            <w:tcW w:w="1282" w:type="dxa"/>
            <w:tcBorders>
              <w:top w:val="single" w:sz="6" w:space="0" w:color="000000"/>
              <w:start w:val="single" w:sz="6" w:space="0" w:color="000000"/>
              <w:bottom w:val="single" w:sz="6" w:space="0" w:color="000000"/>
              <w:end w:val="single" w:sz="6" w:space="0" w:color="000000"/>
            </w:tcBorders>
            <w:shd w:color="auto" w:fill="FF0000"/>
          </w:tcPr>
          <w:p>
            <w:pPr>
              <w:pStyle w:val="Normal"/>
              <w:numPr>
                <w:ilvl w:val="0"/>
                <w:numId w:val="1"/>
              </w:numPr>
              <w:tabs>
                <w:tab w:val="clear" w:pos="720"/>
                <w:tab w:val="left" w:pos="360" w:leader="none"/>
              </w:tabs>
              <w:bidi w:val="0"/>
              <w:jc w:val="start"/>
              <w:rPr>
                <w:highlight w:val="red"/>
              </w:rPr>
            </w:pPr>
            <w:r>
              <w:rPr>
                <w:highlight w:val="red"/>
              </w:rPr>
              <w:t>No Savings</w:t>
            </w:r>
          </w:p>
          <w:p>
            <w:pPr>
              <w:pStyle w:val="Normal"/>
              <w:numPr>
                <w:ilvl w:val="0"/>
                <w:numId w:val="1"/>
              </w:numPr>
              <w:tabs>
                <w:tab w:val="clear" w:pos="720"/>
                <w:tab w:val="left" w:pos="360" w:leader="none"/>
              </w:tabs>
              <w:bidi w:val="0"/>
              <w:jc w:val="start"/>
              <w:rPr/>
            </w:pPr>
            <w:r>
              <w:rPr>
                <w:highlight w:val="red"/>
              </w:rPr>
              <w:t>Higher Average Rate</w:t>
            </w:r>
          </w:p>
        </w:tc>
        <w:tc>
          <w:tcPr>
            <w:tcW w:w="1280" w:type="dxa"/>
            <w:tcBorders>
              <w:top w:val="single" w:sz="6" w:space="0" w:color="000000"/>
              <w:start w:val="single" w:sz="6" w:space="0" w:color="000000"/>
              <w:bottom w:val="single" w:sz="6" w:space="0" w:color="000000"/>
              <w:end w:val="single" w:sz="6" w:space="0" w:color="000000"/>
            </w:tcBorders>
            <w:shd w:color="auto" w:fill="FFFF00"/>
          </w:tcPr>
          <w:p>
            <w:pPr>
              <w:pStyle w:val="Normal"/>
              <w:numPr>
                <w:ilvl w:val="0"/>
                <w:numId w:val="1"/>
              </w:numPr>
              <w:tabs>
                <w:tab w:val="clear" w:pos="720"/>
                <w:tab w:val="left" w:pos="360" w:leader="none"/>
              </w:tabs>
              <w:bidi w:val="0"/>
              <w:jc w:val="start"/>
              <w:rPr>
                <w:highlight w:val="yellow"/>
              </w:rPr>
            </w:pPr>
            <w:r>
              <w:rPr>
                <w:highlight w:val="yellow"/>
              </w:rPr>
              <w:t>Savings</w:t>
            </w:r>
          </w:p>
          <w:p>
            <w:pPr>
              <w:pStyle w:val="Normal"/>
              <w:numPr>
                <w:ilvl w:val="0"/>
                <w:numId w:val="1"/>
              </w:numPr>
              <w:tabs>
                <w:tab w:val="clear" w:pos="720"/>
                <w:tab w:val="left" w:pos="360" w:leader="none"/>
              </w:tabs>
              <w:bidi w:val="0"/>
              <w:jc w:val="start"/>
              <w:rPr/>
            </w:pPr>
            <w:r>
              <w:rPr>
                <w:highlight w:val="yellow"/>
              </w:rPr>
              <w:t>Same Average Rate</w:t>
            </w:r>
          </w:p>
        </w:tc>
      </w:tr>
      <w:tr>
        <w:trPr/>
        <w:tc>
          <w:tcPr>
            <w:tcW w:w="2451" w:type="dxa"/>
            <w:tcBorders>
              <w:top w:val="single" w:sz="6" w:space="0" w:color="000000"/>
              <w:start w:val="single" w:sz="6" w:space="0" w:color="000000"/>
              <w:bottom w:val="single" w:sz="6" w:space="0" w:color="000000"/>
              <w:end w:val="single" w:sz="6" w:space="0" w:color="000000"/>
            </w:tcBorders>
            <w:shd w:color="auto" w:fill="00FF00"/>
          </w:tcPr>
          <w:p>
            <w:pPr>
              <w:pStyle w:val="Normal"/>
              <w:tabs>
                <w:tab w:val="clear" w:pos="720"/>
              </w:tabs>
              <w:bidi w:val="0"/>
              <w:jc w:val="start"/>
              <w:rPr/>
            </w:pPr>
            <w:r>
              <w:rPr/>
              <w:t>Maximum Peak Period (Coincident) Demand Rate</w:t>
            </w:r>
          </w:p>
        </w:tc>
        <w:tc>
          <w:tcPr>
            <w:tcW w:w="1282" w:type="dxa"/>
            <w:tcBorders>
              <w:top w:val="single" w:sz="6" w:space="0" w:color="000000"/>
              <w:start w:val="single" w:sz="6" w:space="0" w:color="000000"/>
              <w:bottom w:val="single" w:sz="6" w:space="0" w:color="000000"/>
              <w:end w:val="single" w:sz="6" w:space="0" w:color="000000"/>
            </w:tcBorders>
            <w:shd w:color="auto" w:fill="00FF00"/>
          </w:tcPr>
          <w:p>
            <w:pPr>
              <w:pStyle w:val="Normal"/>
              <w:numPr>
                <w:ilvl w:val="0"/>
                <w:numId w:val="1"/>
              </w:numPr>
              <w:tabs>
                <w:tab w:val="clear" w:pos="720"/>
                <w:tab w:val="left" w:pos="360" w:leader="none"/>
              </w:tabs>
              <w:bidi w:val="0"/>
              <w:jc w:val="start"/>
              <w:rPr>
                <w:highlight w:val="green"/>
              </w:rPr>
            </w:pPr>
            <w:r>
              <w:rPr>
                <w:highlight w:val="green"/>
              </w:rPr>
              <w:t>Savings</w:t>
            </w:r>
          </w:p>
          <w:p>
            <w:pPr>
              <w:pStyle w:val="Normal"/>
              <w:numPr>
                <w:ilvl w:val="0"/>
                <w:numId w:val="1"/>
              </w:numPr>
              <w:tabs>
                <w:tab w:val="clear" w:pos="720"/>
                <w:tab w:val="left" w:pos="360" w:leader="none"/>
              </w:tabs>
              <w:bidi w:val="0"/>
              <w:jc w:val="start"/>
              <w:rPr/>
            </w:pPr>
            <w:r>
              <w:rPr>
                <w:highlight w:val="green"/>
              </w:rPr>
              <w:t>Lower Average Rate</w:t>
            </w:r>
          </w:p>
        </w:tc>
        <w:tc>
          <w:tcPr>
            <w:tcW w:w="1280" w:type="dxa"/>
            <w:tcBorders>
              <w:start w:val="single" w:sz="6" w:space="0" w:color="000000"/>
              <w:bottom w:val="single" w:sz="6" w:space="0" w:color="000000"/>
              <w:end w:val="single" w:sz="6" w:space="0" w:color="000000"/>
            </w:tcBorders>
            <w:shd w:color="auto" w:fill="00FF00"/>
          </w:tcPr>
          <w:p>
            <w:pPr>
              <w:pStyle w:val="Normal"/>
              <w:numPr>
                <w:ilvl w:val="0"/>
                <w:numId w:val="1"/>
              </w:numPr>
              <w:tabs>
                <w:tab w:val="clear" w:pos="720"/>
                <w:tab w:val="left" w:pos="360" w:leader="none"/>
              </w:tabs>
              <w:bidi w:val="0"/>
              <w:jc w:val="start"/>
              <w:rPr>
                <w:highlight w:val="green"/>
              </w:rPr>
            </w:pPr>
            <w:r>
              <w:rPr>
                <w:highlight w:val="green"/>
              </w:rPr>
              <w:t>Savings</w:t>
            </w:r>
          </w:p>
          <w:p>
            <w:pPr>
              <w:pStyle w:val="Normal"/>
              <w:numPr>
                <w:ilvl w:val="0"/>
                <w:numId w:val="1"/>
              </w:numPr>
              <w:tabs>
                <w:tab w:val="clear" w:pos="720"/>
                <w:tab w:val="left" w:pos="360" w:leader="none"/>
              </w:tabs>
              <w:bidi w:val="0"/>
              <w:jc w:val="start"/>
              <w:rPr/>
            </w:pPr>
            <w:r>
              <w:rPr>
                <w:highlight w:val="green"/>
              </w:rPr>
              <w:t>Lower Average Rate</w:t>
            </w:r>
          </w:p>
        </w:tc>
        <w:tc>
          <w:tcPr>
            <w:tcW w:w="1281" w:type="dxa"/>
            <w:tcBorders>
              <w:top w:val="single" w:sz="6" w:space="0" w:color="000000"/>
              <w:start w:val="single" w:sz="6" w:space="0" w:color="000000"/>
              <w:bottom w:val="single" w:sz="6" w:space="0" w:color="000000"/>
              <w:end w:val="single" w:sz="6" w:space="0" w:color="000000"/>
            </w:tcBorders>
            <w:shd w:color="auto" w:fill="00FF00"/>
          </w:tcPr>
          <w:p>
            <w:pPr>
              <w:pStyle w:val="Normal"/>
              <w:numPr>
                <w:ilvl w:val="0"/>
                <w:numId w:val="1"/>
              </w:numPr>
              <w:tabs>
                <w:tab w:val="clear" w:pos="720"/>
                <w:tab w:val="left" w:pos="360" w:leader="none"/>
              </w:tabs>
              <w:bidi w:val="0"/>
              <w:jc w:val="start"/>
              <w:rPr>
                <w:highlight w:val="green"/>
              </w:rPr>
            </w:pPr>
            <w:r>
              <w:rPr>
                <w:highlight w:val="green"/>
              </w:rPr>
              <w:t>Savings</w:t>
            </w:r>
          </w:p>
          <w:p>
            <w:pPr>
              <w:pStyle w:val="Normal"/>
              <w:numPr>
                <w:ilvl w:val="0"/>
                <w:numId w:val="1"/>
              </w:numPr>
              <w:tabs>
                <w:tab w:val="clear" w:pos="720"/>
                <w:tab w:val="left" w:pos="360" w:leader="none"/>
              </w:tabs>
              <w:bidi w:val="0"/>
              <w:jc w:val="start"/>
              <w:rPr/>
            </w:pPr>
            <w:r>
              <w:rPr>
                <w:highlight w:val="green"/>
              </w:rPr>
              <w:t>Lower Average Rate</w:t>
            </w:r>
          </w:p>
        </w:tc>
        <w:tc>
          <w:tcPr>
            <w:tcW w:w="1282" w:type="dxa"/>
            <w:tcBorders>
              <w:top w:val="single" w:sz="6" w:space="0" w:color="000000"/>
              <w:start w:val="single" w:sz="6" w:space="0" w:color="000000"/>
              <w:end w:val="single" w:sz="6" w:space="0" w:color="000000"/>
            </w:tcBorders>
            <w:shd w:color="auto" w:fill="FF0000"/>
          </w:tcPr>
          <w:p>
            <w:pPr>
              <w:pStyle w:val="Normal"/>
              <w:numPr>
                <w:ilvl w:val="0"/>
                <w:numId w:val="1"/>
              </w:numPr>
              <w:tabs>
                <w:tab w:val="clear" w:pos="720"/>
                <w:tab w:val="left" w:pos="360" w:leader="none"/>
              </w:tabs>
              <w:bidi w:val="0"/>
              <w:jc w:val="start"/>
              <w:rPr>
                <w:highlight w:val="red"/>
              </w:rPr>
            </w:pPr>
            <w:r>
              <w:rPr>
                <w:highlight w:val="red"/>
              </w:rPr>
              <w:t>No Savings</w:t>
            </w:r>
          </w:p>
          <w:p>
            <w:pPr>
              <w:pStyle w:val="Normal"/>
              <w:numPr>
                <w:ilvl w:val="0"/>
                <w:numId w:val="1"/>
              </w:numPr>
              <w:tabs>
                <w:tab w:val="clear" w:pos="720"/>
                <w:tab w:val="left" w:pos="360" w:leader="none"/>
              </w:tabs>
              <w:bidi w:val="0"/>
              <w:jc w:val="start"/>
              <w:rPr/>
            </w:pPr>
            <w:r>
              <w:rPr>
                <w:highlight w:val="red"/>
              </w:rPr>
              <w:t>Higher Average Rate</w:t>
            </w:r>
          </w:p>
        </w:tc>
        <w:tc>
          <w:tcPr>
            <w:tcW w:w="1280" w:type="dxa"/>
            <w:tcBorders>
              <w:top w:val="single" w:sz="6" w:space="0" w:color="000000"/>
              <w:start w:val="single" w:sz="6" w:space="0" w:color="000000"/>
              <w:bottom w:val="single" w:sz="6" w:space="0" w:color="000000"/>
              <w:end w:val="single" w:sz="6" w:space="0" w:color="000000"/>
            </w:tcBorders>
            <w:shd w:color="auto" w:fill="FFFF00"/>
          </w:tcPr>
          <w:p>
            <w:pPr>
              <w:pStyle w:val="Normal"/>
              <w:numPr>
                <w:ilvl w:val="0"/>
                <w:numId w:val="1"/>
              </w:numPr>
              <w:tabs>
                <w:tab w:val="clear" w:pos="720"/>
                <w:tab w:val="left" w:pos="360" w:leader="none"/>
              </w:tabs>
              <w:bidi w:val="0"/>
              <w:jc w:val="start"/>
              <w:rPr>
                <w:highlight w:val="yellow"/>
              </w:rPr>
            </w:pPr>
            <w:r>
              <w:rPr>
                <w:highlight w:val="yellow"/>
              </w:rPr>
              <w:t>Savings</w:t>
            </w:r>
          </w:p>
          <w:p>
            <w:pPr>
              <w:pStyle w:val="Normal"/>
              <w:numPr>
                <w:ilvl w:val="0"/>
                <w:numId w:val="1"/>
              </w:numPr>
              <w:tabs>
                <w:tab w:val="clear" w:pos="720"/>
                <w:tab w:val="left" w:pos="360" w:leader="none"/>
              </w:tabs>
              <w:bidi w:val="0"/>
              <w:jc w:val="start"/>
              <w:rPr/>
            </w:pPr>
            <w:r>
              <w:rPr>
                <w:highlight w:val="yellow"/>
              </w:rPr>
              <w:t>Same Average Rate</w:t>
            </w:r>
          </w:p>
        </w:tc>
      </w:tr>
      <w:tr>
        <w:trPr/>
        <w:tc>
          <w:tcPr>
            <w:tcW w:w="2451" w:type="dxa"/>
            <w:tcBorders>
              <w:top w:val="single" w:sz="6" w:space="0" w:color="000000"/>
              <w:start w:val="single" w:sz="6" w:space="0" w:color="000000"/>
              <w:end w:val="single" w:sz="6" w:space="0" w:color="000000"/>
            </w:tcBorders>
            <w:shd w:color="auto" w:fill="00FF00"/>
          </w:tcPr>
          <w:p>
            <w:pPr>
              <w:pStyle w:val="Normal"/>
              <w:tabs>
                <w:tab w:val="clear" w:pos="720"/>
              </w:tabs>
              <w:bidi w:val="0"/>
              <w:jc w:val="start"/>
              <w:rPr/>
            </w:pPr>
            <w:r>
              <w:rPr/>
              <w:t>Time-of-Use Demand Rate</w:t>
            </w:r>
          </w:p>
        </w:tc>
        <w:tc>
          <w:tcPr>
            <w:tcW w:w="1282" w:type="dxa"/>
            <w:tcBorders>
              <w:top w:val="single" w:sz="6" w:space="0" w:color="000000"/>
              <w:start w:val="single" w:sz="6" w:space="0" w:color="000000"/>
              <w:bottom w:val="single" w:sz="6" w:space="0" w:color="000000"/>
              <w:end w:val="single" w:sz="6" w:space="0" w:color="000000"/>
            </w:tcBorders>
            <w:shd w:color="auto" w:fill="00FF00"/>
          </w:tcPr>
          <w:p>
            <w:pPr>
              <w:pStyle w:val="Normal"/>
              <w:numPr>
                <w:ilvl w:val="0"/>
                <w:numId w:val="1"/>
              </w:numPr>
              <w:tabs>
                <w:tab w:val="clear" w:pos="720"/>
                <w:tab w:val="left" w:pos="360" w:leader="none"/>
              </w:tabs>
              <w:bidi w:val="0"/>
              <w:jc w:val="start"/>
              <w:rPr>
                <w:highlight w:val="green"/>
              </w:rPr>
            </w:pPr>
            <w:r>
              <w:rPr>
                <w:highlight w:val="green"/>
              </w:rPr>
              <w:t>Savings</w:t>
            </w:r>
          </w:p>
          <w:p>
            <w:pPr>
              <w:pStyle w:val="Normal"/>
              <w:numPr>
                <w:ilvl w:val="0"/>
                <w:numId w:val="1"/>
              </w:numPr>
              <w:tabs>
                <w:tab w:val="clear" w:pos="720"/>
                <w:tab w:val="left" w:pos="360" w:leader="none"/>
              </w:tabs>
              <w:bidi w:val="0"/>
              <w:jc w:val="start"/>
              <w:rPr/>
            </w:pPr>
            <w:r>
              <w:rPr>
                <w:highlight w:val="green"/>
              </w:rPr>
              <w:t>Lower Average Rate</w:t>
            </w:r>
          </w:p>
        </w:tc>
        <w:tc>
          <w:tcPr>
            <w:tcW w:w="1280" w:type="dxa"/>
            <w:tcBorders>
              <w:top w:val="single" w:sz="6" w:space="0" w:color="000000"/>
              <w:start w:val="single" w:sz="6" w:space="0" w:color="000000"/>
              <w:end w:val="single" w:sz="6" w:space="0" w:color="000000"/>
            </w:tcBorders>
            <w:shd w:color="auto" w:fill="00FF00"/>
          </w:tcPr>
          <w:p>
            <w:pPr>
              <w:pStyle w:val="Normal"/>
              <w:numPr>
                <w:ilvl w:val="0"/>
                <w:numId w:val="1"/>
              </w:numPr>
              <w:tabs>
                <w:tab w:val="clear" w:pos="720"/>
                <w:tab w:val="left" w:pos="360" w:leader="none"/>
              </w:tabs>
              <w:bidi w:val="0"/>
              <w:jc w:val="start"/>
              <w:rPr>
                <w:highlight w:val="green"/>
              </w:rPr>
            </w:pPr>
            <w:r>
              <w:rPr>
                <w:highlight w:val="green"/>
              </w:rPr>
              <w:t>Savings</w:t>
            </w:r>
          </w:p>
          <w:p>
            <w:pPr>
              <w:pStyle w:val="Normal"/>
              <w:numPr>
                <w:ilvl w:val="0"/>
                <w:numId w:val="1"/>
              </w:numPr>
              <w:tabs>
                <w:tab w:val="clear" w:pos="720"/>
                <w:tab w:val="left" w:pos="360" w:leader="none"/>
              </w:tabs>
              <w:bidi w:val="0"/>
              <w:jc w:val="start"/>
              <w:rPr/>
            </w:pPr>
            <w:r>
              <w:rPr>
                <w:highlight w:val="green"/>
              </w:rPr>
              <w:t>Lower Average Rate</w:t>
            </w:r>
          </w:p>
        </w:tc>
        <w:tc>
          <w:tcPr>
            <w:tcW w:w="1281" w:type="dxa"/>
            <w:tcBorders>
              <w:top w:val="single" w:sz="6" w:space="0" w:color="000000"/>
              <w:start w:val="single" w:sz="6" w:space="0" w:color="000000"/>
              <w:bottom w:val="single" w:sz="6" w:space="0" w:color="000000"/>
              <w:end w:val="single" w:sz="6" w:space="0" w:color="000000"/>
            </w:tcBorders>
            <w:shd w:color="auto" w:fill="00FF00"/>
          </w:tcPr>
          <w:p>
            <w:pPr>
              <w:pStyle w:val="Normal"/>
              <w:numPr>
                <w:ilvl w:val="0"/>
                <w:numId w:val="1"/>
              </w:numPr>
              <w:tabs>
                <w:tab w:val="clear" w:pos="720"/>
                <w:tab w:val="left" w:pos="360" w:leader="none"/>
              </w:tabs>
              <w:bidi w:val="0"/>
              <w:jc w:val="start"/>
              <w:rPr>
                <w:highlight w:val="green"/>
              </w:rPr>
            </w:pPr>
            <w:r>
              <w:rPr>
                <w:highlight w:val="green"/>
              </w:rPr>
              <w:t>Savings</w:t>
            </w:r>
          </w:p>
          <w:p>
            <w:pPr>
              <w:pStyle w:val="Normal"/>
              <w:numPr>
                <w:ilvl w:val="0"/>
                <w:numId w:val="1"/>
              </w:numPr>
              <w:tabs>
                <w:tab w:val="clear" w:pos="720"/>
                <w:tab w:val="left" w:pos="360" w:leader="none"/>
              </w:tabs>
              <w:bidi w:val="0"/>
              <w:jc w:val="start"/>
              <w:rPr/>
            </w:pPr>
            <w:r>
              <w:rPr>
                <w:highlight w:val="green"/>
              </w:rPr>
              <w:t>Lower Average Rate</w:t>
            </w:r>
          </w:p>
        </w:tc>
        <w:tc>
          <w:tcPr>
            <w:tcW w:w="1282" w:type="dxa"/>
            <w:tcBorders>
              <w:top w:val="single" w:sz="6" w:space="0" w:color="000000"/>
              <w:start w:val="single" w:sz="6" w:space="0" w:color="000000"/>
              <w:end w:val="single" w:sz="6" w:space="0" w:color="000000"/>
            </w:tcBorders>
            <w:shd w:color="auto" w:fill="00FF00"/>
          </w:tcPr>
          <w:p>
            <w:pPr>
              <w:pStyle w:val="Normal"/>
              <w:numPr>
                <w:ilvl w:val="0"/>
                <w:numId w:val="1"/>
              </w:numPr>
              <w:tabs>
                <w:tab w:val="clear" w:pos="720"/>
                <w:tab w:val="left" w:pos="360" w:leader="none"/>
              </w:tabs>
              <w:bidi w:val="0"/>
              <w:jc w:val="start"/>
              <w:rPr>
                <w:highlight w:val="green"/>
              </w:rPr>
            </w:pPr>
            <w:r>
              <w:rPr>
                <w:highlight w:val="green"/>
              </w:rPr>
              <w:t>Savings</w:t>
            </w:r>
          </w:p>
          <w:p>
            <w:pPr>
              <w:pStyle w:val="Normal"/>
              <w:numPr>
                <w:ilvl w:val="0"/>
                <w:numId w:val="1"/>
              </w:numPr>
              <w:tabs>
                <w:tab w:val="clear" w:pos="720"/>
                <w:tab w:val="left" w:pos="360" w:leader="none"/>
              </w:tabs>
              <w:bidi w:val="0"/>
              <w:jc w:val="start"/>
              <w:rPr/>
            </w:pPr>
            <w:r>
              <w:rPr>
                <w:highlight w:val="green"/>
              </w:rPr>
              <w:t>Lower Average Rate</w:t>
            </w:r>
          </w:p>
        </w:tc>
        <w:tc>
          <w:tcPr>
            <w:tcW w:w="1280" w:type="dxa"/>
            <w:tcBorders>
              <w:top w:val="single" w:sz="6" w:space="0" w:color="000000"/>
              <w:start w:val="single" w:sz="6" w:space="0" w:color="000000"/>
              <w:end w:val="single" w:sz="6" w:space="0" w:color="000000"/>
            </w:tcBorders>
            <w:shd w:color="auto" w:fill="FFFF00"/>
          </w:tcPr>
          <w:p>
            <w:pPr>
              <w:pStyle w:val="Normal"/>
              <w:numPr>
                <w:ilvl w:val="0"/>
                <w:numId w:val="1"/>
              </w:numPr>
              <w:tabs>
                <w:tab w:val="clear" w:pos="720"/>
                <w:tab w:val="left" w:pos="360" w:leader="none"/>
              </w:tabs>
              <w:bidi w:val="0"/>
              <w:jc w:val="start"/>
              <w:rPr>
                <w:highlight w:val="yellow"/>
              </w:rPr>
            </w:pPr>
            <w:r>
              <w:rPr>
                <w:highlight w:val="yellow"/>
              </w:rPr>
              <w:t>Savings</w:t>
            </w:r>
          </w:p>
          <w:p>
            <w:pPr>
              <w:pStyle w:val="Normal"/>
              <w:numPr>
                <w:ilvl w:val="0"/>
                <w:numId w:val="1"/>
              </w:numPr>
              <w:tabs>
                <w:tab w:val="clear" w:pos="720"/>
                <w:tab w:val="left" w:pos="360" w:leader="none"/>
              </w:tabs>
              <w:bidi w:val="0"/>
              <w:jc w:val="start"/>
              <w:rPr/>
            </w:pPr>
            <w:r>
              <w:rPr>
                <w:highlight w:val="yellow"/>
              </w:rPr>
              <w:t>Same Average Rate</w:t>
            </w:r>
          </w:p>
        </w:tc>
      </w:tr>
      <w:tr>
        <w:trPr/>
        <w:tc>
          <w:tcPr>
            <w:tcW w:w="2451" w:type="dxa"/>
            <w:tcBorders>
              <w:top w:val="single" w:sz="6" w:space="0" w:color="000000"/>
              <w:start w:val="single" w:sz="6" w:space="0" w:color="000000"/>
              <w:end w:val="single" w:sz="6" w:space="0" w:color="000000"/>
            </w:tcBorders>
            <w:shd w:color="auto" w:fill="FFFF00"/>
          </w:tcPr>
          <w:p>
            <w:pPr>
              <w:pStyle w:val="Normal"/>
              <w:tabs>
                <w:tab w:val="clear" w:pos="720"/>
              </w:tabs>
              <w:bidi w:val="0"/>
              <w:jc w:val="start"/>
              <w:rPr/>
            </w:pPr>
            <w:r>
              <w:rPr/>
              <w:t>Inverted Block Demand Rate</w:t>
            </w:r>
          </w:p>
        </w:tc>
        <w:tc>
          <w:tcPr>
            <w:tcW w:w="1282" w:type="dxa"/>
            <w:tcBorders>
              <w:top w:val="single" w:sz="6" w:space="0" w:color="000000"/>
              <w:start w:val="single" w:sz="6" w:space="0" w:color="000000"/>
              <w:bottom w:val="single" w:sz="6" w:space="0" w:color="000000"/>
              <w:end w:val="single" w:sz="6" w:space="0" w:color="000000"/>
            </w:tcBorders>
            <w:shd w:color="auto" w:fill="00FF00"/>
          </w:tcPr>
          <w:p>
            <w:pPr>
              <w:pStyle w:val="Normal"/>
              <w:numPr>
                <w:ilvl w:val="0"/>
                <w:numId w:val="1"/>
              </w:numPr>
              <w:tabs>
                <w:tab w:val="clear" w:pos="720"/>
                <w:tab w:val="left" w:pos="360" w:leader="none"/>
              </w:tabs>
              <w:bidi w:val="0"/>
              <w:jc w:val="start"/>
              <w:rPr>
                <w:highlight w:val="green"/>
              </w:rPr>
            </w:pPr>
            <w:r>
              <w:rPr>
                <w:highlight w:val="green"/>
              </w:rPr>
              <w:t>Savings</w:t>
            </w:r>
          </w:p>
          <w:p>
            <w:pPr>
              <w:pStyle w:val="Normal"/>
              <w:numPr>
                <w:ilvl w:val="0"/>
                <w:numId w:val="1"/>
              </w:numPr>
              <w:tabs>
                <w:tab w:val="clear" w:pos="720"/>
                <w:tab w:val="left" w:pos="360" w:leader="none"/>
              </w:tabs>
              <w:bidi w:val="0"/>
              <w:jc w:val="start"/>
              <w:rPr/>
            </w:pPr>
            <w:r>
              <w:rPr>
                <w:highlight w:val="green"/>
              </w:rPr>
              <w:t>Lower Average Rate</w:t>
            </w:r>
          </w:p>
        </w:tc>
        <w:tc>
          <w:tcPr>
            <w:tcW w:w="1280" w:type="dxa"/>
            <w:tcBorders>
              <w:top w:val="single" w:sz="6" w:space="0" w:color="000000"/>
              <w:start w:val="single" w:sz="6" w:space="0" w:color="000000"/>
              <w:bottom w:val="single" w:sz="6" w:space="0" w:color="000000"/>
              <w:end w:val="single" w:sz="6" w:space="0" w:color="000000"/>
            </w:tcBorders>
            <w:shd w:color="auto" w:fill="FF0000"/>
          </w:tcPr>
          <w:p>
            <w:pPr>
              <w:pStyle w:val="Normal"/>
              <w:numPr>
                <w:ilvl w:val="0"/>
                <w:numId w:val="1"/>
              </w:numPr>
              <w:tabs>
                <w:tab w:val="clear" w:pos="720"/>
                <w:tab w:val="left" w:pos="360" w:leader="none"/>
              </w:tabs>
              <w:bidi w:val="0"/>
              <w:jc w:val="start"/>
              <w:rPr>
                <w:highlight w:val="red"/>
              </w:rPr>
            </w:pPr>
            <w:r>
              <w:rPr>
                <w:highlight w:val="red"/>
              </w:rPr>
              <w:t>No Savings</w:t>
            </w:r>
          </w:p>
          <w:p>
            <w:pPr>
              <w:pStyle w:val="Normal"/>
              <w:numPr>
                <w:ilvl w:val="0"/>
                <w:numId w:val="1"/>
              </w:numPr>
              <w:tabs>
                <w:tab w:val="clear" w:pos="720"/>
                <w:tab w:val="left" w:pos="360" w:leader="none"/>
              </w:tabs>
              <w:bidi w:val="0"/>
              <w:jc w:val="start"/>
              <w:rPr/>
            </w:pPr>
            <w:r>
              <w:rPr>
                <w:highlight w:val="red"/>
              </w:rPr>
              <w:t>Same Average Ra</w:t>
            </w:r>
            <w:r>
              <w:rPr/>
              <w:t>te</w:t>
            </w:r>
          </w:p>
        </w:tc>
        <w:tc>
          <w:tcPr>
            <w:tcW w:w="1281" w:type="dxa"/>
            <w:tcBorders>
              <w:top w:val="single" w:sz="6" w:space="0" w:color="000000"/>
              <w:start w:val="single" w:sz="6" w:space="0" w:color="000000"/>
              <w:end w:val="single" w:sz="6" w:space="0" w:color="000000"/>
            </w:tcBorders>
            <w:shd w:color="auto" w:fill="00FF00"/>
          </w:tcPr>
          <w:p>
            <w:pPr>
              <w:pStyle w:val="Normal"/>
              <w:numPr>
                <w:ilvl w:val="0"/>
                <w:numId w:val="1"/>
              </w:numPr>
              <w:tabs>
                <w:tab w:val="clear" w:pos="720"/>
                <w:tab w:val="left" w:pos="360" w:leader="none"/>
              </w:tabs>
              <w:bidi w:val="0"/>
              <w:jc w:val="start"/>
              <w:rPr>
                <w:highlight w:val="green"/>
              </w:rPr>
            </w:pPr>
            <w:r>
              <w:rPr>
                <w:highlight w:val="green"/>
              </w:rPr>
              <w:t>Savings</w:t>
            </w:r>
          </w:p>
          <w:p>
            <w:pPr>
              <w:pStyle w:val="Normal"/>
              <w:numPr>
                <w:ilvl w:val="0"/>
                <w:numId w:val="1"/>
              </w:numPr>
              <w:tabs>
                <w:tab w:val="clear" w:pos="720"/>
                <w:tab w:val="left" w:pos="360" w:leader="none"/>
              </w:tabs>
              <w:bidi w:val="0"/>
              <w:jc w:val="start"/>
              <w:rPr/>
            </w:pPr>
            <w:r>
              <w:rPr>
                <w:highlight w:val="green"/>
              </w:rPr>
              <w:t>Lower Average Rate</w:t>
            </w:r>
          </w:p>
        </w:tc>
        <w:tc>
          <w:tcPr>
            <w:tcW w:w="1282" w:type="dxa"/>
            <w:tcBorders>
              <w:top w:val="single" w:sz="6" w:space="0" w:color="000000"/>
              <w:start w:val="single" w:sz="6" w:space="0" w:color="000000"/>
              <w:bottom w:val="single" w:sz="6" w:space="0" w:color="000000"/>
              <w:end w:val="single" w:sz="6" w:space="0" w:color="000000"/>
            </w:tcBorders>
            <w:shd w:color="auto" w:fill="FF0000"/>
          </w:tcPr>
          <w:p>
            <w:pPr>
              <w:pStyle w:val="Normal"/>
              <w:numPr>
                <w:ilvl w:val="0"/>
                <w:numId w:val="1"/>
              </w:numPr>
              <w:tabs>
                <w:tab w:val="clear" w:pos="720"/>
                <w:tab w:val="left" w:pos="360" w:leader="none"/>
              </w:tabs>
              <w:bidi w:val="0"/>
              <w:jc w:val="start"/>
              <w:rPr>
                <w:highlight w:val="red"/>
              </w:rPr>
            </w:pPr>
            <w:r>
              <w:rPr>
                <w:highlight w:val="red"/>
              </w:rPr>
              <w:t>No Savings</w:t>
            </w:r>
          </w:p>
          <w:p>
            <w:pPr>
              <w:pStyle w:val="Normal"/>
              <w:numPr>
                <w:ilvl w:val="0"/>
                <w:numId w:val="1"/>
              </w:numPr>
              <w:tabs>
                <w:tab w:val="clear" w:pos="720"/>
                <w:tab w:val="left" w:pos="360" w:leader="none"/>
              </w:tabs>
              <w:bidi w:val="0"/>
              <w:jc w:val="start"/>
              <w:rPr/>
            </w:pPr>
            <w:r>
              <w:rPr>
                <w:highlight w:val="red"/>
              </w:rPr>
              <w:t>Higher Average Rate</w:t>
            </w:r>
          </w:p>
        </w:tc>
        <w:tc>
          <w:tcPr>
            <w:tcW w:w="1280" w:type="dxa"/>
            <w:tcBorders>
              <w:top w:val="single" w:sz="6" w:space="0" w:color="000000"/>
              <w:start w:val="single" w:sz="6" w:space="0" w:color="000000"/>
              <w:end w:val="single" w:sz="6" w:space="0" w:color="000000"/>
            </w:tcBorders>
            <w:shd w:color="auto" w:fill="00FF00"/>
          </w:tcPr>
          <w:p>
            <w:pPr>
              <w:pStyle w:val="Normal"/>
              <w:numPr>
                <w:ilvl w:val="0"/>
                <w:numId w:val="1"/>
              </w:numPr>
              <w:tabs>
                <w:tab w:val="clear" w:pos="720"/>
                <w:tab w:val="left" w:pos="360" w:leader="none"/>
              </w:tabs>
              <w:bidi w:val="0"/>
              <w:jc w:val="start"/>
              <w:rPr>
                <w:highlight w:val="green"/>
              </w:rPr>
            </w:pPr>
            <w:r>
              <w:rPr>
                <w:highlight w:val="green"/>
              </w:rPr>
              <w:t>Savings</w:t>
            </w:r>
          </w:p>
          <w:p>
            <w:pPr>
              <w:pStyle w:val="Normal"/>
              <w:numPr>
                <w:ilvl w:val="0"/>
                <w:numId w:val="1"/>
              </w:numPr>
              <w:tabs>
                <w:tab w:val="clear" w:pos="720"/>
                <w:tab w:val="left" w:pos="360" w:leader="none"/>
              </w:tabs>
              <w:bidi w:val="0"/>
              <w:jc w:val="start"/>
              <w:rPr/>
            </w:pPr>
            <w:r>
              <w:rPr>
                <w:highlight w:val="green"/>
              </w:rPr>
              <w:t>Lower Average Rate</w:t>
            </w:r>
          </w:p>
        </w:tc>
      </w:tr>
      <w:tr>
        <w:trPr/>
        <w:tc>
          <w:tcPr>
            <w:tcW w:w="2451" w:type="dxa"/>
            <w:tcBorders>
              <w:top w:val="single" w:sz="6" w:space="0" w:color="000000"/>
              <w:start w:val="single" w:sz="6" w:space="0" w:color="000000"/>
              <w:bottom w:val="single" w:sz="6" w:space="0" w:color="000000"/>
              <w:end w:val="single" w:sz="6" w:space="0" w:color="000000"/>
            </w:tcBorders>
            <w:shd w:color="auto" w:fill="FF0000"/>
          </w:tcPr>
          <w:p>
            <w:pPr>
              <w:pStyle w:val="Normal"/>
              <w:tabs>
                <w:tab w:val="clear" w:pos="720"/>
              </w:tabs>
              <w:bidi w:val="0"/>
              <w:jc w:val="start"/>
              <w:rPr/>
            </w:pPr>
            <w:r>
              <w:rPr/>
              <w:t>Declining Block Demand Rate</w:t>
            </w:r>
          </w:p>
        </w:tc>
        <w:tc>
          <w:tcPr>
            <w:tcW w:w="1282" w:type="dxa"/>
            <w:tcBorders>
              <w:top w:val="single" w:sz="6" w:space="0" w:color="000000"/>
              <w:start w:val="single" w:sz="6" w:space="0" w:color="000000"/>
              <w:end w:val="single" w:sz="6" w:space="0" w:color="000000"/>
            </w:tcBorders>
            <w:shd w:color="auto" w:fill="00FF00"/>
          </w:tcPr>
          <w:p>
            <w:pPr>
              <w:pStyle w:val="Normal"/>
              <w:numPr>
                <w:ilvl w:val="0"/>
                <w:numId w:val="1"/>
              </w:numPr>
              <w:tabs>
                <w:tab w:val="clear" w:pos="720"/>
                <w:tab w:val="left" w:pos="360" w:leader="none"/>
              </w:tabs>
              <w:bidi w:val="0"/>
              <w:jc w:val="start"/>
              <w:rPr>
                <w:highlight w:val="green"/>
              </w:rPr>
            </w:pPr>
            <w:r>
              <w:rPr>
                <w:highlight w:val="green"/>
              </w:rPr>
              <w:t>Savings</w:t>
            </w:r>
          </w:p>
          <w:p>
            <w:pPr>
              <w:pStyle w:val="Normal"/>
              <w:numPr>
                <w:ilvl w:val="0"/>
                <w:numId w:val="1"/>
              </w:numPr>
              <w:tabs>
                <w:tab w:val="clear" w:pos="720"/>
                <w:tab w:val="left" w:pos="360" w:leader="none"/>
              </w:tabs>
              <w:bidi w:val="0"/>
              <w:jc w:val="start"/>
              <w:rPr/>
            </w:pPr>
            <w:r>
              <w:rPr>
                <w:highlight w:val="green"/>
              </w:rPr>
              <w:t>Lower</w:t>
            </w:r>
          </w:p>
          <w:p>
            <w:pPr>
              <w:pStyle w:val="Normal"/>
              <w:numPr>
                <w:ilvl w:val="0"/>
                <w:numId w:val="1"/>
              </w:numPr>
              <w:tabs>
                <w:tab w:val="clear" w:pos="720"/>
                <w:tab w:val="left" w:pos="360" w:leader="none"/>
              </w:tabs>
              <w:bidi w:val="0"/>
              <w:jc w:val="start"/>
              <w:rPr/>
            </w:pPr>
            <w:r>
              <w:rPr>
                <w:highlight w:val="green"/>
              </w:rPr>
              <w:t>Average Rate</w:t>
            </w:r>
          </w:p>
        </w:tc>
        <w:tc>
          <w:tcPr>
            <w:tcW w:w="1280" w:type="dxa"/>
            <w:tcBorders>
              <w:top w:val="single" w:sz="6" w:space="0" w:color="000000"/>
              <w:start w:val="single" w:sz="6" w:space="0" w:color="000000"/>
              <w:end w:val="single" w:sz="6" w:space="0" w:color="000000"/>
            </w:tcBorders>
            <w:shd w:color="auto" w:fill="FF0000"/>
          </w:tcPr>
          <w:p>
            <w:pPr>
              <w:pStyle w:val="Normal"/>
              <w:numPr>
                <w:ilvl w:val="0"/>
                <w:numId w:val="1"/>
              </w:numPr>
              <w:tabs>
                <w:tab w:val="clear" w:pos="720"/>
                <w:tab w:val="left" w:pos="360" w:leader="none"/>
              </w:tabs>
              <w:bidi w:val="0"/>
              <w:jc w:val="start"/>
              <w:rPr>
                <w:highlight w:val="red"/>
              </w:rPr>
            </w:pPr>
            <w:r>
              <w:rPr>
                <w:highlight w:val="red"/>
              </w:rPr>
              <w:t>No Savings</w:t>
            </w:r>
          </w:p>
          <w:p>
            <w:pPr>
              <w:pStyle w:val="Normal"/>
              <w:numPr>
                <w:ilvl w:val="0"/>
                <w:numId w:val="1"/>
              </w:numPr>
              <w:tabs>
                <w:tab w:val="clear" w:pos="720"/>
                <w:tab w:val="left" w:pos="360" w:leader="none"/>
              </w:tabs>
              <w:bidi w:val="0"/>
              <w:jc w:val="start"/>
              <w:rPr/>
            </w:pPr>
            <w:r>
              <w:rPr>
                <w:highlight w:val="red"/>
              </w:rPr>
              <w:t>Same Average Rate</w:t>
            </w:r>
          </w:p>
        </w:tc>
        <w:tc>
          <w:tcPr>
            <w:tcW w:w="1281" w:type="dxa"/>
            <w:tcBorders>
              <w:top w:val="single" w:sz="6" w:space="0" w:color="000000"/>
              <w:start w:val="single" w:sz="6" w:space="0" w:color="000000"/>
              <w:end w:val="single" w:sz="6" w:space="0" w:color="000000"/>
            </w:tcBorders>
            <w:shd w:color="auto" w:fill="FFFF00"/>
          </w:tcPr>
          <w:p>
            <w:pPr>
              <w:pStyle w:val="Normal"/>
              <w:numPr>
                <w:ilvl w:val="0"/>
                <w:numId w:val="1"/>
              </w:numPr>
              <w:tabs>
                <w:tab w:val="clear" w:pos="720"/>
                <w:tab w:val="left" w:pos="360" w:leader="none"/>
              </w:tabs>
              <w:bidi w:val="0"/>
              <w:jc w:val="start"/>
              <w:rPr>
                <w:highlight w:val="yellow"/>
              </w:rPr>
            </w:pPr>
            <w:r>
              <w:rPr>
                <w:highlight w:val="yellow"/>
              </w:rPr>
              <w:t>Savings</w:t>
            </w:r>
          </w:p>
          <w:p>
            <w:pPr>
              <w:pStyle w:val="Normal"/>
              <w:numPr>
                <w:ilvl w:val="0"/>
                <w:numId w:val="1"/>
              </w:numPr>
              <w:tabs>
                <w:tab w:val="clear" w:pos="720"/>
                <w:tab w:val="left" w:pos="360" w:leader="none"/>
              </w:tabs>
              <w:bidi w:val="0"/>
              <w:jc w:val="start"/>
              <w:rPr/>
            </w:pPr>
            <w:r>
              <w:rPr>
                <w:highlight w:val="yellow"/>
              </w:rPr>
              <w:t>Lower Average Rate</w:t>
            </w:r>
          </w:p>
        </w:tc>
        <w:tc>
          <w:tcPr>
            <w:tcW w:w="1282" w:type="dxa"/>
            <w:tcBorders>
              <w:top w:val="single" w:sz="6" w:space="0" w:color="000000"/>
              <w:start w:val="single" w:sz="6" w:space="0" w:color="000000"/>
              <w:end w:val="single" w:sz="6" w:space="0" w:color="000000"/>
            </w:tcBorders>
            <w:shd w:color="auto" w:fill="FF0000"/>
          </w:tcPr>
          <w:p>
            <w:pPr>
              <w:pStyle w:val="Normal"/>
              <w:numPr>
                <w:ilvl w:val="0"/>
                <w:numId w:val="1"/>
              </w:numPr>
              <w:tabs>
                <w:tab w:val="clear" w:pos="720"/>
                <w:tab w:val="left" w:pos="360" w:leader="none"/>
              </w:tabs>
              <w:bidi w:val="0"/>
              <w:jc w:val="start"/>
              <w:rPr>
                <w:highlight w:val="red"/>
              </w:rPr>
            </w:pPr>
            <w:r>
              <w:rPr>
                <w:highlight w:val="red"/>
              </w:rPr>
              <w:t>No Savings</w:t>
            </w:r>
          </w:p>
          <w:p>
            <w:pPr>
              <w:pStyle w:val="Normal"/>
              <w:numPr>
                <w:ilvl w:val="0"/>
                <w:numId w:val="1"/>
              </w:numPr>
              <w:tabs>
                <w:tab w:val="clear" w:pos="720"/>
                <w:tab w:val="left" w:pos="360" w:leader="none"/>
              </w:tabs>
              <w:bidi w:val="0"/>
              <w:jc w:val="start"/>
              <w:rPr/>
            </w:pPr>
            <w:r>
              <w:rPr>
                <w:highlight w:val="red"/>
              </w:rPr>
              <w:t>Higher Average Rate</w:t>
            </w:r>
          </w:p>
        </w:tc>
        <w:tc>
          <w:tcPr>
            <w:tcW w:w="1280" w:type="dxa"/>
            <w:tcBorders>
              <w:top w:val="single" w:sz="6" w:space="0" w:color="000000"/>
              <w:start w:val="single" w:sz="6" w:space="0" w:color="000000"/>
              <w:end w:val="single" w:sz="6" w:space="0" w:color="000000"/>
            </w:tcBorders>
            <w:shd w:color="auto" w:fill="FFFF00"/>
          </w:tcPr>
          <w:p>
            <w:pPr>
              <w:pStyle w:val="Normal"/>
              <w:numPr>
                <w:ilvl w:val="0"/>
                <w:numId w:val="1"/>
              </w:numPr>
              <w:shd w:fill="FFFF00"/>
              <w:tabs>
                <w:tab w:val="clear" w:pos="720"/>
                <w:tab w:val="left" w:pos="360" w:leader="none"/>
              </w:tabs>
              <w:bidi w:val="0"/>
              <w:jc w:val="start"/>
              <w:rPr>
                <w:highlight w:val="yellow"/>
              </w:rPr>
            </w:pPr>
            <w:r>
              <w:rPr>
                <w:highlight w:val="yellow"/>
              </w:rPr>
              <w:t>Savings</w:t>
            </w:r>
          </w:p>
          <w:p>
            <w:pPr>
              <w:pStyle w:val="Normal"/>
              <w:numPr>
                <w:ilvl w:val="0"/>
                <w:numId w:val="1"/>
              </w:numPr>
              <w:shd w:fill="FFFF00"/>
              <w:tabs>
                <w:tab w:val="clear" w:pos="720"/>
                <w:tab w:val="left" w:pos="360" w:leader="none"/>
              </w:tabs>
              <w:bidi w:val="0"/>
              <w:jc w:val="start"/>
              <w:rPr/>
            </w:pPr>
            <w:r>
              <w:rPr>
                <w:highlight w:val="yellow"/>
              </w:rPr>
              <w:t>Higher Average Rate</w:t>
            </w:r>
          </w:p>
        </w:tc>
      </w:tr>
      <w:tr>
        <w:trPr/>
        <w:tc>
          <w:tcPr>
            <w:tcW w:w="2451" w:type="dxa"/>
            <w:tcBorders>
              <w:start w:val="single" w:sz="6" w:space="0" w:color="000000"/>
              <w:end w:val="single" w:sz="6" w:space="0" w:color="000000"/>
            </w:tcBorders>
            <w:shd w:color="auto" w:fill="FFFFFF" w:val="pct5"/>
          </w:tcPr>
          <w:p>
            <w:pPr>
              <w:pStyle w:val="Normal"/>
              <w:tabs>
                <w:tab w:val="clear" w:pos="720"/>
              </w:tabs>
              <w:bidi w:val="0"/>
              <w:jc w:val="start"/>
              <w:rPr/>
            </w:pPr>
            <w:r>
              <w:rPr/>
              <w:t>CUSTOMER CHARGES</w:t>
            </w:r>
          </w:p>
        </w:tc>
        <w:tc>
          <w:tcPr>
            <w:tcW w:w="1282" w:type="dxa"/>
            <w:tcBorders>
              <w:top w:val="single" w:sz="6" w:space="0" w:color="000000"/>
              <w:start w:val="single" w:sz="6" w:space="0" w:color="000000"/>
              <w:bottom w:val="single" w:sz="6" w:space="0" w:color="000000"/>
              <w:end w:val="single" w:sz="6" w:space="0" w:color="000000"/>
            </w:tcBorders>
            <w:shd w:color="auto" w:fill="FFFFFF" w:val="pct5"/>
          </w:tcPr>
          <w:p>
            <w:pPr>
              <w:pStyle w:val="Normal"/>
              <w:tabs>
                <w:tab w:val="clear" w:pos="720"/>
              </w:tabs>
              <w:bidi w:val="0"/>
              <w:jc w:val="start"/>
              <w:rPr/>
            </w:pPr>
            <w:r>
              <w:rPr/>
            </w:r>
          </w:p>
        </w:tc>
        <w:tc>
          <w:tcPr>
            <w:tcW w:w="1280" w:type="dxa"/>
            <w:tcBorders>
              <w:top w:val="single" w:sz="6" w:space="0" w:color="000000"/>
              <w:start w:val="single" w:sz="6" w:space="0" w:color="000000"/>
              <w:bottom w:val="single" w:sz="6" w:space="0" w:color="000000"/>
              <w:end w:val="single" w:sz="6" w:space="0" w:color="000000"/>
            </w:tcBorders>
            <w:shd w:color="auto" w:fill="FFFFFF" w:val="pct5"/>
          </w:tcPr>
          <w:p>
            <w:pPr>
              <w:pStyle w:val="Normal"/>
              <w:tabs>
                <w:tab w:val="clear" w:pos="720"/>
              </w:tabs>
              <w:bidi w:val="0"/>
              <w:jc w:val="start"/>
              <w:rPr/>
            </w:pPr>
            <w:r>
              <w:rPr/>
            </w:r>
          </w:p>
        </w:tc>
        <w:tc>
          <w:tcPr>
            <w:tcW w:w="1281" w:type="dxa"/>
            <w:tcBorders>
              <w:top w:val="single" w:sz="6" w:space="0" w:color="000000"/>
              <w:start w:val="single" w:sz="6" w:space="0" w:color="000000"/>
              <w:bottom w:val="single" w:sz="6" w:space="0" w:color="000000"/>
              <w:end w:val="single" w:sz="6" w:space="0" w:color="000000"/>
            </w:tcBorders>
            <w:shd w:color="auto" w:fill="FFFFFF" w:val="pct5"/>
          </w:tcPr>
          <w:p>
            <w:pPr>
              <w:pStyle w:val="Normal"/>
              <w:tabs>
                <w:tab w:val="clear" w:pos="720"/>
              </w:tabs>
              <w:bidi w:val="0"/>
              <w:jc w:val="start"/>
              <w:rPr/>
            </w:pPr>
            <w:r>
              <w:rPr/>
            </w:r>
          </w:p>
        </w:tc>
        <w:tc>
          <w:tcPr>
            <w:tcW w:w="1282" w:type="dxa"/>
            <w:tcBorders>
              <w:top w:val="single" w:sz="6" w:space="0" w:color="000000"/>
              <w:start w:val="single" w:sz="6" w:space="0" w:color="000000"/>
              <w:bottom w:val="single" w:sz="6" w:space="0" w:color="000000"/>
              <w:end w:val="single" w:sz="6" w:space="0" w:color="000000"/>
            </w:tcBorders>
            <w:shd w:color="auto" w:fill="FFFFFF" w:val="pct5"/>
          </w:tcPr>
          <w:p>
            <w:pPr>
              <w:pStyle w:val="Normal"/>
              <w:tabs>
                <w:tab w:val="clear" w:pos="720"/>
              </w:tabs>
              <w:bidi w:val="0"/>
              <w:jc w:val="start"/>
              <w:rPr/>
            </w:pPr>
            <w:r>
              <w:rPr/>
            </w:r>
          </w:p>
        </w:tc>
        <w:tc>
          <w:tcPr>
            <w:tcW w:w="1280" w:type="dxa"/>
            <w:tcBorders>
              <w:top w:val="single" w:sz="6" w:space="0" w:color="000000"/>
              <w:start w:val="single" w:sz="6" w:space="0" w:color="000000"/>
              <w:bottom w:val="single" w:sz="6" w:space="0" w:color="000000"/>
              <w:end w:val="single" w:sz="6" w:space="0" w:color="000000"/>
            </w:tcBorders>
            <w:shd w:color="auto" w:fill="FFFFFF" w:val="pct5"/>
          </w:tcPr>
          <w:p>
            <w:pPr>
              <w:pStyle w:val="Normal"/>
              <w:tabs>
                <w:tab w:val="clear" w:pos="720"/>
              </w:tabs>
              <w:bidi w:val="0"/>
              <w:jc w:val="start"/>
              <w:rPr/>
            </w:pPr>
            <w:r>
              <w:rPr/>
            </w:r>
          </w:p>
        </w:tc>
      </w:tr>
      <w:tr>
        <w:trPr/>
        <w:tc>
          <w:tcPr>
            <w:tcW w:w="2451" w:type="dxa"/>
            <w:tcBorders>
              <w:top w:val="single" w:sz="6" w:space="0" w:color="000000"/>
              <w:start w:val="single" w:sz="6" w:space="0" w:color="000000"/>
              <w:bottom w:val="single" w:sz="6" w:space="0" w:color="000000"/>
              <w:end w:val="single" w:sz="6" w:space="0" w:color="000000"/>
            </w:tcBorders>
            <w:shd w:color="auto" w:fill="FF0000"/>
          </w:tcPr>
          <w:p>
            <w:pPr>
              <w:pStyle w:val="Normal"/>
              <w:tabs>
                <w:tab w:val="clear" w:pos="720"/>
              </w:tabs>
              <w:bidi w:val="0"/>
              <w:jc w:val="start"/>
              <w:rPr/>
            </w:pPr>
            <w:r>
              <w:rPr/>
              <w:t>Flat Customer Charge</w:t>
            </w:r>
          </w:p>
        </w:tc>
        <w:tc>
          <w:tcPr>
            <w:tcW w:w="1282" w:type="dxa"/>
            <w:tcBorders>
              <w:start w:val="single" w:sz="6" w:space="0" w:color="000000"/>
              <w:end w:val="single" w:sz="6" w:space="0" w:color="000000"/>
            </w:tcBorders>
            <w:shd w:color="auto" w:fill="FF0000"/>
          </w:tcPr>
          <w:p>
            <w:pPr>
              <w:pStyle w:val="Normal"/>
              <w:numPr>
                <w:ilvl w:val="0"/>
                <w:numId w:val="1"/>
              </w:numPr>
              <w:tabs>
                <w:tab w:val="clear" w:pos="720"/>
                <w:tab w:val="left" w:pos="360" w:leader="none"/>
              </w:tabs>
              <w:bidi w:val="0"/>
              <w:jc w:val="start"/>
              <w:rPr>
                <w:highlight w:val="red"/>
              </w:rPr>
            </w:pPr>
            <w:r>
              <w:rPr>
                <w:highlight w:val="red"/>
              </w:rPr>
              <w:t>No Savings</w:t>
            </w:r>
          </w:p>
          <w:p>
            <w:pPr>
              <w:pStyle w:val="Normal"/>
              <w:numPr>
                <w:ilvl w:val="0"/>
                <w:numId w:val="1"/>
              </w:numPr>
              <w:tabs>
                <w:tab w:val="clear" w:pos="720"/>
                <w:tab w:val="left" w:pos="360" w:leader="none"/>
              </w:tabs>
              <w:bidi w:val="0"/>
              <w:jc w:val="start"/>
              <w:rPr>
                <w:highlight w:val="red"/>
              </w:rPr>
            </w:pPr>
            <w:r>
              <w:rPr>
                <w:highlight w:val="red"/>
              </w:rPr>
              <w:t>Same</w:t>
            </w:r>
          </w:p>
          <w:p>
            <w:pPr>
              <w:pStyle w:val="Normal"/>
              <w:numPr>
                <w:ilvl w:val="0"/>
                <w:numId w:val="1"/>
              </w:numPr>
              <w:tabs>
                <w:tab w:val="clear" w:pos="720"/>
                <w:tab w:val="left" w:pos="360" w:leader="none"/>
              </w:tabs>
              <w:bidi w:val="0"/>
              <w:jc w:val="start"/>
              <w:rPr/>
            </w:pPr>
            <w:r>
              <w:rPr>
                <w:highlight w:val="red"/>
              </w:rPr>
              <w:t>Average Rate</w:t>
            </w:r>
          </w:p>
        </w:tc>
        <w:tc>
          <w:tcPr>
            <w:tcW w:w="1280" w:type="dxa"/>
            <w:tcBorders>
              <w:start w:val="single" w:sz="6" w:space="0" w:color="000000"/>
              <w:bottom w:val="single" w:sz="6" w:space="0" w:color="000000"/>
              <w:end w:val="single" w:sz="6" w:space="0" w:color="000000"/>
            </w:tcBorders>
            <w:shd w:color="auto" w:fill="FF0000"/>
          </w:tcPr>
          <w:p>
            <w:pPr>
              <w:pStyle w:val="Normal"/>
              <w:numPr>
                <w:ilvl w:val="0"/>
                <w:numId w:val="1"/>
              </w:numPr>
              <w:tabs>
                <w:tab w:val="clear" w:pos="720"/>
                <w:tab w:val="left" w:pos="360" w:leader="none"/>
              </w:tabs>
              <w:bidi w:val="0"/>
              <w:jc w:val="start"/>
              <w:rPr>
                <w:highlight w:val="red"/>
              </w:rPr>
            </w:pPr>
            <w:r>
              <w:rPr>
                <w:highlight w:val="red"/>
              </w:rPr>
              <w:t>No Savings</w:t>
            </w:r>
          </w:p>
          <w:p>
            <w:pPr>
              <w:pStyle w:val="Normal"/>
              <w:numPr>
                <w:ilvl w:val="0"/>
                <w:numId w:val="1"/>
              </w:numPr>
              <w:tabs>
                <w:tab w:val="clear" w:pos="720"/>
                <w:tab w:val="left" w:pos="360" w:leader="none"/>
              </w:tabs>
              <w:bidi w:val="0"/>
              <w:jc w:val="start"/>
              <w:rPr/>
            </w:pPr>
            <w:r>
              <w:rPr>
                <w:highlight w:val="red"/>
              </w:rPr>
              <w:t>Same Average Rate</w:t>
            </w:r>
          </w:p>
        </w:tc>
        <w:tc>
          <w:tcPr>
            <w:tcW w:w="1281" w:type="dxa"/>
            <w:tcBorders>
              <w:start w:val="single" w:sz="6" w:space="0" w:color="000000"/>
              <w:end w:val="single" w:sz="6" w:space="0" w:color="000000"/>
            </w:tcBorders>
            <w:shd w:color="auto" w:fill="FF0000"/>
          </w:tcPr>
          <w:p>
            <w:pPr>
              <w:pStyle w:val="Normal"/>
              <w:numPr>
                <w:ilvl w:val="0"/>
                <w:numId w:val="1"/>
              </w:numPr>
              <w:tabs>
                <w:tab w:val="clear" w:pos="720"/>
                <w:tab w:val="left" w:pos="360" w:leader="none"/>
              </w:tabs>
              <w:bidi w:val="0"/>
              <w:jc w:val="start"/>
              <w:rPr>
                <w:highlight w:val="red"/>
              </w:rPr>
            </w:pPr>
            <w:r>
              <w:rPr>
                <w:highlight w:val="red"/>
              </w:rPr>
              <w:t>No Savings</w:t>
            </w:r>
          </w:p>
          <w:p>
            <w:pPr>
              <w:pStyle w:val="Normal"/>
              <w:numPr>
                <w:ilvl w:val="0"/>
                <w:numId w:val="1"/>
              </w:numPr>
              <w:tabs>
                <w:tab w:val="clear" w:pos="720"/>
                <w:tab w:val="left" w:pos="360" w:leader="none"/>
              </w:tabs>
              <w:bidi w:val="0"/>
              <w:jc w:val="start"/>
              <w:rPr/>
            </w:pPr>
            <w:r>
              <w:rPr>
                <w:highlight w:val="red"/>
              </w:rPr>
              <w:t>Same Average Rate</w:t>
            </w:r>
          </w:p>
        </w:tc>
        <w:tc>
          <w:tcPr>
            <w:tcW w:w="1282" w:type="dxa"/>
            <w:tcBorders>
              <w:start w:val="single" w:sz="6" w:space="0" w:color="000000"/>
              <w:end w:val="single" w:sz="6" w:space="0" w:color="000000"/>
            </w:tcBorders>
            <w:shd w:color="auto" w:fill="FF0000"/>
          </w:tcPr>
          <w:p>
            <w:pPr>
              <w:pStyle w:val="Normal"/>
              <w:numPr>
                <w:ilvl w:val="0"/>
                <w:numId w:val="1"/>
              </w:numPr>
              <w:tabs>
                <w:tab w:val="clear" w:pos="720"/>
                <w:tab w:val="left" w:pos="360" w:leader="none"/>
              </w:tabs>
              <w:bidi w:val="0"/>
              <w:jc w:val="start"/>
              <w:rPr>
                <w:highlight w:val="red"/>
              </w:rPr>
            </w:pPr>
            <w:r>
              <w:rPr>
                <w:highlight w:val="red"/>
              </w:rPr>
              <w:t>No Savings</w:t>
            </w:r>
          </w:p>
          <w:p>
            <w:pPr>
              <w:pStyle w:val="Normal"/>
              <w:numPr>
                <w:ilvl w:val="0"/>
                <w:numId w:val="1"/>
              </w:numPr>
              <w:tabs>
                <w:tab w:val="clear" w:pos="720"/>
                <w:tab w:val="left" w:pos="360" w:leader="none"/>
              </w:tabs>
              <w:bidi w:val="0"/>
              <w:jc w:val="start"/>
              <w:rPr/>
            </w:pPr>
            <w:r>
              <w:rPr>
                <w:highlight w:val="red"/>
              </w:rPr>
              <w:t>Higher Average Rate</w:t>
            </w:r>
          </w:p>
        </w:tc>
        <w:tc>
          <w:tcPr>
            <w:tcW w:w="1280" w:type="dxa"/>
            <w:tcBorders>
              <w:start w:val="single" w:sz="6" w:space="0" w:color="000000"/>
              <w:end w:val="single" w:sz="6" w:space="0" w:color="000000"/>
            </w:tcBorders>
            <w:shd w:color="auto" w:fill="FF0000"/>
          </w:tcPr>
          <w:p>
            <w:pPr>
              <w:pStyle w:val="Normal"/>
              <w:numPr>
                <w:ilvl w:val="0"/>
                <w:numId w:val="1"/>
              </w:numPr>
              <w:tabs>
                <w:tab w:val="clear" w:pos="720"/>
                <w:tab w:val="left" w:pos="360" w:leader="none"/>
              </w:tabs>
              <w:bidi w:val="0"/>
              <w:jc w:val="start"/>
              <w:rPr>
                <w:highlight w:val="red"/>
              </w:rPr>
            </w:pPr>
            <w:r>
              <w:rPr>
                <w:highlight w:val="red"/>
              </w:rPr>
              <w:t>No Savings</w:t>
            </w:r>
          </w:p>
          <w:p>
            <w:pPr>
              <w:pStyle w:val="Normal"/>
              <w:numPr>
                <w:ilvl w:val="0"/>
                <w:numId w:val="1"/>
              </w:numPr>
              <w:tabs>
                <w:tab w:val="clear" w:pos="720"/>
                <w:tab w:val="left" w:pos="360" w:leader="none"/>
              </w:tabs>
              <w:bidi w:val="0"/>
              <w:jc w:val="start"/>
              <w:rPr/>
            </w:pPr>
            <w:r>
              <w:rPr>
                <w:highlight w:val="red"/>
              </w:rPr>
              <w:t>Higher Average Rate</w:t>
            </w:r>
          </w:p>
        </w:tc>
      </w:tr>
      <w:tr>
        <w:trPr/>
        <w:tc>
          <w:tcPr>
            <w:tcW w:w="2451" w:type="dxa"/>
            <w:tcBorders>
              <w:top w:val="single" w:sz="6" w:space="0" w:color="000000"/>
              <w:start w:val="single" w:sz="6" w:space="0" w:color="000000"/>
              <w:bottom w:val="single" w:sz="6" w:space="0" w:color="000000"/>
              <w:end w:val="single" w:sz="6" w:space="0" w:color="000000"/>
            </w:tcBorders>
            <w:shd w:color="auto" w:fill="FF0000"/>
          </w:tcPr>
          <w:p>
            <w:pPr>
              <w:pStyle w:val="Normal"/>
              <w:tabs>
                <w:tab w:val="clear" w:pos="720"/>
              </w:tabs>
              <w:bidi w:val="0"/>
              <w:jc w:val="start"/>
              <w:rPr/>
            </w:pPr>
            <w:r>
              <w:rPr/>
              <w:t>Customer Reservation Charge</w:t>
            </w:r>
          </w:p>
        </w:tc>
        <w:tc>
          <w:tcPr>
            <w:tcW w:w="1282" w:type="dxa"/>
            <w:tcBorders>
              <w:top w:val="single" w:sz="6" w:space="0" w:color="000000"/>
              <w:start w:val="single" w:sz="6" w:space="0" w:color="000000"/>
              <w:bottom w:val="single" w:sz="6" w:space="0" w:color="000000"/>
              <w:end w:val="single" w:sz="6" w:space="0" w:color="000000"/>
            </w:tcBorders>
            <w:shd w:color="auto" w:fill="FFFF00"/>
          </w:tcPr>
          <w:p>
            <w:pPr>
              <w:pStyle w:val="Normal"/>
              <w:numPr>
                <w:ilvl w:val="0"/>
                <w:numId w:val="1"/>
              </w:numPr>
              <w:tabs>
                <w:tab w:val="clear" w:pos="720"/>
                <w:tab w:val="left" w:pos="360" w:leader="none"/>
              </w:tabs>
              <w:bidi w:val="0"/>
              <w:jc w:val="start"/>
              <w:rPr>
                <w:highlight w:val="yellow"/>
              </w:rPr>
            </w:pPr>
            <w:r>
              <w:rPr>
                <w:highlight w:val="yellow"/>
              </w:rPr>
              <w:t>Possible Savings</w:t>
            </w:r>
          </w:p>
          <w:p>
            <w:pPr>
              <w:pStyle w:val="Normal"/>
              <w:numPr>
                <w:ilvl w:val="0"/>
                <w:numId w:val="1"/>
              </w:numPr>
              <w:tabs>
                <w:tab w:val="clear" w:pos="720"/>
                <w:tab w:val="left" w:pos="360" w:leader="none"/>
              </w:tabs>
              <w:bidi w:val="0"/>
              <w:jc w:val="start"/>
              <w:rPr/>
            </w:pPr>
            <w:r>
              <w:rPr>
                <w:highlight w:val="yellow"/>
              </w:rPr>
              <w:t>Same Average Rate</w:t>
            </w:r>
          </w:p>
        </w:tc>
        <w:tc>
          <w:tcPr>
            <w:tcW w:w="1280" w:type="dxa"/>
            <w:tcBorders>
              <w:top w:val="single" w:sz="6" w:space="0" w:color="000000"/>
              <w:start w:val="single" w:sz="6" w:space="0" w:color="000000"/>
              <w:bottom w:val="single" w:sz="6" w:space="0" w:color="000000"/>
              <w:end w:val="single" w:sz="6" w:space="0" w:color="000000"/>
            </w:tcBorders>
            <w:shd w:color="auto" w:fill="FF0000"/>
          </w:tcPr>
          <w:p>
            <w:pPr>
              <w:pStyle w:val="Normal"/>
              <w:numPr>
                <w:ilvl w:val="0"/>
                <w:numId w:val="1"/>
              </w:numPr>
              <w:tabs>
                <w:tab w:val="clear" w:pos="720"/>
                <w:tab w:val="left" w:pos="360" w:leader="none"/>
              </w:tabs>
              <w:bidi w:val="0"/>
              <w:jc w:val="start"/>
              <w:rPr>
                <w:highlight w:val="red"/>
              </w:rPr>
            </w:pPr>
            <w:r>
              <w:rPr>
                <w:highlight w:val="red"/>
              </w:rPr>
              <w:t>No Savings</w:t>
            </w:r>
          </w:p>
          <w:p>
            <w:pPr>
              <w:pStyle w:val="Normal"/>
              <w:numPr>
                <w:ilvl w:val="0"/>
                <w:numId w:val="1"/>
              </w:numPr>
              <w:tabs>
                <w:tab w:val="clear" w:pos="720"/>
                <w:tab w:val="left" w:pos="360" w:leader="none"/>
              </w:tabs>
              <w:bidi w:val="0"/>
              <w:jc w:val="start"/>
              <w:rPr/>
            </w:pPr>
            <w:r>
              <w:rPr>
                <w:highlight w:val="red"/>
              </w:rPr>
              <w:t>Same Average Rate</w:t>
            </w:r>
          </w:p>
        </w:tc>
        <w:tc>
          <w:tcPr>
            <w:tcW w:w="1281" w:type="dxa"/>
            <w:tcBorders>
              <w:top w:val="single" w:sz="6" w:space="0" w:color="000000"/>
              <w:start w:val="single" w:sz="6" w:space="0" w:color="000000"/>
              <w:end w:val="single" w:sz="6" w:space="0" w:color="000000"/>
            </w:tcBorders>
            <w:shd w:color="auto" w:fill="FF0000"/>
          </w:tcPr>
          <w:p>
            <w:pPr>
              <w:pStyle w:val="Normal"/>
              <w:numPr>
                <w:ilvl w:val="0"/>
                <w:numId w:val="1"/>
              </w:numPr>
              <w:tabs>
                <w:tab w:val="clear" w:pos="720"/>
                <w:tab w:val="left" w:pos="360" w:leader="none"/>
              </w:tabs>
              <w:bidi w:val="0"/>
              <w:jc w:val="start"/>
              <w:rPr>
                <w:highlight w:val="red"/>
              </w:rPr>
            </w:pPr>
            <w:r>
              <w:rPr>
                <w:highlight w:val="red"/>
              </w:rPr>
              <w:t>No Savings</w:t>
            </w:r>
          </w:p>
          <w:p>
            <w:pPr>
              <w:pStyle w:val="Normal"/>
              <w:numPr>
                <w:ilvl w:val="0"/>
                <w:numId w:val="1"/>
              </w:numPr>
              <w:tabs>
                <w:tab w:val="clear" w:pos="720"/>
                <w:tab w:val="left" w:pos="360" w:leader="none"/>
              </w:tabs>
              <w:bidi w:val="0"/>
              <w:jc w:val="start"/>
              <w:rPr/>
            </w:pPr>
            <w:r>
              <w:rPr>
                <w:highlight w:val="red"/>
              </w:rPr>
              <w:t>Same Average Rate</w:t>
            </w:r>
          </w:p>
        </w:tc>
        <w:tc>
          <w:tcPr>
            <w:tcW w:w="1282" w:type="dxa"/>
            <w:tcBorders>
              <w:top w:val="single" w:sz="6" w:space="0" w:color="000000"/>
              <w:start w:val="single" w:sz="6" w:space="0" w:color="000000"/>
              <w:bottom w:val="single" w:sz="6" w:space="0" w:color="000000"/>
              <w:end w:val="single" w:sz="6" w:space="0" w:color="000000"/>
            </w:tcBorders>
            <w:shd w:color="auto" w:fill="FF0000"/>
          </w:tcPr>
          <w:p>
            <w:pPr>
              <w:pStyle w:val="Normal"/>
              <w:numPr>
                <w:ilvl w:val="0"/>
                <w:numId w:val="1"/>
              </w:numPr>
              <w:tabs>
                <w:tab w:val="clear" w:pos="720"/>
                <w:tab w:val="left" w:pos="360" w:leader="none"/>
              </w:tabs>
              <w:bidi w:val="0"/>
              <w:jc w:val="start"/>
              <w:rPr>
                <w:highlight w:val="red"/>
              </w:rPr>
            </w:pPr>
            <w:r>
              <w:rPr>
                <w:highlight w:val="red"/>
              </w:rPr>
              <w:t>No Savings</w:t>
            </w:r>
          </w:p>
          <w:p>
            <w:pPr>
              <w:pStyle w:val="Normal"/>
              <w:numPr>
                <w:ilvl w:val="0"/>
                <w:numId w:val="1"/>
              </w:numPr>
              <w:tabs>
                <w:tab w:val="clear" w:pos="720"/>
                <w:tab w:val="left" w:pos="360" w:leader="none"/>
              </w:tabs>
              <w:bidi w:val="0"/>
              <w:jc w:val="start"/>
              <w:rPr/>
            </w:pPr>
            <w:r>
              <w:rPr>
                <w:highlight w:val="red"/>
              </w:rPr>
              <w:t>Higher Average Rate</w:t>
            </w:r>
          </w:p>
        </w:tc>
        <w:tc>
          <w:tcPr>
            <w:tcW w:w="1280" w:type="dxa"/>
            <w:tcBorders>
              <w:top w:val="single" w:sz="6" w:space="0" w:color="000000"/>
              <w:start w:val="single" w:sz="6" w:space="0" w:color="000000"/>
              <w:bottom w:val="single" w:sz="6" w:space="0" w:color="000000"/>
              <w:end w:val="single" w:sz="6" w:space="0" w:color="000000"/>
            </w:tcBorders>
            <w:shd w:color="auto" w:fill="FFFF00"/>
          </w:tcPr>
          <w:p>
            <w:pPr>
              <w:pStyle w:val="Normal"/>
              <w:numPr>
                <w:ilvl w:val="0"/>
                <w:numId w:val="1"/>
              </w:numPr>
              <w:tabs>
                <w:tab w:val="clear" w:pos="720"/>
                <w:tab w:val="left" w:pos="360" w:leader="none"/>
              </w:tabs>
              <w:bidi w:val="0"/>
              <w:jc w:val="start"/>
              <w:rPr>
                <w:highlight w:val="yellow"/>
              </w:rPr>
            </w:pPr>
            <w:r>
              <w:rPr>
                <w:highlight w:val="yellow"/>
              </w:rPr>
              <w:t>Savings</w:t>
            </w:r>
          </w:p>
          <w:p>
            <w:pPr>
              <w:pStyle w:val="Normal"/>
              <w:numPr>
                <w:ilvl w:val="0"/>
                <w:numId w:val="1"/>
              </w:numPr>
              <w:tabs>
                <w:tab w:val="clear" w:pos="720"/>
                <w:tab w:val="left" w:pos="360" w:leader="none"/>
              </w:tabs>
              <w:bidi w:val="0"/>
              <w:jc w:val="start"/>
              <w:rPr/>
            </w:pPr>
            <w:r>
              <w:rPr>
                <w:highlight w:val="yellow"/>
              </w:rPr>
              <w:t>Same Average Rate</w:t>
            </w:r>
          </w:p>
        </w:tc>
      </w:tr>
      <w:tr>
        <w:trPr/>
        <w:tc>
          <w:tcPr>
            <w:tcW w:w="2451" w:type="dxa"/>
            <w:tcBorders>
              <w:top w:val="single" w:sz="6" w:space="0" w:color="000000"/>
              <w:start w:val="single" w:sz="6" w:space="0" w:color="000000"/>
              <w:bottom w:val="single" w:sz="6" w:space="0" w:color="000000"/>
              <w:end w:val="single" w:sz="6" w:space="0" w:color="000000"/>
            </w:tcBorders>
            <w:shd w:color="auto" w:fill="FF0000"/>
          </w:tcPr>
          <w:p>
            <w:pPr>
              <w:pStyle w:val="Normal"/>
              <w:tabs>
                <w:tab w:val="clear" w:pos="720"/>
              </w:tabs>
              <w:bidi w:val="0"/>
              <w:jc w:val="start"/>
              <w:rPr/>
            </w:pPr>
            <w:r>
              <w:rPr/>
              <w:t>Customer Non-Metered (KVA) Connected Load Charge</w:t>
            </w:r>
          </w:p>
        </w:tc>
        <w:tc>
          <w:tcPr>
            <w:tcW w:w="1282" w:type="dxa"/>
            <w:tcBorders>
              <w:start w:val="single" w:sz="6" w:space="0" w:color="000000"/>
              <w:bottom w:val="single" w:sz="6" w:space="0" w:color="000000"/>
              <w:end w:val="single" w:sz="6" w:space="0" w:color="000000"/>
            </w:tcBorders>
            <w:shd w:color="auto" w:fill="FF0000"/>
          </w:tcPr>
          <w:p>
            <w:pPr>
              <w:pStyle w:val="Normal"/>
              <w:numPr>
                <w:ilvl w:val="0"/>
                <w:numId w:val="1"/>
              </w:numPr>
              <w:tabs>
                <w:tab w:val="clear" w:pos="720"/>
                <w:tab w:val="left" w:pos="360" w:leader="none"/>
              </w:tabs>
              <w:bidi w:val="0"/>
              <w:jc w:val="start"/>
              <w:rPr>
                <w:highlight w:val="red"/>
              </w:rPr>
            </w:pPr>
            <w:r>
              <w:rPr>
                <w:highlight w:val="red"/>
              </w:rPr>
              <w:t>No Savings</w:t>
            </w:r>
          </w:p>
          <w:p>
            <w:pPr>
              <w:pStyle w:val="Normal"/>
              <w:numPr>
                <w:ilvl w:val="0"/>
                <w:numId w:val="1"/>
              </w:numPr>
              <w:tabs>
                <w:tab w:val="clear" w:pos="720"/>
                <w:tab w:val="left" w:pos="360" w:leader="none"/>
              </w:tabs>
              <w:bidi w:val="0"/>
              <w:jc w:val="start"/>
              <w:rPr/>
            </w:pPr>
            <w:r>
              <w:rPr>
                <w:highlight w:val="red"/>
              </w:rPr>
              <w:t>Same Average Rate</w:t>
            </w:r>
          </w:p>
        </w:tc>
        <w:tc>
          <w:tcPr>
            <w:tcW w:w="1280" w:type="dxa"/>
            <w:tcBorders>
              <w:top w:val="single" w:sz="6" w:space="0" w:color="000000"/>
              <w:start w:val="single" w:sz="6" w:space="0" w:color="000000"/>
              <w:bottom w:val="single" w:sz="6" w:space="0" w:color="000000"/>
              <w:end w:val="single" w:sz="6" w:space="0" w:color="000000"/>
            </w:tcBorders>
            <w:shd w:color="auto" w:fill="FF0000"/>
          </w:tcPr>
          <w:p>
            <w:pPr>
              <w:pStyle w:val="Normal"/>
              <w:numPr>
                <w:ilvl w:val="0"/>
                <w:numId w:val="1"/>
              </w:numPr>
              <w:tabs>
                <w:tab w:val="clear" w:pos="720"/>
                <w:tab w:val="left" w:pos="360" w:leader="none"/>
              </w:tabs>
              <w:bidi w:val="0"/>
              <w:jc w:val="start"/>
              <w:rPr>
                <w:highlight w:val="red"/>
              </w:rPr>
            </w:pPr>
            <w:r>
              <w:rPr>
                <w:highlight w:val="red"/>
              </w:rPr>
              <w:t>No Savings</w:t>
            </w:r>
          </w:p>
          <w:p>
            <w:pPr>
              <w:pStyle w:val="Normal"/>
              <w:numPr>
                <w:ilvl w:val="0"/>
                <w:numId w:val="1"/>
              </w:numPr>
              <w:tabs>
                <w:tab w:val="clear" w:pos="720"/>
                <w:tab w:val="left" w:pos="360" w:leader="none"/>
              </w:tabs>
              <w:bidi w:val="0"/>
              <w:jc w:val="start"/>
              <w:rPr/>
            </w:pPr>
            <w:r>
              <w:rPr>
                <w:highlight w:val="red"/>
              </w:rPr>
              <w:t>Same Average Rate</w:t>
            </w:r>
          </w:p>
        </w:tc>
        <w:tc>
          <w:tcPr>
            <w:tcW w:w="1281" w:type="dxa"/>
            <w:tcBorders>
              <w:top w:val="single" w:sz="6" w:space="0" w:color="000000"/>
              <w:start w:val="single" w:sz="6" w:space="0" w:color="000000"/>
              <w:bottom w:val="single" w:sz="6" w:space="0" w:color="000000"/>
              <w:end w:val="single" w:sz="6" w:space="0" w:color="000000"/>
            </w:tcBorders>
            <w:shd w:color="auto" w:fill="00FF00"/>
          </w:tcPr>
          <w:p>
            <w:pPr>
              <w:pStyle w:val="Normal"/>
              <w:numPr>
                <w:ilvl w:val="0"/>
                <w:numId w:val="1"/>
              </w:numPr>
              <w:tabs>
                <w:tab w:val="clear" w:pos="720"/>
                <w:tab w:val="left" w:pos="360" w:leader="none"/>
              </w:tabs>
              <w:bidi w:val="0"/>
              <w:jc w:val="start"/>
              <w:rPr>
                <w:highlight w:val="green"/>
              </w:rPr>
            </w:pPr>
            <w:r>
              <w:rPr>
                <w:highlight w:val="green"/>
              </w:rPr>
              <w:t>Savings</w:t>
            </w:r>
          </w:p>
          <w:p>
            <w:pPr>
              <w:pStyle w:val="Normal"/>
              <w:numPr>
                <w:ilvl w:val="0"/>
                <w:numId w:val="1"/>
              </w:numPr>
              <w:tabs>
                <w:tab w:val="clear" w:pos="720"/>
                <w:tab w:val="left" w:pos="360" w:leader="none"/>
              </w:tabs>
              <w:bidi w:val="0"/>
              <w:jc w:val="start"/>
              <w:rPr/>
            </w:pPr>
            <w:r>
              <w:rPr>
                <w:highlight w:val="green"/>
              </w:rPr>
              <w:t>Lower Average Rate</w:t>
            </w:r>
          </w:p>
        </w:tc>
        <w:tc>
          <w:tcPr>
            <w:tcW w:w="1282" w:type="dxa"/>
            <w:tcBorders>
              <w:top w:val="single" w:sz="6" w:space="0" w:color="000000"/>
              <w:start w:val="single" w:sz="6" w:space="0" w:color="000000"/>
              <w:bottom w:val="single" w:sz="6" w:space="0" w:color="000000"/>
              <w:end w:val="single" w:sz="6" w:space="0" w:color="000000"/>
            </w:tcBorders>
            <w:shd w:color="auto" w:fill="FF0000"/>
          </w:tcPr>
          <w:p>
            <w:pPr>
              <w:pStyle w:val="Normal"/>
              <w:numPr>
                <w:ilvl w:val="0"/>
                <w:numId w:val="1"/>
              </w:numPr>
              <w:tabs>
                <w:tab w:val="clear" w:pos="720"/>
                <w:tab w:val="left" w:pos="360" w:leader="none"/>
              </w:tabs>
              <w:bidi w:val="0"/>
              <w:jc w:val="start"/>
              <w:rPr>
                <w:highlight w:val="red"/>
              </w:rPr>
            </w:pPr>
            <w:r>
              <w:rPr>
                <w:highlight w:val="red"/>
              </w:rPr>
              <w:t>No Savings</w:t>
            </w:r>
          </w:p>
          <w:p>
            <w:pPr>
              <w:pStyle w:val="Normal"/>
              <w:numPr>
                <w:ilvl w:val="0"/>
                <w:numId w:val="1"/>
              </w:numPr>
              <w:tabs>
                <w:tab w:val="clear" w:pos="720"/>
                <w:tab w:val="left" w:pos="360" w:leader="none"/>
              </w:tabs>
              <w:bidi w:val="0"/>
              <w:jc w:val="start"/>
              <w:rPr/>
            </w:pPr>
            <w:r>
              <w:rPr>
                <w:highlight w:val="red"/>
              </w:rPr>
              <w:t>Higher Average Rate</w:t>
            </w:r>
          </w:p>
        </w:tc>
        <w:tc>
          <w:tcPr>
            <w:tcW w:w="1280" w:type="dxa"/>
            <w:tcBorders>
              <w:top w:val="single" w:sz="6" w:space="0" w:color="000000"/>
              <w:start w:val="single" w:sz="6" w:space="0" w:color="000000"/>
              <w:bottom w:val="single" w:sz="6" w:space="0" w:color="000000"/>
              <w:end w:val="single" w:sz="6" w:space="0" w:color="000000"/>
            </w:tcBorders>
            <w:shd w:color="auto" w:fill="FFFF00"/>
          </w:tcPr>
          <w:p>
            <w:pPr>
              <w:pStyle w:val="Normal"/>
              <w:numPr>
                <w:ilvl w:val="0"/>
                <w:numId w:val="1"/>
              </w:numPr>
              <w:tabs>
                <w:tab w:val="clear" w:pos="720"/>
                <w:tab w:val="left" w:pos="360" w:leader="none"/>
              </w:tabs>
              <w:bidi w:val="0"/>
              <w:jc w:val="start"/>
              <w:rPr>
                <w:highlight w:val="yellow"/>
              </w:rPr>
            </w:pPr>
            <w:r>
              <w:rPr>
                <w:highlight w:val="yellow"/>
              </w:rPr>
              <w:t>Savings</w:t>
            </w:r>
          </w:p>
          <w:p>
            <w:pPr>
              <w:pStyle w:val="Normal"/>
              <w:numPr>
                <w:ilvl w:val="0"/>
                <w:numId w:val="1"/>
              </w:numPr>
              <w:tabs>
                <w:tab w:val="clear" w:pos="720"/>
                <w:tab w:val="left" w:pos="360" w:leader="none"/>
              </w:tabs>
              <w:bidi w:val="0"/>
              <w:jc w:val="start"/>
              <w:rPr/>
            </w:pPr>
            <w:r>
              <w:rPr>
                <w:highlight w:val="yellow"/>
              </w:rPr>
              <w:t>Same Average Rate</w:t>
            </w:r>
          </w:p>
        </w:tc>
      </w:tr>
    </w:tbl>
    <w:p>
      <w:pPr>
        <w:pStyle w:val="Normal"/>
        <w:bidi w:val="0"/>
        <w:ind w:hanging="1440" w:start="1440"/>
        <w:jc w:val="start"/>
        <w:rPr/>
      </w:pPr>
      <w:r>
        <w:rPr/>
      </w:r>
    </w:p>
    <w:p>
      <w:pPr>
        <w:pStyle w:val="Normal"/>
        <w:widowControl/>
        <w:suppressAutoHyphens w:val="true"/>
        <w:bidi w:val="0"/>
        <w:jc w:val="start"/>
        <w:rPr/>
      </w:pPr>
      <w:r>
        <w:rPr/>
        <w:t>Based on the analysis put forth above, Time-of-Use rate designs provide the most competitive opportunities.    Similar to Time-of-Use rate designs, yet not too different from the Max Demand rates put forth by PG&amp;E, a Peak Period Demand Charge provides many competitive opportunities and savings through load management.    In lieu of debating Time-of-Use cost allocation, supporting a Peak Period Demand Charge may be the most conservation friendly and easily defensible rate design.</w:t>
      </w:r>
    </w:p>
    <w:p>
      <w:pPr>
        <w:pStyle w:val="Normal"/>
        <w:bidi w:val="0"/>
        <w:ind w:hanging="1440" w:start="1440"/>
        <w:jc w:val="start"/>
        <w:rPr/>
      </w:pPr>
      <w:r>
        <w:rPr/>
      </w:r>
    </w:p>
    <w:p>
      <w:pPr>
        <w:pStyle w:val="Heading4"/>
        <w:bidi w:val="0"/>
        <w:jc w:val="start"/>
        <w:rPr>
          <w:rFonts w:ascii="Times New Roman" w:hAnsi="Times New Roman"/>
        </w:rPr>
      </w:pPr>
      <w:r>
        <w:rPr/>
        <w:t>Standby Charges</w:t>
      </w:r>
    </w:p>
    <w:p>
      <w:pPr>
        <w:pStyle w:val="Normal"/>
        <w:bidi w:val="0"/>
        <w:ind w:hanging="1440" w:start="1440"/>
        <w:jc w:val="start"/>
        <w:rPr/>
      </w:pPr>
      <w:r>
        <w:rPr/>
      </w:r>
    </w:p>
    <w:p>
      <w:pPr>
        <w:pStyle w:val="Normal"/>
        <w:widowControl/>
        <w:suppressAutoHyphens w:val="true"/>
        <w:bidi w:val="0"/>
        <w:jc w:val="start"/>
        <w:rPr/>
      </w:pPr>
      <w:r>
        <w:rPr/>
        <w:t>PG&amp;E offers two types of Standby Service.</w:t>
      </w:r>
    </w:p>
    <w:p>
      <w:pPr>
        <w:pStyle w:val="Normal"/>
        <w:widowControl/>
        <w:suppressAutoHyphens w:val="true"/>
        <w:bidi w:val="0"/>
        <w:jc w:val="start"/>
        <w:rPr/>
      </w:pPr>
      <w:r>
        <w:rPr/>
      </w:r>
    </w:p>
    <w:p>
      <w:pPr>
        <w:pStyle w:val="Normal"/>
        <w:widowControl/>
        <w:suppressAutoHyphens w:val="true"/>
        <w:bidi w:val="0"/>
        <w:jc w:val="start"/>
        <w:rPr/>
      </w:pPr>
      <w:r>
        <w:rPr/>
        <w:t xml:space="preserve">Under Rate Schedule S, PG&amp;E offers Back-Up Standby Service to customers (1) whose premises are regularly and completely supplied by electric energy from a nonutility source of supply that consistently produces at least enough power to meet the customers’ total electric demand; (2) who at times take auxiliary service (by means of a double-throw switch) from another public utility; (3) who require PG&amp;E to provide reserve capacity and stand ready at all times to supply electricity on an irregular or noncontinuous basis; or (4) whose nonutility source of generation does not regularly supply all the power necessary at their premises provided the rated capacity of the customer’s onsite generator is at least 50 percent of the customer’s maximum kW demand and load profile recorders are installed to separately meter the net on-site generation and the on-site load.    Customers taking Back-Up Standby Service pay a combination of a T&amp;D reservation charge and a volumetric charge that recovers distribution, amongst other unbundled volumetric charges, when energy is delivered from the grid.    PG&amp;E’s present volumetric rates for this service reflect unbundled distribution rates on a time-of-use basis roughly equivalent to unbundled distribution rates offered to other customers charged on a volumetric basis only.    Under the present rates, the premium for taking energy from the grid is reflected in the unbundled generation costs which recovers PX costs and CTCs.    PG&amp;E’s proposed volumetric rates for this service reflect flat unbundled distribution rates roughly equivalent to unbundled distribution rates offered to other customers charged on a volumetric basis only.    (Note: PG&amp;E states in its GRC Phase II testimony that the volumetric rate for Back-up Standby Service is based on a 150kWh/kW break-even point or 21% load factor, which is comparable to the level of capacity costs recovered in PG&amp;E’s present Standby Volumetric Rates.)    Further, the premium reflected in the unbundled generation is basically swapped out with a fixed CTC rate and the actual cost of PX energy.    With respect to the unbundled distribution rate, the only difference between the present and proposed rates is a TOU versus flat rate design.    No usage premium is reflected in the unbundled distribution rate in either case.    Hence, PG&amp;E charges a reservation charge plus a volumetric charge for distribution when energy is taken from the grid.    It does not appear that the volumetric distribution charge is discounted for distribution reservation charges in the rate design or as a subsequent credit to the Standby customer who takes energy from the grid. </w:t>
      </w:r>
    </w:p>
    <w:p>
      <w:pPr>
        <w:pStyle w:val="Normal"/>
        <w:widowControl/>
        <w:suppressAutoHyphens w:val="true"/>
        <w:bidi w:val="0"/>
        <w:jc w:val="start"/>
        <w:rPr/>
      </w:pPr>
      <w:r>
        <w:rPr/>
      </w:r>
    </w:p>
    <w:p>
      <w:pPr>
        <w:pStyle w:val="Normal"/>
        <w:widowControl/>
        <w:suppressAutoHyphens w:val="true"/>
        <w:bidi w:val="0"/>
        <w:jc w:val="start"/>
        <w:rPr/>
      </w:pPr>
      <w:r>
        <w:rPr/>
        <w:t>PG&amp;E also offers Supplemental Standby Service in conjunction with the customer’s applicable rate schedule for customers whose premises are: (1) supplied only in part by electric energy from a non-utility source of supply, and who do not qualify for or elect to take Back-Up Standby Service; or (2) whose regular non-utility source of supply is subject to an extended outage of at least one complete regular billing cycle.    Customers taking Supplemental Standby Service pay a combination of a T&amp;D reservation charge, in addition to the charges on the applicable rate schedule when energy is delivered from the grid. Under PG&amp;E’s present rate structure unbundled distribution rates are charged in a TOU demand and energy charge for large customers.    Under PG&amp;E’s proposed rate structure unbundled distribution rates would be charge on a max demand charge for large customers. Hence, PG&amp;E charges a reservation charge plus the applicable charge for distribution when energy is taken from the grid.    It does not appear that the applicable charges for distribution are discounted for distribution reservation charges in the rate design or as a subsequent credit to the Standby customer who takes energy from the grid.</w:t>
      </w:r>
    </w:p>
    <w:p>
      <w:pPr>
        <w:pStyle w:val="Normal"/>
        <w:widowControl/>
        <w:suppressAutoHyphens w:val="true"/>
        <w:bidi w:val="0"/>
        <w:jc w:val="start"/>
        <w:rPr/>
      </w:pPr>
      <w:r>
        <w:rPr/>
      </w:r>
    </w:p>
    <w:p>
      <w:pPr>
        <w:pStyle w:val="Normal"/>
        <w:widowControl/>
        <w:suppressAutoHyphens w:val="true"/>
        <w:bidi w:val="0"/>
        <w:jc w:val="start"/>
        <w:rPr/>
      </w:pPr>
      <w:r>
        <w:rPr/>
        <w:t>The fundamental question regarding Standby Service is whether a reservation charge is appropriate for Standby Service given that a customer who takes energy from the grid will pay for distribution when energy is taken from the grid.    In other words, should customers with onsite generation be treated differently from any other customers that pay for distribution based on the energy that is taken from the grid.    Utilities may view the elimination of the reservation charge as a free option, but this is no different then the free options that other customers receive.    PG&amp;E does recognize that loads served under Schedule S are served by multiple, independent generators which will not simultaneously require service and PG&amp;E’s local operating areas need not hold in reserve 100 percent of the locally subscribed standby capacity.    As a result, PG&amp;E has discounted the reservation charge to approximately 38% of the distribution demand charge for non-Standby customers.    Still, there may be double recovery issues through recovery of distribution through reservation charges and charges applied when energy is taken from the grid.</w:t>
      </w:r>
    </w:p>
    <w:p>
      <w:pPr>
        <w:pStyle w:val="Normal"/>
        <w:widowControl/>
        <w:suppressAutoHyphens w:val="true"/>
        <w:bidi w:val="0"/>
        <w:jc w:val="start"/>
        <w:rPr/>
      </w:pPr>
      <w:r>
        <w:rPr/>
      </w:r>
    </w:p>
    <w:p>
      <w:pPr>
        <w:pStyle w:val="Normal"/>
        <w:widowControl/>
        <w:suppressAutoHyphens w:val="true"/>
        <w:bidi w:val="0"/>
        <w:jc w:val="start"/>
        <w:rPr/>
      </w:pPr>
      <w:r>
        <w:rPr/>
        <w:t>We may have two alternatives: (1) argue that since no customers pay for wires services through a reservation charge, customers with onsite generation should not be required to pay a reservation charge; or (2) argue that a customer’s wires charges when energy is taken from the grid should be reduced by the amount paid in a reservation charge either through a credit or in the rate design.    In either case, the Standby Customer should have to pay for energy based on real-time prices and should not pay based on a class average load profile since the customer’s usage pattern does not conform with the class average load profile.</w:t>
      </w:r>
    </w:p>
    <w:p>
      <w:pPr>
        <w:pStyle w:val="Normal"/>
        <w:widowControl/>
        <w:suppressAutoHyphens w:val="true"/>
        <w:bidi w:val="0"/>
        <w:jc w:val="start"/>
        <w:rPr/>
      </w:pPr>
      <w:r>
        <w:rPr/>
      </w:r>
    </w:p>
    <w:p>
      <w:pPr>
        <w:pStyle w:val="Heading1"/>
        <w:bidi w:val="0"/>
        <w:jc w:val="start"/>
        <w:rPr>
          <w:rFonts w:ascii="Times New Roman" w:hAnsi="Times New Roman"/>
        </w:rPr>
      </w:pPr>
      <w:r>
        <w:rPr/>
        <w:t>DISTRIBUTION BYPASS</w:t>
      </w:r>
    </w:p>
    <w:p>
      <w:pPr>
        <w:pStyle w:val="Normal"/>
        <w:widowControl/>
        <w:suppressAutoHyphens w:val="true"/>
        <w:bidi w:val="0"/>
        <w:jc w:val="start"/>
        <w:rPr/>
      </w:pPr>
      <w:r>
        <w:rPr/>
      </w:r>
    </w:p>
    <w:p>
      <w:pPr>
        <w:pStyle w:val="Normal"/>
        <w:widowControl/>
        <w:suppressAutoHyphens w:val="true"/>
        <w:bidi w:val="0"/>
        <w:jc w:val="start"/>
        <w:rPr/>
      </w:pPr>
      <w:r>
        <w:rPr/>
        <w:t>DISTRIBUTION BYPASS OPPORTUNITIES</w:t>
      </w:r>
    </w:p>
    <w:p>
      <w:pPr>
        <w:pStyle w:val="Normal"/>
        <w:widowControl/>
        <w:suppressAutoHyphens w:val="true"/>
        <w:bidi w:val="0"/>
        <w:jc w:val="start"/>
        <w:rPr/>
      </w:pPr>
      <w:r>
        <w:rPr/>
      </w:r>
    </w:p>
    <w:p>
      <w:pPr>
        <w:pStyle w:val="Normal"/>
        <w:widowControl/>
        <w:suppressAutoHyphens w:val="true"/>
        <w:bidi w:val="0"/>
        <w:jc w:val="start"/>
        <w:rPr/>
      </w:pPr>
      <w:r>
        <w:rPr/>
        <w:t>On-Site Generation with Standby Service</w:t>
      </w:r>
    </w:p>
    <w:p>
      <w:pPr>
        <w:pStyle w:val="Normal"/>
        <w:widowControl/>
        <w:suppressAutoHyphens w:val="true"/>
        <w:bidi w:val="0"/>
        <w:jc w:val="start"/>
        <w:rPr/>
      </w:pPr>
      <w:r>
        <w:rPr/>
        <w:t xml:space="preserve">Disconnect Load served by On-Site Generation </w:t>
      </w:r>
    </w:p>
    <w:p>
      <w:pPr>
        <w:pStyle w:val="Normal"/>
        <w:widowControl/>
        <w:suppressAutoHyphens w:val="true"/>
        <w:bidi w:val="0"/>
        <w:jc w:val="start"/>
        <w:rPr/>
      </w:pPr>
      <w:r>
        <w:rPr/>
        <w:t>Voltage Buy-up</w:t>
      </w:r>
    </w:p>
    <w:p>
      <w:pPr>
        <w:pStyle w:val="Normal"/>
        <w:widowControl/>
        <w:suppressAutoHyphens w:val="true"/>
        <w:bidi w:val="0"/>
        <w:jc w:val="start"/>
        <w:rPr/>
      </w:pPr>
      <w:r>
        <w:rPr/>
        <w:t>Demand-Side-Management</w:t>
      </w:r>
    </w:p>
    <w:p>
      <w:pPr>
        <w:pStyle w:val="Normal"/>
        <w:widowControl/>
        <w:suppressAutoHyphens w:val="true"/>
        <w:bidi w:val="0"/>
        <w:jc w:val="start"/>
        <w:rPr/>
      </w:pPr>
      <w:r>
        <w:rPr/>
        <w:t>Move Load to another Service Territory</w:t>
      </w:r>
    </w:p>
    <w:p>
      <w:pPr>
        <w:pStyle w:val="Normal"/>
        <w:widowControl/>
        <w:suppressAutoHyphens w:val="true"/>
        <w:bidi w:val="0"/>
        <w:jc w:val="start"/>
        <w:rPr/>
      </w:pPr>
      <w:r>
        <w:rPr/>
        <w:t>Disconnect Load and Connect Load to a Neighboring Service Territory</w:t>
      </w:r>
    </w:p>
    <w:p>
      <w:pPr>
        <w:pStyle w:val="Normal"/>
        <w:widowControl/>
        <w:suppressAutoHyphens w:val="true"/>
        <w:bidi w:val="0"/>
        <w:jc w:val="start"/>
        <w:rPr/>
      </w:pPr>
      <w:r>
        <w:rPr/>
      </w:r>
    </w:p>
    <w:p>
      <w:pPr>
        <w:pStyle w:val="Normal"/>
        <w:bidi w:val="0"/>
        <w:ind w:hanging="1440" w:start="1440"/>
        <w:jc w:val="start"/>
        <w:rPr/>
      </w:pPr>
      <w:r>
        <w:rPr/>
        <w:t>UTILITY RESPONSES TO DISTRIBUTION BYPASS</w:t>
      </w:r>
    </w:p>
    <w:p>
      <w:pPr>
        <w:pStyle w:val="Normal"/>
        <w:bidi w:val="0"/>
        <w:ind w:hanging="1440" w:start="1440"/>
        <w:jc w:val="start"/>
        <w:rPr/>
      </w:pPr>
      <w:r>
        <w:rPr/>
      </w:r>
    </w:p>
    <w:p>
      <w:pPr>
        <w:pStyle w:val="Normal"/>
        <w:bidi w:val="0"/>
        <w:ind w:hanging="1440" w:start="1440"/>
        <w:jc w:val="start"/>
        <w:rPr/>
      </w:pPr>
      <w:r>
        <w:rPr/>
        <w:t xml:space="preserve">Exit Fee – PG&amp;E is proposing a exit fee be assigned directly to the individual departing customers for customers with load greater or equal to 20 kW without CTC exemptions from irrigation districts and customers installing cogeneration units for all or a portion of their load taking standby service from PG&amp;E.    This exit fee is based on 10 years of lost margins.    Enron should oppose the exit fee because it penalizes individual customers for exercising competitive options. </w:t>
      </w:r>
    </w:p>
    <w:p>
      <w:pPr>
        <w:pStyle w:val="Normal"/>
        <w:bidi w:val="0"/>
        <w:ind w:hanging="1440" w:start="1440"/>
        <w:jc w:val="start"/>
        <w:rPr/>
      </w:pPr>
      <w:r>
        <w:rPr/>
        <w:t>Flexible Pricing Options – In lieu of an exit fee, PG&amp;E is requesting that shortfalls from individual customers bypassing PG&amp;E’s distribution system be passed onto other ratepayers and requests continuation of flexible pricing options to mitigate such shortfalls.    First, this is certainly the lesser of two evils: exit fee versus flexible pricing.    Second, this is consistent with our position that distribution service is competitive.    Third, this supports our Utility Representation Activities.    However, this is all in theory.    In reality, the utilities do not necessarily flexibly price on a non-discriminatory basis, perhaps providing preferential treatment to default customers or customers of the utility’s affiliate.    Further, utilities may use this option to thwart any potential deals between ESPs and customers.</w:t>
      </w:r>
    </w:p>
    <w:p>
      <w:pPr>
        <w:pStyle w:val="Normal"/>
        <w:bidi w:val="0"/>
        <w:ind w:hanging="1440" w:start="1440"/>
        <w:jc w:val="start"/>
        <w:rPr/>
      </w:pPr>
      <w:r>
        <w:rPr/>
        <w:t>Geographic Rate Deaveraging – See below.</w:t>
      </w:r>
    </w:p>
    <w:p>
      <w:pPr>
        <w:pStyle w:val="Normal"/>
        <w:bidi w:val="0"/>
        <w:ind w:hanging="1440" w:start="1440"/>
        <w:jc w:val="start"/>
        <w:rPr/>
      </w:pPr>
      <w:r>
        <w:rPr/>
      </w:r>
    </w:p>
    <w:p>
      <w:pPr>
        <w:pStyle w:val="Heading2"/>
        <w:bidi w:val="0"/>
        <w:jc w:val="start"/>
        <w:rPr>
          <w:rFonts w:ascii="Times New Roman" w:hAnsi="Times New Roman"/>
        </w:rPr>
      </w:pPr>
      <w:r>
        <w:rPr/>
        <w:t>GLOBAL DISTRIBUTION RATEMAKING ISSUES BETTER SUITED IN DISTRIBUTION OII</w:t>
      </w:r>
    </w:p>
    <w:p>
      <w:pPr>
        <w:pStyle w:val="Normal"/>
        <w:bidi w:val="0"/>
        <w:ind w:hanging="1440" w:start="1440"/>
        <w:jc w:val="start"/>
        <w:rPr/>
      </w:pPr>
      <w:r>
        <w:rPr/>
      </w:r>
    </w:p>
    <w:p>
      <w:pPr>
        <w:pStyle w:val="Normal"/>
        <w:widowControl/>
        <w:suppressAutoHyphens w:val="true"/>
        <w:bidi w:val="0"/>
        <w:jc w:val="start"/>
        <w:rPr/>
      </w:pPr>
      <w:r>
        <w:rPr/>
        <w:t>The following issues are distribution ratemaking issues that are not being addressed in PG&amp;E’s Phase II GRC, but are nonetheless important to Enron: (1) Aggregation Rates; (2) Geographich Deaveraging; and (3) Distribution PBR.</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imes New Roman" w:cs="Times New Roman"/>
      <w:color w:val="auto"/>
      <w:kern w:val="2"/>
      <w:sz w:val="20"/>
      <w:szCs w:val="24"/>
      <w:lang w:val="en-CA" w:eastAsia="zh-CN" w:bidi="hi-IN"/>
    </w:rPr>
  </w:style>
  <w:style w:type="paragraph" w:styleId="Heading1">
    <w:name w:val="heading 1"/>
    <w:basedOn w:val="Normal"/>
    <w:next w:val="Normal"/>
    <w:qFormat/>
    <w:pPr>
      <w:keepNext w:val="true"/>
      <w:widowControl/>
      <w:outlineLvl w:val="0"/>
    </w:pPr>
    <w:rPr>
      <w:b/>
      <w:sz w:val="20"/>
    </w:rPr>
  </w:style>
  <w:style w:type="paragraph" w:styleId="Heading2">
    <w:name w:val="heading 2"/>
    <w:basedOn w:val="Normal"/>
    <w:next w:val="Normal"/>
    <w:qFormat/>
    <w:pPr>
      <w:keepNext w:val="true"/>
      <w:widowControl/>
      <w:ind w:hanging="1440" w:start="1440"/>
      <w:outlineLvl w:val="1"/>
    </w:pPr>
    <w:rPr>
      <w:b/>
      <w:sz w:val="20"/>
    </w:rPr>
  </w:style>
  <w:style w:type="paragraph" w:styleId="Heading3">
    <w:name w:val="heading 3"/>
    <w:basedOn w:val="Normal"/>
    <w:next w:val="Normal"/>
    <w:qFormat/>
    <w:pPr>
      <w:keepNext w:val="true"/>
      <w:widowControl/>
      <w:outlineLvl w:val="2"/>
    </w:pPr>
    <w:rPr>
      <w:sz w:val="20"/>
      <w:u w:val="single"/>
    </w:rPr>
  </w:style>
  <w:style w:type="paragraph" w:styleId="Heading4">
    <w:name w:val="heading 4"/>
    <w:basedOn w:val="Normal"/>
    <w:next w:val="Normal"/>
    <w:qFormat/>
    <w:pPr>
      <w:keepNext w:val="true"/>
      <w:widowControl/>
      <w:ind w:hanging="1440" w:start="1440"/>
      <w:outlineLvl w:val="3"/>
    </w:pPr>
    <w:rPr>
      <w:sz w:val="20"/>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ind w:hanging="1440" w:start="1440"/>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TotalTime>
  <Application>LibreOffice/25.2.7.0.0$Linux_X86_64 LibreOffice_project/2cc84caafd2707671cae2773f8085721f003b89f</Application>
  <AppVersion>15.0000</AppVersion>
  <Pages>99</Pages>
  <Words>1755</Words>
  <Characters>12289</Characters>
  <CharactersWithSpaces>10007</CharactersWithSpaces>
  <Company>Enron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1999-11-03T10:57:00Z</dcterms:created>
  <dc:creator>Roger Yang</dc:creator>
  <dc:description/>
  <dc:language>en-CA</dc:language>
  <cp:lastModifiedBy/>
  <dcterms:modified xsi:type="dcterms:W3CDTF">1999-11-04T16:42:00Z</dcterms:modified>
  <cp:revision>2</cp:revision>
  <dc:subject/>
  <dc:title>RETAIL RATE DESIGN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Roger Yang</vt:lpwstr>
  </property>
</Properties>
</file>