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widowControl/>
        <w:bidi w:val="0"/>
        <w:jc w:val="start"/>
        <w:rPr/>
      </w:pPr>
      <w:r>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4410" cy="987425"/>
                    </a:xfrm>
                    <a:prstGeom prst="rect">
                      <a:avLst/>
                    </a:prstGeom>
                    <a:noFill/>
                  </pic:spPr>
                </pic:pic>
              </a:graphicData>
            </a:graphic>
          </wp:inline>
        </w:drawing>
      </w:r>
    </w:p>
    <w:p>
      <w:pPr>
        <w:pStyle w:val="Title"/>
        <w:widowControl/>
        <w:bidi w:val="0"/>
        <w:jc w:val="start"/>
        <w:rPr/>
      </w:pPr>
      <w:r>
        <w:rPr/>
      </w:r>
    </w:p>
    <w:tbl>
      <w:tblPr>
        <w:tblW w:w="10708" w:type="dxa"/>
        <w:jc w:val="start"/>
        <w:tblInd w:w="200" w:type="dxa"/>
        <w:tblLayout w:type="fixed"/>
        <w:tblCellMar>
          <w:top w:w="0" w:type="dxa"/>
          <w:start w:w="108" w:type="dxa"/>
          <w:bottom w:w="0" w:type="dxa"/>
          <w:end w:w="108" w:type="dxa"/>
        </w:tblCellMar>
      </w:tblPr>
      <w:tblGrid>
        <w:gridCol w:w="707"/>
        <w:gridCol w:w="6045"/>
        <w:gridCol w:w="990"/>
        <w:gridCol w:w="2965"/>
      </w:tblGrid>
      <w:tr>
        <w:trPr>
          <w:trHeight w:val="300" w:hRule="exact"/>
          <w:cantSplit w:val="true"/>
        </w:trPr>
        <w:tc>
          <w:tcPr>
            <w:tcW w:w="707" w:type="dxa"/>
            <w:tcBorders/>
          </w:tcPr>
          <w:p>
            <w:pPr>
              <w:pStyle w:val="Normal"/>
              <w:bidi w:val="0"/>
              <w:ind w:hanging="0" w:start="-180"/>
              <w:jc w:val="end"/>
              <w:rPr/>
            </w:pPr>
            <w:r>
              <w:rPr>
                <w:sz w:val="16"/>
              </w:rPr>
              <w:t>To:</w:t>
            </w:r>
          </w:p>
        </w:tc>
        <w:tc>
          <w:tcPr>
            <w:tcW w:w="6045" w:type="dxa"/>
            <w:tcBorders/>
          </w:tcPr>
          <w:p>
            <w:pPr>
              <w:pStyle w:val="To"/>
              <w:tabs>
                <w:tab w:val="clear" w:pos="540"/>
              </w:tabs>
              <w:bidi w:val="0"/>
              <w:jc w:val="start"/>
              <w:rPr/>
            </w:pPr>
            <w:r>
              <w:rPr/>
              <w:t>Regulatory Risk Working Group</w:t>
            </w:r>
          </w:p>
        </w:tc>
        <w:tc>
          <w:tcPr>
            <w:tcW w:w="990" w:type="dxa"/>
            <w:tcBorders/>
          </w:tcPr>
          <w:p>
            <w:pPr>
              <w:pStyle w:val="Normal"/>
              <w:bidi w:val="0"/>
              <w:ind w:hanging="0" w:start="-180"/>
              <w:jc w:val="start"/>
              <w:rPr/>
            </w:pPr>
            <w:r>
              <w:rPr/>
            </w:r>
          </w:p>
        </w:tc>
        <w:tc>
          <w:tcPr>
            <w:tcW w:w="2965" w:type="dxa"/>
            <w:tcBorders/>
          </w:tcPr>
          <w:p>
            <w:pPr>
              <w:pStyle w:val="Normal"/>
              <w:bidi w:val="0"/>
              <w:jc w:val="start"/>
              <w:rPr/>
            </w:pPr>
            <w:r>
              <w:rPr/>
            </w:r>
          </w:p>
        </w:tc>
      </w:tr>
      <w:tr>
        <w:trPr>
          <w:trHeight w:val="216" w:hRule="exact"/>
          <w:cantSplit w:val="true"/>
        </w:trPr>
        <w:tc>
          <w:tcPr>
            <w:tcW w:w="707" w:type="dxa"/>
            <w:tcBorders/>
          </w:tcPr>
          <w:p>
            <w:pPr>
              <w:pStyle w:val="Normal"/>
              <w:bidi w:val="0"/>
              <w:ind w:hanging="0" w:start="-180"/>
              <w:jc w:val="end"/>
              <w:rPr>
                <w:sz w:val="18"/>
              </w:rPr>
            </w:pPr>
            <w:r>
              <w:rPr>
                <w:sz w:val="18"/>
              </w:rPr>
            </w:r>
          </w:p>
        </w:tc>
        <w:tc>
          <w:tcPr>
            <w:tcW w:w="6045" w:type="dxa"/>
            <w:tcBorders/>
          </w:tcPr>
          <w:p>
            <w:pPr>
              <w:pStyle w:val="Normal"/>
              <w:bidi w:val="0"/>
              <w:jc w:val="start"/>
              <w:rPr>
                <w:sz w:val="18"/>
              </w:rPr>
            </w:pPr>
            <w:r>
              <w:rPr>
                <w:sz w:val="18"/>
              </w:rPr>
            </w:r>
          </w:p>
        </w:tc>
        <w:tc>
          <w:tcPr>
            <w:tcW w:w="990" w:type="dxa"/>
            <w:tcBorders/>
          </w:tcPr>
          <w:p>
            <w:pPr>
              <w:pStyle w:val="Normal"/>
              <w:bidi w:val="0"/>
              <w:ind w:hanging="0" w:start="-180"/>
              <w:jc w:val="start"/>
              <w:rPr>
                <w:sz w:val="18"/>
              </w:rPr>
            </w:pPr>
            <w:r>
              <w:rPr>
                <w:sz w:val="18"/>
              </w:rPr>
            </w:r>
          </w:p>
        </w:tc>
        <w:tc>
          <w:tcPr>
            <w:tcW w:w="2965" w:type="dxa"/>
            <w:tcBorders/>
          </w:tcPr>
          <w:p>
            <w:pPr>
              <w:pStyle w:val="Normal"/>
              <w:bidi w:val="0"/>
              <w:jc w:val="start"/>
              <w:rPr>
                <w:sz w:val="18"/>
              </w:rPr>
            </w:pPr>
            <w:r>
              <w:rPr>
                <w:sz w:val="18"/>
              </w:rPr>
            </w:r>
          </w:p>
        </w:tc>
      </w:tr>
      <w:tr>
        <w:trPr>
          <w:trHeight w:val="300" w:hRule="exact"/>
          <w:cantSplit w:val="true"/>
        </w:trPr>
        <w:tc>
          <w:tcPr>
            <w:tcW w:w="707" w:type="dxa"/>
            <w:tcBorders/>
          </w:tcPr>
          <w:p>
            <w:pPr>
              <w:pStyle w:val="Normal"/>
              <w:bidi w:val="0"/>
              <w:ind w:hanging="0" w:start="-180"/>
              <w:jc w:val="end"/>
              <w:rPr/>
            </w:pPr>
            <w:r>
              <w:rPr>
                <w:sz w:val="16"/>
              </w:rPr>
              <w:t>From:</w:t>
            </w:r>
          </w:p>
        </w:tc>
        <w:tc>
          <w:tcPr>
            <w:tcW w:w="6045" w:type="dxa"/>
            <w:tcBorders/>
          </w:tcPr>
          <w:p>
            <w:pPr>
              <w:pStyle w:val="From"/>
              <w:tabs>
                <w:tab w:val="clear" w:pos="540"/>
              </w:tabs>
              <w:bidi w:val="0"/>
              <w:jc w:val="start"/>
              <w:rPr/>
            </w:pPr>
            <w:r>
              <w:rPr/>
              <w:t>Jim Steffes</w:t>
            </w:r>
          </w:p>
        </w:tc>
        <w:tc>
          <w:tcPr>
            <w:tcW w:w="990" w:type="dxa"/>
            <w:tcBorders/>
          </w:tcPr>
          <w:p>
            <w:pPr>
              <w:pStyle w:val="Normal"/>
              <w:bidi w:val="0"/>
              <w:ind w:hanging="0" w:start="-180"/>
              <w:jc w:val="end"/>
              <w:rPr/>
            </w:pPr>
            <w:r>
              <w:rPr>
                <w:sz w:val="16"/>
              </w:rPr>
              <w:t>Department:</w:t>
            </w:r>
          </w:p>
        </w:tc>
        <w:tc>
          <w:tcPr>
            <w:tcW w:w="2965" w:type="dxa"/>
            <w:tcBorders/>
          </w:tcPr>
          <w:p>
            <w:pPr>
              <w:pStyle w:val="Department"/>
              <w:tabs>
                <w:tab w:val="clear" w:pos="540"/>
              </w:tabs>
              <w:bidi w:val="0"/>
              <w:jc w:val="start"/>
              <w:rPr/>
            </w:pPr>
            <w:r>
              <w:rPr/>
            </w:r>
            <w:bookmarkStart w:id="0" w:name="From"/>
            <w:bookmarkStart w:id="1" w:name="From"/>
            <w:bookmarkEnd w:id="1"/>
          </w:p>
        </w:tc>
      </w:tr>
      <w:tr>
        <w:trPr>
          <w:trHeight w:val="216" w:hRule="exact"/>
          <w:cantSplit w:val="true"/>
        </w:trPr>
        <w:tc>
          <w:tcPr>
            <w:tcW w:w="707" w:type="dxa"/>
            <w:tcBorders/>
          </w:tcPr>
          <w:p>
            <w:pPr>
              <w:pStyle w:val="Normal"/>
              <w:bidi w:val="0"/>
              <w:ind w:hanging="0" w:start="-180"/>
              <w:jc w:val="end"/>
              <w:rPr>
                <w:sz w:val="18"/>
              </w:rPr>
            </w:pPr>
            <w:r>
              <w:rPr>
                <w:sz w:val="18"/>
              </w:rPr>
            </w:r>
          </w:p>
        </w:tc>
        <w:tc>
          <w:tcPr>
            <w:tcW w:w="6045" w:type="dxa"/>
            <w:tcBorders/>
          </w:tcPr>
          <w:p>
            <w:pPr>
              <w:pStyle w:val="Normal"/>
              <w:bidi w:val="0"/>
              <w:jc w:val="start"/>
              <w:rPr>
                <w:sz w:val="18"/>
              </w:rPr>
            </w:pPr>
            <w:r>
              <w:rPr>
                <w:sz w:val="18"/>
              </w:rPr>
            </w:r>
          </w:p>
        </w:tc>
        <w:tc>
          <w:tcPr>
            <w:tcW w:w="990" w:type="dxa"/>
            <w:tcBorders/>
          </w:tcPr>
          <w:p>
            <w:pPr>
              <w:pStyle w:val="Normal"/>
              <w:bidi w:val="0"/>
              <w:ind w:hanging="0" w:start="-180"/>
              <w:jc w:val="start"/>
              <w:rPr>
                <w:sz w:val="18"/>
              </w:rPr>
            </w:pPr>
            <w:r>
              <w:rPr>
                <w:sz w:val="18"/>
              </w:rPr>
            </w:r>
          </w:p>
        </w:tc>
        <w:tc>
          <w:tcPr>
            <w:tcW w:w="2965" w:type="dxa"/>
            <w:tcBorders/>
          </w:tcPr>
          <w:p>
            <w:pPr>
              <w:pStyle w:val="Normal"/>
              <w:bidi w:val="0"/>
              <w:jc w:val="start"/>
              <w:rPr>
                <w:sz w:val="18"/>
              </w:rPr>
            </w:pPr>
            <w:r>
              <w:rPr>
                <w:sz w:val="18"/>
              </w:rPr>
            </w:r>
          </w:p>
        </w:tc>
      </w:tr>
      <w:tr>
        <w:trPr>
          <w:trHeight w:val="600" w:hRule="exact"/>
          <w:cantSplit w:val="true"/>
        </w:trPr>
        <w:tc>
          <w:tcPr>
            <w:tcW w:w="707" w:type="dxa"/>
            <w:tcBorders>
              <w:bottom w:val="single" w:sz="12" w:space="0" w:color="000000"/>
            </w:tcBorders>
          </w:tcPr>
          <w:p>
            <w:pPr>
              <w:pStyle w:val="Normal"/>
              <w:bidi w:val="0"/>
              <w:ind w:hanging="0" w:start="-180"/>
              <w:jc w:val="end"/>
              <w:rPr/>
            </w:pPr>
            <w:r>
              <w:rPr>
                <w:sz w:val="16"/>
              </w:rPr>
              <w:t>Subject:</w:t>
            </w:r>
          </w:p>
        </w:tc>
        <w:tc>
          <w:tcPr>
            <w:tcW w:w="6045" w:type="dxa"/>
            <w:tcBorders>
              <w:bottom w:val="single" w:sz="12" w:space="0" w:color="000000"/>
            </w:tcBorders>
          </w:tcPr>
          <w:p>
            <w:pPr>
              <w:pStyle w:val="Subject"/>
              <w:tabs>
                <w:tab w:val="clear" w:pos="540"/>
              </w:tabs>
              <w:bidi w:val="0"/>
              <w:jc w:val="start"/>
              <w:rPr/>
            </w:pPr>
            <w:r>
              <w:rPr/>
              <w:t>Notes from Feb 1 2000 WG Meeting</w:t>
            </w:r>
          </w:p>
        </w:tc>
        <w:tc>
          <w:tcPr>
            <w:tcW w:w="990" w:type="dxa"/>
            <w:tcBorders>
              <w:bottom w:val="single" w:sz="12" w:space="0" w:color="000000"/>
            </w:tcBorders>
          </w:tcPr>
          <w:p>
            <w:pPr>
              <w:pStyle w:val="Normal"/>
              <w:bidi w:val="0"/>
              <w:ind w:hanging="0" w:start="-180"/>
              <w:jc w:val="end"/>
              <w:rPr/>
            </w:pPr>
            <w:r>
              <w:rPr>
                <w:sz w:val="16"/>
              </w:rPr>
              <w:t>Date:</w:t>
            </w:r>
          </w:p>
        </w:tc>
        <w:tc>
          <w:tcPr>
            <w:tcW w:w="2965" w:type="dxa"/>
            <w:tcBorders>
              <w:bottom w:val="single" w:sz="12" w:space="0" w:color="000000"/>
            </w:tcBorders>
          </w:tcPr>
          <w:p>
            <w:pPr>
              <w:pStyle w:val="Date"/>
              <w:tabs>
                <w:tab w:val="clear" w:pos="540"/>
              </w:tabs>
              <w:bidi w:val="0"/>
              <w:jc w:val="start"/>
              <w:rPr/>
            </w:pPr>
            <w:r>
              <w:rPr>
                <w:lang w:val="en-CA"/>
              </w:rPr>
              <w:fldChar w:fldCharType="begin"/>
            </w:r>
            <w:r>
              <w:rPr>
                <w:lang w:val="en-CA"/>
              </w:rPr>
              <w:instrText xml:space="preserve"> TIME \@"MMMM\ d', 'yyyy" </w:instrText>
            </w:r>
            <w:r>
              <w:rPr>
                <w:lang w:val="en-CA"/>
              </w:rPr>
              <w:fldChar w:fldCharType="separate"/>
            </w:r>
            <w:r>
              <w:rPr>
                <w:lang w:val="en-CA"/>
              </w:rPr>
              <w:t>September 28, 2025</w:t>
            </w:r>
            <w:r>
              <w:rPr>
                <w:lang w:val="en-CA"/>
              </w:rPr>
              <w:fldChar w:fldCharType="end"/>
            </w:r>
          </w:p>
        </w:tc>
      </w:tr>
    </w:tbl>
    <w:p>
      <w:pPr>
        <w:pStyle w:val="Body"/>
        <w:bidi w:val="0"/>
        <w:jc w:val="start"/>
        <w:rPr/>
      </w:pPr>
      <w:r>
        <w:rPr/>
      </w:r>
      <w:bookmarkStart w:id="2" w:name="StartOfMemo"/>
      <w:bookmarkStart w:id="3" w:name="StartOfMemo"/>
      <w:bookmarkEnd w:id="3"/>
    </w:p>
    <w:p>
      <w:pPr>
        <w:pStyle w:val="Body"/>
        <w:bidi w:val="0"/>
        <w:jc w:val="start"/>
        <w:rPr/>
      </w:pPr>
      <w:r>
        <w:rPr/>
        <w:t xml:space="preserve">The following identifies key points that I captured during yesterday’s presentations.    Please let me know if you have other thoughts.    </w:t>
      </w:r>
    </w:p>
    <w:p>
      <w:pPr>
        <w:pStyle w:val="Body"/>
        <w:pBdr>
          <w:bottom w:val="single" w:sz="6" w:space="1" w:color="000000"/>
        </w:pBdr>
        <w:bidi w:val="0"/>
        <w:jc w:val="start"/>
        <w:rPr/>
      </w:pPr>
      <w:r>
        <w:rPr/>
      </w:r>
    </w:p>
    <w:p>
      <w:pPr>
        <w:pStyle w:val="Body"/>
        <w:bidi w:val="0"/>
        <w:jc w:val="start"/>
        <w:rPr/>
      </w:pPr>
      <w:r>
        <w:rPr/>
      </w:r>
    </w:p>
    <w:p>
      <w:pPr>
        <w:pStyle w:val="Body"/>
        <w:bidi w:val="0"/>
        <w:jc w:val="start"/>
        <w:rPr/>
      </w:pPr>
      <w:r>
        <w:rPr/>
        <w:t>Paul Kaufman (QF Regulatory Risk Analysis) –</w:t>
      </w:r>
    </w:p>
    <w:p>
      <w:pPr>
        <w:pStyle w:val="Body"/>
        <w:bidi w:val="0"/>
        <w:jc w:val="start"/>
        <w:rPr/>
      </w:pPr>
      <w:r>
        <w:rPr/>
      </w:r>
    </w:p>
    <w:p>
      <w:pPr>
        <w:pStyle w:val="Body"/>
        <w:numPr>
          <w:ilvl w:val="0"/>
          <w:numId w:val="1"/>
        </w:numPr>
        <w:tabs>
          <w:tab w:val="clear" w:pos="540"/>
          <w:tab w:val="left" w:pos="432" w:leader="none"/>
        </w:tabs>
        <w:bidi w:val="0"/>
        <w:ind w:hanging="360" w:start="432"/>
        <w:jc w:val="start"/>
        <w:rPr/>
      </w:pPr>
      <w:r>
        <w:rPr/>
        <w:t xml:space="preserve">Regulatory Risk Analysis can be performed by responding to a standard set of issues and questions.    </w:t>
      </w:r>
    </w:p>
    <w:p>
      <w:pPr>
        <w:pStyle w:val="Body"/>
        <w:numPr>
          <w:ilvl w:val="0"/>
          <w:numId w:val="1"/>
        </w:numPr>
        <w:tabs>
          <w:tab w:val="clear" w:pos="540"/>
          <w:tab w:val="left" w:pos="432" w:leader="none"/>
        </w:tabs>
        <w:bidi w:val="0"/>
        <w:ind w:hanging="360" w:start="432"/>
        <w:jc w:val="start"/>
        <w:rPr/>
      </w:pPr>
      <w:r>
        <w:rPr/>
        <w:t>Understanding the deal structure is critical in understanding the Regulatory Risk(s).</w:t>
      </w:r>
    </w:p>
    <w:p>
      <w:pPr>
        <w:pStyle w:val="Body"/>
        <w:bidi w:val="0"/>
        <w:jc w:val="start"/>
        <w:rPr/>
      </w:pPr>
      <w:r>
        <w:rPr/>
      </w:r>
    </w:p>
    <w:p>
      <w:pPr>
        <w:pStyle w:val="Body"/>
        <w:bidi w:val="0"/>
        <w:jc w:val="start"/>
        <w:rPr/>
      </w:pPr>
      <w:r>
        <w:rPr/>
        <w:t>Dan Allegretti (Project Eureka) –</w:t>
      </w:r>
    </w:p>
    <w:p>
      <w:pPr>
        <w:pStyle w:val="Body"/>
        <w:bidi w:val="0"/>
        <w:jc w:val="start"/>
        <w:rPr/>
      </w:pPr>
      <w:r>
        <w:rPr/>
      </w:r>
    </w:p>
    <w:p>
      <w:pPr>
        <w:pStyle w:val="Body"/>
        <w:numPr>
          <w:ilvl w:val="0"/>
          <w:numId w:val="2"/>
        </w:numPr>
        <w:tabs>
          <w:tab w:val="clear" w:pos="540"/>
          <w:tab w:val="left" w:pos="432" w:leader="none"/>
        </w:tabs>
        <w:bidi w:val="0"/>
        <w:ind w:hanging="360" w:start="432"/>
        <w:jc w:val="start"/>
        <w:rPr/>
      </w:pPr>
      <w:r>
        <w:rPr/>
        <w:t>It is easier to mitigate Regulatory Risk prior to the closing of the transaction.    EGA needs to be involved early to offer suggestions of how to mitigate, and the need to mitigate, Regulatory Risk during the deal development phase.</w:t>
      </w:r>
    </w:p>
    <w:p>
      <w:pPr>
        <w:pStyle w:val="Body"/>
        <w:numPr>
          <w:ilvl w:val="0"/>
          <w:numId w:val="2"/>
        </w:numPr>
        <w:tabs>
          <w:tab w:val="clear" w:pos="540"/>
          <w:tab w:val="left" w:pos="432" w:leader="none"/>
        </w:tabs>
        <w:bidi w:val="0"/>
        <w:ind w:hanging="360" w:start="432"/>
        <w:jc w:val="start"/>
        <w:rPr/>
      </w:pPr>
      <w:r>
        <w:rPr/>
        <w:t>Our knowledge and information often put us in a better position to identify Regulatory Risks than the business units.</w:t>
      </w:r>
    </w:p>
    <w:p>
      <w:pPr>
        <w:pStyle w:val="Body"/>
        <w:numPr>
          <w:ilvl w:val="0"/>
          <w:numId w:val="2"/>
        </w:numPr>
        <w:tabs>
          <w:tab w:val="clear" w:pos="540"/>
          <w:tab w:val="left" w:pos="432" w:leader="none"/>
        </w:tabs>
        <w:bidi w:val="0"/>
        <w:ind w:hanging="360" w:start="432"/>
        <w:jc w:val="start"/>
        <w:rPr/>
      </w:pPr>
      <w:r>
        <w:rPr/>
        <w:t>It is impossible to identify all Regulatory Risks during the due diligence phase.    Our responsibility is to stay actively engaged with the asset after transaction close and identify new risks when they arise.</w:t>
      </w:r>
    </w:p>
    <w:p>
      <w:pPr>
        <w:pStyle w:val="Body"/>
        <w:numPr>
          <w:ilvl w:val="0"/>
          <w:numId w:val="2"/>
        </w:numPr>
        <w:tabs>
          <w:tab w:val="clear" w:pos="540"/>
          <w:tab w:val="left" w:pos="432" w:leader="none"/>
        </w:tabs>
        <w:bidi w:val="0"/>
        <w:ind w:hanging="360" w:start="432"/>
        <w:jc w:val="start"/>
        <w:rPr/>
      </w:pPr>
      <w:r>
        <w:rPr/>
        <w:t>Need to build cross-functional teams (legal, finance, RAROC, EGA, etc.) to manage Regulatory Risks.</w:t>
      </w:r>
    </w:p>
    <w:p>
      <w:pPr>
        <w:pStyle w:val="Body"/>
        <w:numPr>
          <w:ilvl w:val="0"/>
          <w:numId w:val="2"/>
        </w:numPr>
        <w:tabs>
          <w:tab w:val="clear" w:pos="540"/>
          <w:tab w:val="left" w:pos="432" w:leader="none"/>
        </w:tabs>
        <w:bidi w:val="0"/>
        <w:ind w:hanging="360" w:start="432"/>
        <w:jc w:val="start"/>
        <w:rPr/>
      </w:pPr>
      <w:r>
        <w:rPr/>
        <w:t>Key is to assign a person (or team) to manage Regulatory Risk over time = the team can request additional resources as is appropriate.</w:t>
      </w:r>
    </w:p>
    <w:p>
      <w:pPr>
        <w:pStyle w:val="Body"/>
        <w:bidi w:val="0"/>
        <w:jc w:val="start"/>
        <w:rPr/>
      </w:pPr>
      <w:r>
        <w:rPr/>
      </w:r>
    </w:p>
    <w:p>
      <w:pPr>
        <w:pStyle w:val="Body"/>
        <w:bidi w:val="0"/>
        <w:jc w:val="start"/>
        <w:rPr/>
      </w:pPr>
      <w:r>
        <w:rPr/>
        <w:t>Harry Kingerski (Regulatory Price Risk) –</w:t>
      </w:r>
    </w:p>
    <w:p>
      <w:pPr>
        <w:pStyle w:val="Body"/>
        <w:bidi w:val="0"/>
        <w:jc w:val="start"/>
        <w:rPr/>
      </w:pPr>
      <w:r>
        <w:rPr/>
      </w:r>
    </w:p>
    <w:p>
      <w:pPr>
        <w:pStyle w:val="Body"/>
        <w:numPr>
          <w:ilvl w:val="0"/>
          <w:numId w:val="3"/>
        </w:numPr>
        <w:tabs>
          <w:tab w:val="clear" w:pos="540"/>
          <w:tab w:val="left" w:pos="432" w:leader="none"/>
        </w:tabs>
        <w:bidi w:val="0"/>
        <w:ind w:hanging="360" w:start="432"/>
        <w:jc w:val="start"/>
        <w:rPr/>
      </w:pPr>
      <w:r>
        <w:rPr/>
        <w:t>There are certain Regulatory Risk types which can be categorized for analysis.</w:t>
      </w:r>
    </w:p>
    <w:p>
      <w:pPr>
        <w:pStyle w:val="Body"/>
        <w:numPr>
          <w:ilvl w:val="0"/>
          <w:numId w:val="3"/>
        </w:numPr>
        <w:tabs>
          <w:tab w:val="clear" w:pos="540"/>
          <w:tab w:val="left" w:pos="432" w:leader="none"/>
        </w:tabs>
        <w:bidi w:val="0"/>
        <w:ind w:hanging="360" w:start="432"/>
        <w:jc w:val="start"/>
        <w:rPr/>
      </w:pPr>
      <w:r>
        <w:rPr/>
        <w:t>Regulatory Risk has a transaction-specific component and a portfolio exposure.    Regulatory Risks may or may not be correlated with other Regulatory Risks.</w:t>
      </w:r>
    </w:p>
    <w:p>
      <w:pPr>
        <w:pStyle w:val="Body"/>
        <w:numPr>
          <w:ilvl w:val="0"/>
          <w:numId w:val="3"/>
        </w:numPr>
        <w:tabs>
          <w:tab w:val="clear" w:pos="540"/>
          <w:tab w:val="left" w:pos="432" w:leader="none"/>
        </w:tabs>
        <w:bidi w:val="0"/>
        <w:ind w:hanging="360" w:start="432"/>
        <w:jc w:val="start"/>
        <w:rPr/>
      </w:pPr>
      <w:r>
        <w:rPr/>
        <w:t>EES has many Regulatory Risks which can be quantified by EGA.</w:t>
      </w:r>
    </w:p>
    <w:p>
      <w:pPr>
        <w:pStyle w:val="Body"/>
        <w:numPr>
          <w:ilvl w:val="0"/>
          <w:numId w:val="3"/>
        </w:numPr>
        <w:tabs>
          <w:tab w:val="clear" w:pos="540"/>
          <w:tab w:val="left" w:pos="432" w:leader="none"/>
        </w:tabs>
        <w:bidi w:val="0"/>
        <w:ind w:hanging="360" w:start="432"/>
        <w:jc w:val="start"/>
        <w:rPr/>
      </w:pPr>
      <w:r>
        <w:rPr/>
        <w:t>Precision is important but not critical.    Better to focus on identification and mitigation plans.</w:t>
      </w:r>
    </w:p>
    <w:p>
      <w:pPr>
        <w:pStyle w:val="Body"/>
        <w:bidi w:val="0"/>
        <w:jc w:val="start"/>
        <w:rPr/>
      </w:pPr>
      <w:r>
        <w:rPr/>
      </w:r>
    </w:p>
    <w:p>
      <w:pPr>
        <w:pStyle w:val="Body"/>
        <w:bidi w:val="0"/>
        <w:jc w:val="start"/>
        <w:rPr/>
      </w:pPr>
      <w:r>
        <w:rPr/>
        <w:t>Amr Ibrahim (Regulatory Risk Analysis) –</w:t>
      </w:r>
    </w:p>
    <w:p>
      <w:pPr>
        <w:pStyle w:val="Body"/>
        <w:bidi w:val="0"/>
        <w:jc w:val="start"/>
        <w:rPr/>
      </w:pPr>
      <w:r>
        <w:rPr/>
      </w:r>
    </w:p>
    <w:p>
      <w:pPr>
        <w:pStyle w:val="Body"/>
        <w:numPr>
          <w:ilvl w:val="0"/>
          <w:numId w:val="4"/>
        </w:numPr>
        <w:tabs>
          <w:tab w:val="clear" w:pos="540"/>
          <w:tab w:val="left" w:pos="432" w:leader="none"/>
        </w:tabs>
        <w:bidi w:val="0"/>
        <w:ind w:hanging="360" w:start="432"/>
        <w:jc w:val="start"/>
        <w:rPr/>
      </w:pPr>
      <w:r>
        <w:rPr/>
        <w:t>Regulatory Risk Process involves (1) identification, (2) assess probability of the risk event, (3) assess severity of the risk event, and (4) calculate Expected Loss (Value at Risk).</w:t>
      </w:r>
    </w:p>
    <w:p>
      <w:pPr>
        <w:pStyle w:val="Body"/>
        <w:numPr>
          <w:ilvl w:val="0"/>
          <w:numId w:val="4"/>
        </w:numPr>
        <w:tabs>
          <w:tab w:val="clear" w:pos="540"/>
          <w:tab w:val="left" w:pos="432" w:leader="none"/>
        </w:tabs>
        <w:bidi w:val="0"/>
        <w:ind w:hanging="360" w:start="432"/>
        <w:jc w:val="start"/>
        <w:rPr/>
      </w:pPr>
      <w:r>
        <w:rPr/>
        <w:t>Regulatory Risk Analysis must (a) be transparent to all users, (b) have clear documentation providing a paper trail, and (c) accommodate updates to the information easily.</w:t>
      </w:r>
    </w:p>
    <w:p>
      <w:pPr>
        <w:pStyle w:val="Body"/>
        <w:numPr>
          <w:ilvl w:val="0"/>
          <w:numId w:val="4"/>
        </w:numPr>
        <w:tabs>
          <w:tab w:val="clear" w:pos="540"/>
          <w:tab w:val="left" w:pos="432" w:leader="none"/>
        </w:tabs>
        <w:bidi w:val="0"/>
        <w:ind w:hanging="360" w:start="432"/>
        <w:jc w:val="start"/>
        <w:rPr/>
      </w:pPr>
      <w:r>
        <w:rPr/>
        <w:t>Structural Risk = risk that all activities in the energy sector are impacted by Regime change.</w:t>
      </w:r>
    </w:p>
    <w:p>
      <w:pPr>
        <w:pStyle w:val="Body"/>
        <w:numPr>
          <w:ilvl w:val="0"/>
          <w:numId w:val="4"/>
        </w:numPr>
        <w:tabs>
          <w:tab w:val="clear" w:pos="540"/>
          <w:tab w:val="left" w:pos="432" w:leader="none"/>
        </w:tabs>
        <w:bidi w:val="0"/>
        <w:ind w:hanging="360" w:start="432"/>
        <w:jc w:val="start"/>
        <w:rPr/>
      </w:pPr>
      <w:r>
        <w:rPr/>
        <w:t>Functional Risk = risk that specific function (e.g., transmission) is impacted.</w:t>
      </w:r>
    </w:p>
    <w:p>
      <w:pPr>
        <w:pStyle w:val="Body"/>
        <w:numPr>
          <w:ilvl w:val="0"/>
          <w:numId w:val="4"/>
        </w:numPr>
        <w:tabs>
          <w:tab w:val="clear" w:pos="540"/>
          <w:tab w:val="left" w:pos="432" w:leader="none"/>
        </w:tabs>
        <w:bidi w:val="0"/>
        <w:ind w:hanging="360" w:start="432"/>
        <w:jc w:val="start"/>
        <w:rPr/>
      </w:pPr>
      <w:r>
        <w:rPr/>
        <w:t>Measurement may be best performed through Rankings (Very Negative – Very Positive).</w:t>
      </w:r>
    </w:p>
    <w:p>
      <w:pPr>
        <w:pStyle w:val="Body"/>
        <w:numPr>
          <w:ilvl w:val="0"/>
          <w:numId w:val="4"/>
        </w:numPr>
        <w:tabs>
          <w:tab w:val="clear" w:pos="540"/>
          <w:tab w:val="left" w:pos="432" w:leader="none"/>
        </w:tabs>
        <w:bidi w:val="0"/>
        <w:ind w:hanging="360" w:start="432"/>
        <w:jc w:val="start"/>
        <w:rPr/>
      </w:pPr>
      <w:r>
        <w:rPr/>
        <w:t>Structured country background information critical for understanding Structural Risk and Functional Risk by providing complete and standardized framework.</w:t>
      </w:r>
    </w:p>
    <w:p>
      <w:pPr>
        <w:pStyle w:val="Body"/>
        <w:bidi w:val="0"/>
        <w:jc w:val="start"/>
        <w:rPr/>
      </w:pPr>
      <w:r>
        <w:rPr/>
      </w:r>
      <w:r>
        <w:br w:type="page"/>
      </w:r>
    </w:p>
    <w:p>
      <w:pPr>
        <w:pStyle w:val="Body"/>
        <w:bidi w:val="0"/>
        <w:jc w:val="start"/>
        <w:rPr/>
      </w:pPr>
      <w:r>
        <w:rPr/>
        <w:t>Mike G Smith (TGS Regulatory Issues) –</w:t>
      </w:r>
    </w:p>
    <w:p>
      <w:pPr>
        <w:pStyle w:val="Body"/>
        <w:bidi w:val="0"/>
        <w:jc w:val="start"/>
        <w:rPr/>
      </w:pPr>
      <w:r>
        <w:rPr/>
      </w:r>
    </w:p>
    <w:p>
      <w:pPr>
        <w:pStyle w:val="Body"/>
        <w:numPr>
          <w:ilvl w:val="0"/>
          <w:numId w:val="5"/>
        </w:numPr>
        <w:tabs>
          <w:tab w:val="clear" w:pos="540"/>
          <w:tab w:val="left" w:pos="432" w:leader="none"/>
        </w:tabs>
        <w:bidi w:val="0"/>
        <w:ind w:hanging="360" w:start="432"/>
        <w:jc w:val="start"/>
        <w:rPr/>
      </w:pPr>
      <w:r>
        <w:rPr/>
        <w:t>Many Regulatory Risks contained within a single asset.    Many Mitigation Plans contained within a single Regulatory Risk.</w:t>
      </w:r>
    </w:p>
    <w:p>
      <w:pPr>
        <w:pStyle w:val="Body"/>
        <w:numPr>
          <w:ilvl w:val="0"/>
          <w:numId w:val="5"/>
        </w:numPr>
        <w:tabs>
          <w:tab w:val="clear" w:pos="540"/>
          <w:tab w:val="left" w:pos="432" w:leader="none"/>
        </w:tabs>
        <w:bidi w:val="0"/>
        <w:ind w:hanging="360" w:start="432"/>
        <w:jc w:val="start"/>
        <w:rPr/>
      </w:pPr>
      <w:r>
        <w:rPr/>
        <w:t>Defining Mitigation Plans are critical for success of the Regulatory Risk process.</w:t>
      </w:r>
    </w:p>
    <w:p>
      <w:pPr>
        <w:pStyle w:val="Body"/>
        <w:numPr>
          <w:ilvl w:val="0"/>
          <w:numId w:val="5"/>
        </w:numPr>
        <w:tabs>
          <w:tab w:val="clear" w:pos="540"/>
          <w:tab w:val="left" w:pos="432" w:leader="none"/>
        </w:tabs>
        <w:bidi w:val="0"/>
        <w:ind w:hanging="360" w:start="432"/>
        <w:jc w:val="start"/>
        <w:rPr/>
      </w:pPr>
      <w:r>
        <w:rPr/>
        <w:t>Ability to calculate the revenue impact allows EGA an understanding of the key issues.</w:t>
      </w:r>
    </w:p>
    <w:p>
      <w:pPr>
        <w:pStyle w:val="Body"/>
        <w:bidi w:val="0"/>
        <w:jc w:val="start"/>
        <w:rPr/>
      </w:pPr>
      <w:r>
        <w:rPr/>
      </w:r>
    </w:p>
    <w:p>
      <w:pPr>
        <w:pStyle w:val="Body"/>
        <w:bidi w:val="0"/>
        <w:jc w:val="start"/>
        <w:rPr/>
      </w:pPr>
      <w:r>
        <w:rPr/>
        <w:t>Fiona Grant (Cross Border Power Transactions) –</w:t>
      </w:r>
    </w:p>
    <w:p>
      <w:pPr>
        <w:pStyle w:val="Body"/>
        <w:bidi w:val="0"/>
        <w:jc w:val="start"/>
        <w:rPr/>
      </w:pPr>
      <w:r>
        <w:rPr/>
      </w:r>
    </w:p>
    <w:p>
      <w:pPr>
        <w:pStyle w:val="Body"/>
        <w:numPr>
          <w:ilvl w:val="0"/>
          <w:numId w:val="6"/>
        </w:numPr>
        <w:tabs>
          <w:tab w:val="clear" w:pos="540"/>
          <w:tab w:val="left" w:pos="432" w:leader="none"/>
        </w:tabs>
        <w:bidi w:val="0"/>
        <w:ind w:hanging="360" w:start="432"/>
        <w:jc w:val="start"/>
        <w:rPr/>
      </w:pPr>
      <w:r>
        <w:rPr/>
        <w:t>International transactions involve multi country Regulatory Risk.</w:t>
      </w:r>
    </w:p>
    <w:p>
      <w:pPr>
        <w:pStyle w:val="Body"/>
        <w:numPr>
          <w:ilvl w:val="0"/>
          <w:numId w:val="6"/>
        </w:numPr>
        <w:tabs>
          <w:tab w:val="clear" w:pos="540"/>
          <w:tab w:val="left" w:pos="432" w:leader="none"/>
        </w:tabs>
        <w:bidi w:val="0"/>
        <w:ind w:hanging="360" w:start="432"/>
        <w:jc w:val="start"/>
        <w:rPr/>
      </w:pPr>
      <w:r>
        <w:rPr/>
        <w:t>Policy changes are form of Regulatory Risk – country specific action may influence power prices throughout the EU.</w:t>
      </w:r>
    </w:p>
    <w:p>
      <w:pPr>
        <w:pStyle w:val="Body"/>
        <w:numPr>
          <w:ilvl w:val="0"/>
          <w:numId w:val="6"/>
        </w:numPr>
        <w:tabs>
          <w:tab w:val="clear" w:pos="540"/>
          <w:tab w:val="left" w:pos="432" w:leader="none"/>
        </w:tabs>
        <w:bidi w:val="0"/>
        <w:ind w:hanging="360" w:start="432"/>
        <w:jc w:val="start"/>
        <w:rPr/>
      </w:pPr>
      <w:r>
        <w:rPr/>
        <w:t>Goal for EGA must be to provide our merchant activities with IMMEDIATE information when policies change.</w:t>
      </w:r>
    </w:p>
    <w:p>
      <w:pPr>
        <w:pStyle w:val="Body"/>
        <w:bidi w:val="0"/>
        <w:jc w:val="start"/>
        <w:rPr/>
      </w:pPr>
      <w:r>
        <w:rPr/>
      </w:r>
    </w:p>
    <w:p>
      <w:pPr>
        <w:pStyle w:val="Body"/>
        <w:bidi w:val="0"/>
        <w:jc w:val="start"/>
        <w:rPr/>
      </w:pPr>
      <w:r>
        <w:rPr/>
        <w:t>Kathleen Magruder (ElectriCities Deal) –</w:t>
      </w:r>
    </w:p>
    <w:p>
      <w:pPr>
        <w:pStyle w:val="Body"/>
        <w:bidi w:val="0"/>
        <w:jc w:val="start"/>
        <w:rPr/>
      </w:pPr>
      <w:r>
        <w:rPr/>
      </w:r>
    </w:p>
    <w:p>
      <w:pPr>
        <w:pStyle w:val="Body"/>
        <w:numPr>
          <w:ilvl w:val="0"/>
          <w:numId w:val="7"/>
        </w:numPr>
        <w:tabs>
          <w:tab w:val="clear" w:pos="540"/>
          <w:tab w:val="left" w:pos="432" w:leader="none"/>
        </w:tabs>
        <w:bidi w:val="0"/>
        <w:ind w:hanging="360" w:start="432"/>
        <w:jc w:val="start"/>
        <w:rPr/>
      </w:pPr>
      <w:r>
        <w:rPr/>
        <w:t>Advocacy efforts and Commercial Deal Support need to be integrated by EGA.</w:t>
      </w:r>
    </w:p>
    <w:p>
      <w:pPr>
        <w:pStyle w:val="Body"/>
        <w:numPr>
          <w:ilvl w:val="0"/>
          <w:numId w:val="7"/>
        </w:numPr>
        <w:tabs>
          <w:tab w:val="clear" w:pos="540"/>
          <w:tab w:val="left" w:pos="432" w:leader="none"/>
        </w:tabs>
        <w:bidi w:val="0"/>
        <w:ind w:hanging="360" w:start="432"/>
        <w:jc w:val="start"/>
        <w:rPr/>
      </w:pPr>
      <w:r>
        <w:rPr/>
        <w:t>Policy changes (e.g., Order 2000 on RTOs) need to be understood by deal teams to understand Regulatory Risks.</w:t>
      </w:r>
    </w:p>
    <w:p>
      <w:pPr>
        <w:pStyle w:val="Body"/>
        <w:numPr>
          <w:ilvl w:val="0"/>
          <w:numId w:val="7"/>
        </w:numPr>
        <w:tabs>
          <w:tab w:val="clear" w:pos="540"/>
          <w:tab w:val="left" w:pos="432" w:leader="none"/>
        </w:tabs>
        <w:bidi w:val="0"/>
        <w:ind w:hanging="360" w:start="432"/>
        <w:jc w:val="start"/>
        <w:rPr/>
      </w:pPr>
      <w:r>
        <w:rPr/>
        <w:t>It may be possible to utilize non-directly associated Proceedings (e.g., CP&amp;L merger) to impact our Regulatory Risks.</w:t>
      </w:r>
    </w:p>
    <w:p>
      <w:pPr>
        <w:pStyle w:val="Department"/>
        <w:bidi w:val="0"/>
        <w:jc w:val="start"/>
        <w:rPr/>
      </w:pPr>
      <w:r>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720" w:right="720" w:gutter="0" w:header="720" w:top="777" w:footer="360" w:bottom="41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CG Times (WN)">
    <w:charset w:val="01" w:characterSet="utf-8"/>
    <w:family w:val="roman"/>
    <w:pitch w:val="variable"/>
  </w:font>
  <w:font w:name="Liberation Sans">
    <w:altName w:val="Arial"/>
    <w:charset w:val="01" w:characterSet="utf-8"/>
    <w:family w:val="swiss"/>
    <w:pitch w:val="variable"/>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bidi w:val="0"/>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bidi w:val="0"/>
      <w:jc w:val="start"/>
      <w:rPr>
        <w:sz w:val="12"/>
      </w:rPr>
    </w:pPr>
    <w:r>
      <w:rPr>
        <w:sz w:val="12"/>
      </w:rPr>
      <w:t>Form 000-469-1 (5/92)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bidi w:val="0"/>
      <w:jc w:val="start"/>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bidi w:val="0"/>
      <w:jc w:val="start"/>
      <w:rPr>
        <w:sz w:val="16"/>
      </w:rPr>
    </w:pPr>
    <w:r>
      <w:rPr>
        <w:sz w:val="16"/>
      </w:rPr>
    </w:r>
  </w:p>
  <w:p>
    <w:pPr>
      <w:pStyle w:val="Footer"/>
      <w:tabs>
        <w:tab w:val="clear" w:pos="4320"/>
        <w:tab w:val="left" w:pos="3780" w:leader="none"/>
        <w:tab w:val="center" w:pos="7560" w:leader="none"/>
        <w:tab w:val="right" w:pos="8640" w:leader="none"/>
        <w:tab w:val="right" w:pos="10800" w:leader="none"/>
      </w:tabs>
      <w:bidi w:val="0"/>
      <w:jc w:val="start"/>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bidi w:val="0"/>
      <w:jc w:val="start"/>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lang w:val="en-CA"/>
      </w:rPr>
      <w:fldChar w:fldCharType="begin"/>
    </w:r>
    <w:r>
      <w:rPr>
        <w:lang w:val="en-CA"/>
      </w:rPr>
      <w:instrText xml:space="preserve"> STYLEREF "Subject" </w:instrText>
    </w:r>
    <w:r>
      <w:rPr>
        <w:lang w:val="en-CA"/>
      </w:rPr>
      <w:fldChar w:fldCharType="separate"/>
    </w:r>
    <w:r>
      <w:rPr>
        <w:lang w:val="en-CA"/>
      </w:rPr>
      <w:t>Notes from Feb 1 2000 WG Meeting</w:t>
    </w:r>
    <w:r>
      <w:rPr>
        <w:lang w:val="en-CA"/>
      </w:rPr>
      <w:fldChar w:fldCharType="end"/>
    </w:r>
    <w:r>
      <w:rPr/>
      <w:tab/>
    </w:r>
    <w:r>
      <w:rPr>
        <w:lang w:val="en-CA"/>
      </w:rPr>
      <w:fldChar w:fldCharType="begin"/>
    </w:r>
    <w:r>
      <w:rPr>
        <w:lang w:val="en-CA"/>
      </w:rPr>
      <w:instrText xml:space="preserve"> DATE \@"yy-M-d" </w:instrText>
    </w:r>
    <w:r>
      <w:rPr>
        <w:lang w:val="en-CA"/>
      </w:rPr>
      <w:fldChar w:fldCharType="separate"/>
    </w:r>
    <w:r>
      <w:rPr>
        <w:lang w:val="en-CA"/>
      </w:rPr>
      <w:t>25-9-28</w:t>
    </w:r>
    <w:r>
      <w:rPr>
        <w:lang w:val="en-CA"/>
      </w:rPr>
      <w:fldChar w:fldCharType="end"/>
    </w:r>
    <w:r>
      <w:rPr/>
      <w:tab/>
      <w:t xml:space="preserve">Page </w:t>
    </w:r>
    <w:r>
      <w:rPr>
        <w:lang w:val="en-CA"/>
      </w:rPr>
      <w:fldChar w:fldCharType="begin"/>
    </w:r>
    <w:r>
      <w:rPr>
        <w:lang w:val="en-CA"/>
      </w:rPr>
      <w:instrText xml:space="preserve"> PAGE </w:instrText>
    </w:r>
    <w:r>
      <w:rPr>
        <w:lang w:val="en-CA"/>
      </w:rPr>
      <w:fldChar w:fldCharType="separate"/>
    </w:r>
    <w:r>
      <w:rPr>
        <w:lang w:val="en-CA"/>
      </w:rPr>
      <w:t>2</w:t>
    </w:r>
    <w:r>
      <w:rPr>
        <w:lang w:val="en-CA"/>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3600"/>
      <w:jc w:val="start"/>
      <w:rPr>
        <w:b/>
        <w:sz w:val="32"/>
      </w:rPr>
    </w:pPr>
    <w:r>
      <w:rPr>
        <w:b/>
        <w:sz w:val="32"/>
      </w:rPr>
      <w:t>Interoffice</w:t>
    </w:r>
  </w:p>
  <w:p>
    <w:pPr>
      <w:pStyle w:val="Normal"/>
      <w:bidi w:val="0"/>
      <w:ind w:hanging="0" w:start="3600"/>
      <w:jc w:val="start"/>
      <w:rPr>
        <w:b/>
        <w:sz w:val="32"/>
      </w:rPr>
    </w:pPr>
    <w:r>
      <w:rPr>
        <w:b/>
        <w:sz w:val="32"/>
      </w:rPr>
      <w:t>Memorandum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suppressAutoHyphens w:val="true"/>
      <w:bidi w:val="0"/>
    </w:pPr>
    <w:rPr>
      <w:rFonts w:ascii="Arial" w:hAnsi="Arial" w:eastAsia="Wingdings" w:cs="CG Times (WN)"/>
      <w:color w:val="auto"/>
      <w:kern w:val="2"/>
      <w:sz w:val="24"/>
      <w:szCs w:val="24"/>
      <w:lang w:val="en-CA" w:eastAsia="zh-CN" w:bidi="hi-IN"/>
    </w:rPr>
  </w:style>
  <w:style w:type="paragraph" w:styleId="Heading3">
    <w:name w:val="heading 3"/>
    <w:basedOn w:val="Normal"/>
    <w:qFormat/>
    <w:pPr>
      <w:widowControl/>
      <w:ind w:hanging="0" w:start="360"/>
    </w:pPr>
    <w:rPr>
      <w:rFonts w:ascii="CG Times (WN)" w:hAnsi="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widowControl/>
      <w:ind w:hanging="0" w:start="720"/>
    </w:pPr>
    <w:rPr>
      <w:rFonts w:ascii="Arial" w:hAnsi="Arial"/>
    </w:rPr>
  </w:style>
  <w:style w:type="paragraph" w:styleId="HeaderandFooter">
    <w:name w:val="Header and Footer"/>
    <w:basedOn w:val="Normal"/>
    <w:qFormat/>
    <w:pPr/>
    <w:rPr/>
  </w:style>
  <w:style w:type="paragraph" w:styleId="Footer">
    <w:name w:val="footer"/>
    <w:basedOn w:val="Normal"/>
    <w:pPr>
      <w:widowControl/>
      <w:tabs>
        <w:tab w:val="clear" w:pos="540"/>
        <w:tab w:val="center" w:pos="4320" w:leader="none"/>
        <w:tab w:val="right" w:pos="8640" w:leader="none"/>
      </w:tabs>
    </w:pPr>
    <w:rPr>
      <w:rFonts w:ascii="Arial" w:hAnsi="Arial"/>
    </w:rPr>
  </w:style>
  <w:style w:type="paragraph" w:styleId="Header">
    <w:name w:val="header"/>
    <w:basedOn w:val="Normal"/>
    <w:pPr>
      <w:widowControl/>
      <w:tabs>
        <w:tab w:val="clear" w:pos="540"/>
        <w:tab w:val="center" w:pos="4320" w:leader="none"/>
        <w:tab w:val="right" w:pos="8640" w:leader="none"/>
      </w:tabs>
    </w:pPr>
    <w:rPr>
      <w:rFonts w:ascii="Arial" w:hAnsi="Arial"/>
    </w:rPr>
  </w:style>
  <w:style w:type="paragraph" w:styleId="Subject">
    <w:name w:val="Subject"/>
    <w:basedOn w:val="Normal"/>
    <w:qFormat/>
    <w:pPr>
      <w:widowControl/>
    </w:pPr>
    <w:rPr>
      <w:rFonts w:ascii="Arial" w:hAnsi="Arial"/>
      <w:sz w:val="20"/>
    </w:rPr>
  </w:style>
  <w:style w:type="paragraph" w:styleId="Date">
    <w:name w:val="Date"/>
    <w:basedOn w:val="Normal"/>
    <w:qFormat/>
    <w:pPr>
      <w:widowControl/>
    </w:pPr>
    <w:rPr>
      <w:rFonts w:ascii="Arial" w:hAnsi="Arial"/>
      <w:sz w:val="20"/>
    </w:rPr>
  </w:style>
  <w:style w:type="paragraph" w:styleId="To">
    <w:name w:val="To"/>
    <w:basedOn w:val="Normal"/>
    <w:qFormat/>
    <w:pPr>
      <w:widowControl/>
    </w:pPr>
    <w:rPr>
      <w:rFonts w:ascii="Arial" w:hAnsi="Arial"/>
      <w:sz w:val="20"/>
    </w:rPr>
  </w:style>
  <w:style w:type="paragraph" w:styleId="From">
    <w:name w:val="From"/>
    <w:basedOn w:val="Normal"/>
    <w:qFormat/>
    <w:pPr>
      <w:widowControl/>
    </w:pPr>
    <w:rPr>
      <w:rFonts w:ascii="Arial" w:hAnsi="Arial"/>
      <w:sz w:val="20"/>
    </w:rPr>
  </w:style>
  <w:style w:type="paragraph" w:styleId="Title">
    <w:name w:val="Title"/>
    <w:basedOn w:val="Normal"/>
    <w:qFormat/>
    <w:pPr>
      <w:widowControl/>
    </w:pPr>
    <w:rPr>
      <w:rFonts w:ascii="Arial" w:hAnsi="Arial"/>
      <w:b/>
    </w:rPr>
  </w:style>
  <w:style w:type="paragraph" w:styleId="CopyList">
    <w:name w:val="CopyList"/>
    <w:basedOn w:val="Normal"/>
    <w:qFormat/>
    <w:pPr>
      <w:widowControl/>
      <w:tabs>
        <w:tab w:val="clear" w:pos="540"/>
        <w:tab w:val="left" w:pos="504" w:leader="none"/>
      </w:tabs>
      <w:spacing w:before="360" w:after="0"/>
      <w:ind w:hanging="504" w:start="576"/>
    </w:pPr>
    <w:rPr>
      <w:rFonts w:ascii="Arial" w:hAnsi="Arial"/>
      <w:sz w:val="20"/>
    </w:rPr>
  </w:style>
  <w:style w:type="paragraph" w:styleId="Body">
    <w:name w:val="Body"/>
    <w:basedOn w:val="Normal"/>
    <w:qFormat/>
    <w:pPr>
      <w:widowControl/>
      <w:ind w:hanging="0" w:start="72"/>
    </w:pPr>
    <w:rPr>
      <w:rFonts w:ascii="Arial" w:hAnsi="Arial"/>
      <w:color w:val="000080"/>
      <w:sz w:val="20"/>
    </w:rPr>
  </w:style>
  <w:style w:type="paragraph" w:styleId="Department">
    <w:name w:val="Department"/>
    <w:basedOn w:val="Normal"/>
    <w:qFormat/>
    <w:pPr>
      <w:widowControl/>
    </w:pPr>
    <w:rPr>
      <w:rFonts w:ascii="Arial" w:hAnsi="Arial"/>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526</Words>
  <Characters>3686</Characters>
  <CharactersWithSpaces>3002</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2000-02-02T15:11:00Z</dcterms:created>
  <dc:creator>EES User</dc:creator>
  <dc:description/>
  <dc:language>en-CA</dc:language>
  <cp:lastModifiedBy/>
  <cp:lastPrinted>1997-01-29T16:33:00Z</cp:lastPrinted>
  <dcterms:modified xsi:type="dcterms:W3CDTF">2000-02-02T16:14:00Z</dcterms:modified>
  <cp:revision>1</cp:revision>
  <dc:subject>Thoughts - Feb 1 2000 Meeting</dc:subject>
  <dc:title>Eron Capital &amp; Trade Resources 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jsteffe</vt:lpwstr>
  </property>
</Properties>
</file>