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GUARANTY</w:t>
      </w:r>
    </w:p>
    <w:p>
      <w:pPr>
        <w:pStyle w:val="Heading"/>
        <w:rPr/>
      </w:pPr>
      <w:r>
        <w:rPr/>
      </w:r>
    </w:p>
    <w:p>
      <w:pPr>
        <w:pStyle w:val="BodyTextIndent"/>
        <w:rPr/>
      </w:pPr>
      <w:r>
        <w:rPr>
          <w:sz w:val="22"/>
        </w:rPr>
        <w:t>This Guaranty Agreement (this “</w:t>
      </w:r>
      <w:r>
        <w:rPr>
          <w:sz w:val="22"/>
          <w:u w:val="single"/>
        </w:rPr>
        <w:t>Guaranty</w:t>
      </w:r>
      <w:r>
        <w:rPr>
          <w:sz w:val="22"/>
        </w:rPr>
        <w:t xml:space="preserve">”) dated effective as of March ____, 20001, is entered into by </w:t>
      </w:r>
      <w:r>
        <w:rPr>
          <w:b/>
          <w:sz w:val="22"/>
        </w:rPr>
        <w:t xml:space="preserve">ABC, </w:t>
      </w:r>
      <w:r>
        <w:rPr>
          <w:sz w:val="22"/>
        </w:rPr>
        <w:t>a _______________________ (“</w:t>
      </w:r>
      <w:r>
        <w:rPr>
          <w:sz w:val="22"/>
          <w:u w:val="single"/>
        </w:rPr>
        <w:t>Guarantor</w:t>
      </w:r>
      <w:r>
        <w:rPr>
          <w:sz w:val="22"/>
        </w:rPr>
        <w:t>”), in favor of Enron North America Corp., a Delaware corporation (“</w:t>
      </w:r>
      <w:r>
        <w:rPr>
          <w:sz w:val="22"/>
          <w:u w:val="single"/>
        </w:rPr>
        <w:t>Counterparty</w:t>
      </w:r>
      <w:r>
        <w:rPr>
          <w:sz w:val="22"/>
        </w:rPr>
        <w:t xml:space="preserve">”).  </w:t>
      </w:r>
    </w:p>
    <w:p>
      <w:pPr>
        <w:pStyle w:val="Normal"/>
        <w:widowControl w:val="false"/>
        <w:jc w:val="both"/>
        <w:rPr>
          <w:sz w:val="22"/>
        </w:rPr>
      </w:pPr>
      <w:r>
        <w:rPr>
          <w:sz w:val="22"/>
        </w:rPr>
      </w:r>
    </w:p>
    <w:p>
      <w:pPr>
        <w:pStyle w:val="Normal"/>
        <w:widowControl w:val="false"/>
        <w:jc w:val="both"/>
        <w:rPr/>
      </w:pPr>
      <w:r>
        <w:rPr>
          <w:sz w:val="22"/>
        </w:rPr>
        <w:tab/>
        <w:t>1.</w:t>
        <w:tab/>
      </w:r>
      <w:r>
        <w:rPr>
          <w:b/>
          <w:sz w:val="22"/>
          <w:u w:val="single"/>
        </w:rPr>
        <w:t>Guaranty</w:t>
      </w:r>
      <w:r>
        <w:rPr>
          <w:sz w:val="22"/>
        </w:rPr>
        <w:t>.  Subject to the terms and conditions hereof, Guarantor hereby irrevocably and unconditionally guarantees the timely payment and performance when due of the obligations (collectively, the “</w:t>
      </w:r>
      <w:r>
        <w:rPr>
          <w:sz w:val="22"/>
          <w:u w:val="single"/>
        </w:rPr>
        <w:t>Obligations</w:t>
      </w:r>
      <w:r>
        <w:rPr>
          <w:sz w:val="22"/>
        </w:rPr>
        <w:t>”) of XYZ (“</w:t>
      </w:r>
      <w:r>
        <w:rPr>
          <w:sz w:val="22"/>
          <w:u w:val="single"/>
        </w:rPr>
        <w:t>Guaranteed Party</w:t>
      </w:r>
      <w:r>
        <w:rPr>
          <w:sz w:val="22"/>
        </w:rPr>
        <w:t>”) to Counterparty under (a) the Letter Agreement dated March ____, 2001 between Guaranteed Party and Counterparty for the acquisition of an eighty percent (80%) interest in __________, LLC (the “</w:t>
      </w:r>
      <w:r>
        <w:rPr>
          <w:sz w:val="22"/>
          <w:u w:val="single"/>
        </w:rPr>
        <w:t>Letter Agreement</w:t>
      </w:r>
      <w:r>
        <w:rPr>
          <w:sz w:val="22"/>
        </w:rPr>
        <w:t>”) and (b) the first Amended and Restated Limited Liability Company Agreement of ____________, LLC to be executed by and between Guaranteed Party and Counterparty (the “</w:t>
      </w:r>
      <w:r>
        <w:rPr>
          <w:sz w:val="22"/>
          <w:u w:val="single"/>
        </w:rPr>
        <w:t>LLC Agreement</w:t>
      </w:r>
      <w:r>
        <w:rPr>
          <w:sz w:val="22"/>
        </w:rPr>
        <w:t>”).  To the extent that the Guaranteed Party shall fail to pay or perform any Obligation, Guarantor shall pay or perform the Obligation due.  This Guaranty shall constitute a guarantee of payment and not of collection.  Guarantor shall also be liable for the reasonable attorneys’ fees and expenses of Counterparty’s counsel incurred in any effort to collect or enforce from or against Guarantor any of the Obligations under this Guaranty.</w:t>
      </w:r>
    </w:p>
    <w:p>
      <w:pPr>
        <w:pStyle w:val="Normal"/>
        <w:widowControl w:val="false"/>
        <w:jc w:val="both"/>
        <w:rPr>
          <w:sz w:val="22"/>
        </w:rPr>
      </w:pPr>
      <w:r>
        <w:rPr>
          <w:sz w:val="22"/>
        </w:rPr>
      </w:r>
    </w:p>
    <w:p>
      <w:pPr>
        <w:pStyle w:val="Normal"/>
        <w:widowControl w:val="false"/>
        <w:jc w:val="both"/>
        <w:rPr/>
      </w:pPr>
      <w:r>
        <w:rPr>
          <w:sz w:val="22"/>
        </w:rPr>
        <w:tab/>
        <w:t>2.</w:t>
        <w:tab/>
      </w:r>
      <w:r>
        <w:rPr>
          <w:b/>
          <w:sz w:val="22"/>
          <w:u w:val="single"/>
        </w:rPr>
        <w:t>Limitations</w:t>
      </w:r>
      <w:r>
        <w:rPr>
          <w:sz w:val="22"/>
        </w:rPr>
        <w:t>.  Guarantor’s liability and obligations hereunder shall be limited to payment and performance expressly required by Guaranteed Party under the Letter Agreement and/or the LLC Agreement (collectively the “</w:t>
      </w:r>
      <w:r>
        <w:rPr>
          <w:sz w:val="22"/>
          <w:u w:val="single"/>
        </w:rPr>
        <w:t>Agreements</w:t>
      </w:r>
      <w:r>
        <w:rPr>
          <w:sz w:val="22"/>
        </w:rPr>
        <w:t xml:space="preserve">”), even if any such payments are deemed to be damages, but in no event shall Guarantor be subject hereunder to consequential, exemplary, equitable, loss of profits, punitive, or any other damages, except to the extent specifically provided in the Agreements as due from the Guaranteed Party.  Guarantor reserves the right to assert rights, setoffs, counterclaims and other defenses which the Guaranteed Party may have to payment of any Obligation under the Agreements, other than defenses arising from the bankruptcy, insolvency, dissolution, or liquidation of the Guaranteed Party and other defenses expressly waived herein.  </w:t>
      </w:r>
    </w:p>
    <w:p>
      <w:pPr>
        <w:pStyle w:val="Normal"/>
        <w:widowControl w:val="false"/>
        <w:jc w:val="both"/>
        <w:rPr>
          <w:sz w:val="22"/>
        </w:rPr>
      </w:pPr>
      <w:r>
        <w:rPr>
          <w:sz w:val="22"/>
        </w:rPr>
      </w:r>
    </w:p>
    <w:p>
      <w:pPr>
        <w:pStyle w:val="Normal"/>
        <w:jc w:val="both"/>
        <w:rPr/>
      </w:pPr>
      <w:r>
        <w:rPr>
          <w:sz w:val="22"/>
        </w:rPr>
        <w:tab/>
        <w:t>3.</w:t>
        <w:tab/>
      </w:r>
      <w:r>
        <w:rPr>
          <w:b/>
          <w:sz w:val="22"/>
          <w:u w:val="single"/>
        </w:rPr>
        <w:t>Nature of Guaranty</w:t>
      </w:r>
      <w:r>
        <w:rPr>
          <w:sz w:val="22"/>
        </w:rPr>
        <w:t xml:space="preserve">.  Guarantor’s obligations hereunder with respect to any Obligation shall not be affected by the existence, validity, enforceability, perfection, release, or impairment of value of any collateral for such Obligations.  Counterparty shall not be obligated to file any claim relating to the Obligations owing to it in the event that Guaranteed Party becomes subject to a bankruptcy, reorganization, or similar proceeding, and the failure of Counterparty to so file shall not affect the Guarantor’s obligations hereunder.  In the event that any payment to Counterparty in respect to any Obligations is rescinded or must otherwise be returned for any reason whatsoever, Guarantor shall remain liable hereunder in respect to such Obligations as if such payment had not been made. </w:t>
      </w:r>
    </w:p>
    <w:p>
      <w:pPr>
        <w:pStyle w:val="Normal"/>
        <w:jc w:val="both"/>
        <w:rPr>
          <w:sz w:val="22"/>
        </w:rPr>
      </w:pPr>
      <w:r>
        <w:rPr>
          <w:sz w:val="22"/>
        </w:rPr>
      </w:r>
    </w:p>
    <w:p>
      <w:pPr>
        <w:pStyle w:val="Normal"/>
        <w:jc w:val="both"/>
        <w:rPr/>
      </w:pPr>
      <w:r>
        <w:rPr>
          <w:sz w:val="22"/>
        </w:rPr>
        <w:tab/>
        <w:t>4.</w:t>
        <w:tab/>
      </w:r>
      <w:r>
        <w:rPr>
          <w:b/>
          <w:sz w:val="22"/>
          <w:u w:val="single"/>
        </w:rPr>
        <w:t>Subrogation</w:t>
      </w:r>
      <w:r>
        <w:rPr>
          <w:sz w:val="22"/>
        </w:rPr>
        <w:t>.  Guarantor waives its right to be subrogated to the rights of Counterparty with respect to any Obligations paid or performed by Guarantor until all Obligations have been fully and indefeasibly paid to Counterparty, subject to no rescission or right of return, and Guarantor has fully and indefeasibly satisfied all of Guarantor’s obligations under this Guaranty.</w:t>
      </w:r>
    </w:p>
    <w:p>
      <w:pPr>
        <w:pStyle w:val="Normal"/>
        <w:jc w:val="both"/>
        <w:rPr>
          <w:sz w:val="22"/>
        </w:rPr>
      </w:pPr>
      <w:r>
        <w:rPr>
          <w:sz w:val="22"/>
        </w:rPr>
      </w:r>
    </w:p>
    <w:p>
      <w:pPr>
        <w:pStyle w:val="Normal"/>
        <w:jc w:val="both"/>
        <w:rPr/>
      </w:pPr>
      <w:r>
        <w:rPr>
          <w:sz w:val="22"/>
        </w:rPr>
        <w:tab/>
        <w:t>5.</w:t>
        <w:tab/>
      </w:r>
      <w:r>
        <w:rPr>
          <w:b/>
          <w:sz w:val="22"/>
          <w:u w:val="single"/>
        </w:rPr>
        <w:t>Waivers</w:t>
      </w:r>
      <w:r>
        <w:rPr>
          <w:sz w:val="22"/>
        </w:rPr>
        <w:t xml:space="preserve">.  Guarantor hereby waives any circumstance which might constitute a legal or equitable discharge of a surety or guarantor, including but not limited to (a) notice of acceptance of this Guaranty; (b) presentment and demand concerning the liabilities of Guarantor; (c) notice of any dishonor or default by, or disputes with, Guaranteed Party; and (d) any right to require that any action or proceeding be brought against Guaranteed Party or any other person, or to require that Counterparty seek enforcement of any performance against Guaranteed Party or any other person, prior to any action against Guarantor under the terms hereof.  Guarantor consents to the renewal, compromise, extension, acceleration, or other modification of the terms of the Obligations, and to any change, modification or waiver of the terms of the Agreements, without in any way releasing or discharging Guarantor from its obligations hereunder.  Except as to applicable statutes of limitation, no delay of Counterparty in the exercise of, or failure to exercise, any rights hereunder shall operate as a waiver of such rights, a waiver of any other rights, or a release of Guarantor from any obligations hereunder. </w:t>
      </w:r>
    </w:p>
    <w:p>
      <w:pPr>
        <w:pStyle w:val="Normal"/>
        <w:jc w:val="both"/>
        <w:rPr>
          <w:sz w:val="22"/>
        </w:rPr>
      </w:pPr>
      <w:r>
        <w:rPr>
          <w:sz w:val="22"/>
        </w:rPr>
      </w:r>
    </w:p>
    <w:p>
      <w:pPr>
        <w:pStyle w:val="Normal"/>
        <w:jc w:val="both"/>
        <w:rPr/>
      </w:pPr>
      <w:r>
        <w:rPr>
          <w:sz w:val="22"/>
        </w:rPr>
        <w:tab/>
        <w:t>6.</w:t>
        <w:tab/>
      </w:r>
      <w:r>
        <w:rPr>
          <w:b/>
          <w:sz w:val="22"/>
          <w:u w:val="single"/>
        </w:rPr>
        <w:t>Notice</w:t>
      </w:r>
      <w:r>
        <w:rPr>
          <w:sz w:val="22"/>
        </w:rPr>
        <w:t>.  Any payment demand, notice, correspondence or other document to be given hereunder by any party to another (herein collectively called “</w:t>
      </w:r>
      <w:r>
        <w:rPr>
          <w:sz w:val="22"/>
          <w:u w:val="single"/>
        </w:rPr>
        <w:t>Notice</w:t>
      </w:r>
      <w:r>
        <w:rPr>
          <w:sz w:val="22"/>
        </w:rPr>
        <w:t>”) shall be in writing and delivered personally or mailed by certified mail, postage prepaid and return receipt requested, or by facsimile, to the addresses set forth below.  Notice given by personal delivery or mail shall be effective upon actual receipt, or, if receipt is refused or rejected, upon attempted delivery.  Notice given by facsimile shall be effective upon actual receipt if received during the recipient’s normal business hours, or at the beginning of the recipient’s next business day after receipt if not received during the recipient’s normal business hours.  All Notices by facsimile shall be confirmed promptly after transmission in writing by certified mail or personal delivery.  Any party may change any address to which Notice is to be given to it by giving Notice as provided above of such change of address.</w:t>
      </w:r>
    </w:p>
    <w:p>
      <w:pPr>
        <w:pStyle w:val="Normal"/>
        <w:jc w:val="both"/>
        <w:rPr>
          <w:sz w:val="22"/>
        </w:rPr>
      </w:pPr>
      <w:r>
        <w:rPr>
          <w:sz w:val="22"/>
        </w:rPr>
      </w:r>
    </w:p>
    <w:p>
      <w:pPr>
        <w:pStyle w:val="Normal"/>
        <w:jc w:val="both"/>
        <w:rPr/>
      </w:pPr>
      <w:r>
        <w:rPr>
          <w:sz w:val="22"/>
        </w:rPr>
        <w:tab/>
        <w:t>7.</w:t>
        <w:tab/>
      </w:r>
      <w:r>
        <w:rPr>
          <w:b/>
          <w:sz w:val="22"/>
          <w:u w:val="single"/>
        </w:rPr>
        <w:t>Governing Law; Arbitration</w:t>
      </w:r>
      <w:r>
        <w:rPr>
          <w:sz w:val="22"/>
        </w:rPr>
        <w:t xml:space="preserve">.  </w:t>
      </w:r>
      <w:r>
        <w:rPr>
          <w:b/>
          <w:sz w:val="22"/>
        </w:rPr>
        <w:t xml:space="preserve">THIS GUARANTY SHALL BE GOVERNED BY, AND CONSTRUED IN ACCORDANCE WITH, THE LAWS OF THE STATE OF TEXAS, WITHOUT REGARD TO PRINCIPLES OF CONFLICTS OF LAWS.  </w:t>
      </w:r>
      <w:r>
        <w:rPr>
          <w:sz w:val="22"/>
        </w:rPr>
        <w:t xml:space="preserve">All disputes, claims, controversies or other actions arising out of or relating to this Guaranty Agreement, or the breach thereof, shall be subject to arbitration in accordance with the terms and provisions relating to arbitration set forth in the Agreements, to the same extent such provisions were set forth in full herein.  </w:t>
      </w:r>
    </w:p>
    <w:p>
      <w:pPr>
        <w:pStyle w:val="Normal"/>
        <w:jc w:val="both"/>
        <w:rPr>
          <w:sz w:val="22"/>
        </w:rPr>
      </w:pPr>
      <w:r>
        <w:rPr>
          <w:sz w:val="22"/>
        </w:rPr>
      </w:r>
    </w:p>
    <w:p>
      <w:pPr>
        <w:pStyle w:val="Normal"/>
        <w:jc w:val="both"/>
        <w:rPr/>
      </w:pPr>
      <w:r>
        <w:rPr>
          <w:sz w:val="22"/>
        </w:rPr>
        <w:tab/>
        <w:t>7.</w:t>
        <w:tab/>
      </w:r>
      <w:r>
        <w:rPr>
          <w:b/>
          <w:sz w:val="22"/>
          <w:u w:val="single"/>
        </w:rPr>
        <w:t>Miscellaneous</w:t>
      </w:r>
      <w:r>
        <w:rPr>
          <w:sz w:val="22"/>
        </w:rPr>
        <w:t xml:space="preserve">.  No term or provision of this Guaranty shall be amended or modified except in a writing signed by Guarantor and Counterparty.  Guarantor may assign its rights and obligations hereunder only with the prior written consent of Counterparty.  Subject to the foregoing, this Guaranty shall be binding upon Guarantor, its successors and assigns, and shall inure to the benefit of and be enforceable by Counterparty, its successors and assigns.  All references herein to Guaranteed Party shall be deemed to include all successors and assigns, whether immediate or remote, of Guaranteed Party under the Agreements.  This Guaranty embodies the entire agreement and understanding between Guarantor and Counterparty with respect to the matters addressed herein.  </w:t>
      </w:r>
    </w:p>
    <w:p>
      <w:pPr>
        <w:pStyle w:val="Normal"/>
        <w:jc w:val="both"/>
        <w:rPr>
          <w:sz w:val="22"/>
        </w:rPr>
      </w:pPr>
      <w:r>
        <w:rPr>
          <w:sz w:val="22"/>
        </w:rPr>
      </w:r>
    </w:p>
    <w:p>
      <w:pPr>
        <w:pStyle w:val="Normal"/>
        <w:tabs>
          <w:tab w:val="left" w:pos="720" w:leader="none"/>
        </w:tabs>
        <w:jc w:val="both"/>
        <w:rPr>
          <w:sz w:val="22"/>
        </w:rPr>
      </w:pPr>
      <w:r>
        <w:rPr>
          <w:sz w:val="22"/>
        </w:rPr>
        <w:tab/>
        <w:t>IN WITNESS WHEREOF, Guarantor has executed this Guaranty effective as of the date first herein written.</w:t>
      </w:r>
    </w:p>
    <w:p>
      <w:pPr>
        <w:pStyle w:val="Normal"/>
        <w:tabs>
          <w:tab w:val="left" w:pos="720" w:leader="none"/>
        </w:tabs>
        <w:jc w:val="both"/>
        <w:rPr>
          <w:sz w:val="22"/>
        </w:rPr>
      </w:pPr>
      <w:r>
        <w:rPr>
          <w:sz w:val="22"/>
        </w:rPr>
      </w:r>
    </w:p>
    <w:p>
      <w:pPr>
        <w:pStyle w:val="Normal"/>
        <w:tabs>
          <w:tab w:val="left" w:pos="720" w:leader="none"/>
        </w:tabs>
        <w:jc w:val="both"/>
        <w:rPr/>
      </w:pPr>
      <w:r>
        <w:rPr>
          <w:sz w:val="22"/>
        </w:rPr>
        <w:tab/>
        <w:tab/>
        <w:tab/>
        <w:tab/>
        <w:tab/>
        <w:tab/>
        <w:tab/>
      </w:r>
      <w:r>
        <w:rPr>
          <w:b/>
          <w:sz w:val="22"/>
        </w:rPr>
        <w:t>ABC</w:t>
      </w:r>
    </w:p>
    <w:p>
      <w:pPr>
        <w:pStyle w:val="Normal"/>
        <w:tabs>
          <w:tab w:val="left" w:pos="720" w:leader="none"/>
        </w:tabs>
        <w:jc w:val="both"/>
        <w:rPr>
          <w:b/>
          <w:sz w:val="22"/>
        </w:rPr>
      </w:pPr>
      <w:r>
        <w:rPr>
          <w:b/>
          <w:sz w:val="22"/>
        </w:rPr>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ab/>
        <w:tab/>
        <w:tab/>
        <w:tab/>
        <w:tab/>
        <w:tab/>
        <w:t>By:</w:t>
      </w:r>
      <w:r>
        <w:rPr>
          <w:sz w:val="22"/>
          <w:u w:val="single"/>
        </w:rPr>
        <w:tab/>
        <w:tab/>
        <w:tab/>
        <w:tab/>
        <w:tab/>
        <w:tab/>
      </w:r>
    </w:p>
    <w:p>
      <w:pPr>
        <w:pStyle w:val="Normal"/>
        <w:tabs>
          <w:tab w:val="left" w:pos="720" w:leader="none"/>
        </w:tabs>
        <w:jc w:val="both"/>
        <w:rPr>
          <w:sz w:val="22"/>
        </w:rPr>
      </w:pPr>
      <w:r>
        <w:rPr>
          <w:sz w:val="22"/>
        </w:rPr>
        <w:tab/>
        <w:tab/>
        <w:tab/>
        <w:tab/>
        <w:tab/>
        <w:tab/>
        <w:tab/>
        <w:t>Name:</w:t>
      </w:r>
      <w:r>
        <w:rPr>
          <w:sz w:val="22"/>
          <w:u w:val="single"/>
        </w:rPr>
        <w:tab/>
        <w:tab/>
        <w:tab/>
        <w:tab/>
        <w:tab/>
        <w:tab/>
      </w:r>
    </w:p>
    <w:p>
      <w:pPr>
        <w:pStyle w:val="Normal"/>
        <w:tabs>
          <w:tab w:val="left" w:pos="720" w:leader="none"/>
        </w:tabs>
        <w:jc w:val="both"/>
        <w:rPr>
          <w:sz w:val="22"/>
        </w:rPr>
      </w:pPr>
      <w:r>
        <w:rPr>
          <w:sz w:val="22"/>
        </w:rPr>
        <w:tab/>
        <w:tab/>
        <w:tab/>
        <w:tab/>
        <w:tab/>
        <w:tab/>
        <w:tab/>
        <w:t>Title:</w:t>
      </w:r>
      <w:r>
        <w:rPr>
          <w:sz w:val="22"/>
          <w:u w:val="single"/>
        </w:rPr>
        <w:tab/>
        <w:tab/>
        <w:tab/>
        <w:tab/>
        <w:tab/>
        <w:tab/>
      </w:r>
    </w:p>
    <w:p>
      <w:pPr>
        <w:pStyle w:val="Normal"/>
        <w:tabs>
          <w:tab w:val="left" w:pos="720" w:leader="none"/>
        </w:tabs>
        <w:jc w:val="both"/>
        <w:rPr>
          <w:sz w:val="22"/>
        </w:rPr>
      </w:pPr>
      <w:r>
        <w:rPr>
          <w:sz w:val="22"/>
        </w:rPr>
      </w:r>
    </w:p>
    <w:p>
      <w:pPr>
        <w:pStyle w:val="Normal"/>
        <w:jc w:val="both"/>
        <w:rPr/>
      </w:pPr>
      <w:r>
        <w:rPr>
          <w:b/>
          <w:sz w:val="22"/>
        </w:rPr>
        <w:t>Address of Counterparty:</w:t>
        <w:tab/>
        <w:tab/>
      </w:r>
      <w:r>
        <w:rPr>
          <w:sz w:val="22"/>
        </w:rPr>
        <w:tab/>
        <w:tab/>
      </w:r>
      <w:r>
        <w:rPr>
          <w:b/>
          <w:sz w:val="22"/>
        </w:rPr>
        <w:t>Address of Guarantor:</w:t>
      </w:r>
    </w:p>
    <w:p>
      <w:pPr>
        <w:pStyle w:val="Normal"/>
        <w:tabs>
          <w:tab w:val="clear" w:pos="720"/>
          <w:tab w:val="left" w:pos="2970" w:leader="none"/>
        </w:tabs>
        <w:jc w:val="both"/>
        <w:rPr>
          <w:b/>
          <w:sz w:val="22"/>
        </w:rPr>
      </w:pPr>
      <w:r>
        <w:rPr>
          <w:b/>
          <w:sz w:val="22"/>
        </w:rPr>
        <w:tab/>
      </w:r>
    </w:p>
    <w:p>
      <w:pPr>
        <w:pStyle w:val="Normal"/>
        <w:tabs>
          <w:tab w:val="left" w:pos="720" w:leader="none"/>
        </w:tabs>
        <w:jc w:val="both"/>
        <w:rPr>
          <w:b/>
          <w:sz w:val="22"/>
        </w:rPr>
      </w:pPr>
      <w:r>
        <w:rPr>
          <w:b/>
          <w:sz w:val="22"/>
        </w:rPr>
        <w:t>ENRON NORTH AMERICA CORP.</w:t>
        <w:tab/>
        <w:tab/>
        <w:tab/>
        <w:t>ABC</w:t>
      </w:r>
    </w:p>
    <w:p>
      <w:pPr>
        <w:pStyle w:val="Normal"/>
        <w:tabs>
          <w:tab w:val="left" w:pos="720" w:leader="none"/>
        </w:tabs>
        <w:jc w:val="both"/>
        <w:rPr>
          <w:sz w:val="22"/>
        </w:rPr>
      </w:pPr>
      <w:r>
        <w:rPr>
          <w:sz w:val="22"/>
        </w:rPr>
        <w:t>1400 Smith Street</w:t>
        <w:tab/>
        <w:tab/>
        <w:tab/>
        <w:tab/>
        <w:tab/>
      </w:r>
      <w:r>
        <w:rPr>
          <w:sz w:val="22"/>
          <w:u w:val="single"/>
        </w:rPr>
        <w:tab/>
        <w:tab/>
        <w:tab/>
        <w:tab/>
        <w:tab/>
        <w:tab/>
      </w:r>
    </w:p>
    <w:p>
      <w:pPr>
        <w:pStyle w:val="Normal"/>
        <w:tabs>
          <w:tab w:val="left" w:pos="720" w:leader="none"/>
        </w:tabs>
        <w:jc w:val="both"/>
        <w:rPr>
          <w:sz w:val="22"/>
        </w:rPr>
      </w:pPr>
      <w:r>
        <w:rPr>
          <w:sz w:val="22"/>
        </w:rPr>
        <w:t>Houston, Texas 77002</w:t>
        <w:tab/>
        <w:tab/>
        <w:tab/>
        <w:tab/>
        <w:tab/>
      </w:r>
      <w:r>
        <w:rPr>
          <w:sz w:val="22"/>
          <w:u w:val="single"/>
        </w:rPr>
        <w:tab/>
        <w:tab/>
        <w:tab/>
        <w:tab/>
        <w:tab/>
        <w:tab/>
      </w:r>
    </w:p>
    <w:p>
      <w:pPr>
        <w:pStyle w:val="Normal"/>
        <w:tabs>
          <w:tab w:val="left" w:pos="720" w:leader="none"/>
        </w:tabs>
        <w:jc w:val="both"/>
        <w:rPr>
          <w:sz w:val="22"/>
        </w:rPr>
      </w:pPr>
      <w:r>
        <w:rPr>
          <w:sz w:val="22"/>
        </w:rPr>
        <w:t>Attn:</w:t>
        <w:tab/>
        <w:tab/>
        <w:tab/>
        <w:tab/>
        <w:tab/>
        <w:tab/>
        <w:tab/>
        <w:t>Attn:</w:t>
      </w:r>
      <w:r>
        <w:rPr>
          <w:sz w:val="22"/>
          <w:u w:val="single"/>
        </w:rPr>
        <w:tab/>
        <w:tab/>
        <w:tab/>
        <w:tab/>
        <w:tab/>
        <w:tab/>
      </w:r>
    </w:p>
    <w:p>
      <w:pPr>
        <w:pStyle w:val="Normal"/>
        <w:tabs>
          <w:tab w:val="left" w:pos="720" w:leader="none"/>
        </w:tabs>
        <w:jc w:val="both"/>
        <w:rPr/>
      </w:pPr>
      <w:r>
        <w:rPr>
          <w:sz w:val="22"/>
        </w:rPr>
        <w:t>Fax No.:</w:t>
        <w:tab/>
        <w:tab/>
        <w:tab/>
        <w:tab/>
        <w:tab/>
        <w:tab/>
        <w:t>Fax No.:</w:t>
      </w:r>
      <w:r>
        <w:rPr>
          <w:sz w:val="22"/>
          <w:u w:val="single"/>
        </w:rPr>
        <w:tab/>
        <w:tab/>
        <w:tab/>
        <w:tab/>
        <w:tab/>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val="en-CA"/>
      </w:rPr>
    </w:pPr>
    <w:r>
      <w:rPr>
        <w:sz w:val="16"/>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Houston-137030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Houston-137030 v2</w:t>
                    </w:r>
                    <w:r>
                      <w:rPr/>
                      <w:fldChar w:fldCharType="end"/>
                    </w:r>
                  </w:p>
                </w:txbxContent>
              </v:textbox>
              <w10:wrap type="none"/>
            </v:rect>
          </w:pict>
        </mc:Fallback>
      </mc:AlternateContent>
    </w:r>
  </w:p>
  <w:p>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Footer"/>
      <w:rPr>
        <w:sz w:val="22"/>
      </w:rPr>
    </w:pPr>
    <w:r>
      <w:rPr>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val="en-CA"/>
      </w:rPr>
    </w:pPr>
    <w:r>
      <w:rPr>
        <w:sz w:val="16"/>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Houston-137030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Houston-137030 v2</w:t>
                    </w:r>
                    <w:r>
                      <w:rPr/>
                      <w:fldChar w:fldCharType="end"/>
                    </w:r>
                  </w:p>
                </w:txbxContent>
              </v:textbox>
              <w10:wrap type="none"/>
            </v:rect>
          </w:pict>
        </mc:Fallback>
      </mc:AlternateContent>
    </w:r>
  </w:p>
  <w:p>
    <w:pPr>
      <w:pStyle w:val="Footer"/>
      <w:rPr>
        <w:sz w:val="16"/>
      </w:rPr>
    </w:pPr>
    <w:r>
      <w:rPr>
        <w:sz w:val="16"/>
      </w:rPr>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odyTextIndent">
    <w:name w:val="Body Text Indent"/>
    <w:basedOn w:val="Normal"/>
    <w:pPr>
      <w:ind w:firstLine="720" w:start="0" w:end="0"/>
      <w:jc w:val="both"/>
    </w:pPr>
    <w:rPr/>
  </w:style>
  <w:style w:type="paragraph" w:styleId="Header">
    <w:name w:val="head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2001-03-09T13:01:00Z</dcterms:created>
  <dc:creator>Carolyn Campbell</dc:creator>
  <dc:description>Houston-137030 v2</dc:description>
  <dc:language>en-CA</dc:language>
  <cp:lastModifiedBy>Marisa Reuter</cp:lastModifiedBy>
  <cp:lastPrinted>2001-03-08T18:33:00Z</cp:lastPrinted>
  <dcterms:modified xsi:type="dcterms:W3CDTF">2001-03-09T13:07:00Z</dcterms:modified>
  <cp:revision>3</cp:revision>
  <dc:subject/>
  <dc:title>GUARANTY</dc:title>
</cp:coreProperties>
</file>