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bmp" ContentType="image/bmp"/>
  <Override PartName="/word/media/image2.png" ContentType="image/png"/>
  <Override PartName="/word/styles.xml" ContentType="application/vnd.openxmlformats-officedocument.wordprocessingml.styles+xml"/>
  <Override PartName="/word/embeddings/oleObject1.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left" w:pos="7920" w:leader="none"/>
        </w:tabs>
        <w:rPr>
          <w:rFonts w:ascii="Times New Roman" w:hAnsi="Times New Roman" w:cs="Times New Roman"/>
          <w:color w:val="000000"/>
          <w:sz w:val="16"/>
          <w:lang w:eastAsia="en-US"/>
        </w:rPr>
      </w:pPr>
      <w:r>
        <w:object w:dxaOrig="3519" w:dyaOrig="158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7.55pt;margin-top:-18pt;width:175.95pt;height:79.45pt;mso-wrap-distance-left:9.05pt;mso-wrap-distance-right:9.05pt;mso-position-horizontal-relative:text;mso-position-vertical-relative:text" filled="f" o:ole="">
            <v:imagedata r:id="rId3" o:title=""/>
          </v:shape>
          <o:OLEObject Type="Embed" ProgID="" ShapeID="ole_rId2" DrawAspect="Content" ObjectID="_411134020" r:id="rId2"/>
        </w:object>
      </w:r>
      <w:r>
        <w:rPr>
          <w:rFonts w:cs="Times New Roman" w:ascii="Times New Roman" w:hAnsi="Times New Roman"/>
          <w:color w:val="000000"/>
          <w:sz w:val="16"/>
          <w:lang w:eastAsia="en-US"/>
        </w:rPr>
        <w:tab/>
        <w:t>2001 Ross Avenue</w:t>
        <w:tab/>
      </w:r>
    </w:p>
    <w:p>
      <w:pPr>
        <w:pStyle w:val="Normal"/>
        <w:widowControl w:val="false"/>
        <w:tabs>
          <w:tab w:val="clear" w:pos="720"/>
          <w:tab w:val="left" w:pos="7920" w:leader="none"/>
        </w:tabs>
        <w:rPr>
          <w:rFonts w:ascii="Times New Roman" w:hAnsi="Times New Roman" w:cs="Times New Roman"/>
          <w:color w:val="000000"/>
          <w:sz w:val="16"/>
          <w:lang w:eastAsia="en-US"/>
        </w:rPr>
      </w:pPr>
      <w:r>
        <w:rPr>
          <w:rFonts w:cs="Times New Roman" w:ascii="Times New Roman" w:hAnsi="Times New Roman"/>
          <w:color w:val="000000"/>
          <w:sz w:val="16"/>
          <w:lang w:eastAsia="en-US"/>
        </w:rPr>
        <w:tab/>
        <w:t>Suite 3000</w:t>
      </w:r>
    </w:p>
    <w:p>
      <w:pPr>
        <w:pStyle w:val="Normal"/>
        <w:widowControl w:val="false"/>
        <w:tabs>
          <w:tab w:val="clear" w:pos="720"/>
          <w:tab w:val="left" w:pos="7920" w:leader="none"/>
        </w:tabs>
        <w:rPr>
          <w:rFonts w:ascii="Times New Roman" w:hAnsi="Times New Roman" w:cs="Times New Roman"/>
          <w:color w:val="000000"/>
          <w:sz w:val="16"/>
          <w:lang w:eastAsia="en-US"/>
        </w:rPr>
      </w:pPr>
      <w:r>
        <w:rPr>
          <w:rFonts w:cs="Times New Roman" w:ascii="Times New Roman" w:hAnsi="Times New Roman"/>
          <w:color w:val="000000"/>
          <w:sz w:val="16"/>
          <w:lang w:eastAsia="en-US"/>
        </w:rPr>
        <w:tab/>
        <w:t>Dallas, TX  75201</w:t>
      </w:r>
    </w:p>
    <w:p>
      <w:pPr>
        <w:pStyle w:val="Normal"/>
        <w:widowControl w:val="false"/>
        <w:tabs>
          <w:tab w:val="clear" w:pos="720"/>
          <w:tab w:val="left" w:pos="7920" w:leader="none"/>
        </w:tabs>
        <w:rPr>
          <w:rFonts w:ascii="Times New Roman" w:hAnsi="Times New Roman" w:cs="Times New Roman"/>
          <w:color w:val="000000"/>
          <w:sz w:val="16"/>
          <w:lang w:eastAsia="en-US"/>
        </w:rPr>
      </w:pPr>
      <w:r>
        <w:rPr>
          <w:rFonts w:cs="Times New Roman" w:ascii="Times New Roman" w:hAnsi="Times New Roman"/>
          <w:color w:val="000000"/>
          <w:sz w:val="16"/>
          <w:lang w:eastAsia="en-US"/>
        </w:rPr>
        <w:tab/>
        <w:t>214-758-1500</w:t>
      </w:r>
    </w:p>
    <w:p>
      <w:pPr>
        <w:pStyle w:val="Normal"/>
        <w:widowControl w:val="false"/>
        <w:tabs>
          <w:tab w:val="clear" w:pos="720"/>
          <w:tab w:val="left" w:pos="7920" w:leader="none"/>
        </w:tabs>
        <w:spacing w:before="0" w:after="57"/>
        <w:rPr>
          <w:rFonts w:ascii="Times New Roman" w:hAnsi="Times New Roman" w:cs="Times New Roman"/>
          <w:color w:val="000000"/>
          <w:sz w:val="16"/>
          <w:lang w:eastAsia="en-US"/>
        </w:rPr>
      </w:pPr>
      <w:r>
        <w:rPr>
          <w:rFonts w:cs="Times New Roman" w:ascii="Times New Roman" w:hAnsi="Times New Roman"/>
          <w:color w:val="000000"/>
          <w:sz w:val="16"/>
          <w:lang w:eastAsia="en-US"/>
        </w:rPr>
        <w:tab/>
        <w:t>___________</w:t>
      </w:r>
    </w:p>
    <w:p>
      <w:pPr>
        <w:pStyle w:val="Normal"/>
        <w:widowControl w:val="false"/>
        <w:tabs>
          <w:tab w:val="clear" w:pos="720"/>
          <w:tab w:val="left" w:pos="7920" w:leader="none"/>
        </w:tabs>
        <w:spacing w:before="0" w:after="57"/>
        <w:rPr>
          <w:rFonts w:ascii="Times New Roman" w:hAnsi="Times New Roman" w:cs="Times New Roman"/>
          <w:color w:val="000000"/>
          <w:sz w:val="16"/>
          <w:lang w:eastAsia="en-US"/>
        </w:rPr>
      </w:pPr>
      <w:r>
        <w:rPr>
          <w:rFonts w:cs="Times New Roman" w:ascii="Times New Roman" w:hAnsi="Times New Roman"/>
          <w:color w:val="000000"/>
          <w:sz w:val="16"/>
          <w:lang w:eastAsia="en-US"/>
        </w:rPr>
        <w:tab/>
      </w:r>
    </w:p>
    <w:p>
      <w:pPr>
        <w:pStyle w:val="Normal"/>
        <w:widowControl w:val="false"/>
        <w:tabs>
          <w:tab w:val="clear" w:pos="720"/>
          <w:tab w:val="left" w:pos="7920" w:leader="none"/>
        </w:tabs>
        <w:rPr>
          <w:rFonts w:ascii="Times New Roman" w:hAnsi="Times New Roman" w:cs="Times New Roman"/>
          <w:color w:val="000000"/>
          <w:sz w:val="16"/>
          <w:lang w:eastAsia="en-US"/>
        </w:rPr>
      </w:pPr>
      <w:r>
        <w:rPr>
          <w:rFonts w:cs="Times New Roman" w:ascii="Times New Roman" w:hAnsi="Times New Roman"/>
          <w:color w:val="000000"/>
          <w:sz w:val="16"/>
          <w:lang w:eastAsia="en-US"/>
        </w:rPr>
        <w:tab/>
      </w:r>
    </w:p>
    <w:p>
      <w:pPr>
        <w:pStyle w:val="Normal"/>
        <w:widowControl w:val="false"/>
        <w:tabs>
          <w:tab w:val="clear" w:pos="720"/>
          <w:tab w:val="left" w:pos="7560" w:leader="none"/>
        </w:tabs>
        <w:rPr>
          <w:rFonts w:ascii="Times New Roman" w:hAnsi="Times New Roman" w:cs="Times New Roman"/>
          <w:color w:val="000000"/>
          <w:sz w:val="16"/>
          <w:lang w:eastAsia="en-US"/>
        </w:rPr>
      </w:pPr>
      <w:r>
        <w:rPr>
          <w:rFonts w:cs="Times New Roman" w:ascii="Times New Roman" w:hAnsi="Times New Roman"/>
          <w:color w:val="000000"/>
          <w:sz w:val="16"/>
          <w:lang w:eastAsia="en-US"/>
        </w:rPr>
      </w:r>
    </w:p>
    <w:p>
      <w:pPr>
        <w:pStyle w:val="Heading1"/>
        <w:ind w:hanging="7200" w:start="7200" w:end="0"/>
        <w:rPr>
          <w:rFonts w:ascii="Times New Roman" w:hAnsi="Times New Roman" w:cs="Times New Roman"/>
          <w:b w:val="false"/>
          <w:color w:val="000000"/>
          <w:sz w:val="16"/>
          <w:lang w:eastAsia="en-US"/>
        </w:rPr>
      </w:pPr>
      <w:r>
        <w:rPr>
          <w:rFonts w:cs="Times New Roman" w:ascii="Times New Roman" w:hAnsi="Times New Roman"/>
          <w:b w:val="false"/>
          <w:color w:val="000000"/>
          <w:sz w:val="16"/>
          <w:lang w:eastAsia="en-US"/>
        </w:rPr>
      </w:r>
    </w:p>
    <w:tbl>
      <w:tblPr>
        <w:tblW w:w="9576" w:type="dxa"/>
        <w:jc w:val="start"/>
        <w:tblInd w:w="0" w:type="dxa"/>
        <w:tblLayout w:type="fixed"/>
        <w:tblCellMar>
          <w:top w:w="0" w:type="dxa"/>
          <w:start w:w="108" w:type="dxa"/>
          <w:bottom w:w="0" w:type="dxa"/>
          <w:end w:w="108" w:type="dxa"/>
        </w:tblCellMar>
      </w:tblPr>
      <w:tblGrid>
        <w:gridCol w:w="7668"/>
        <w:gridCol w:w="1908"/>
      </w:tblGrid>
      <w:tr>
        <w:trPr/>
        <w:tc>
          <w:tcPr>
            <w:tcW w:w="7668" w:type="dxa"/>
            <w:tcBorders/>
          </w:tcPr>
          <w:p>
            <w:pPr>
              <w:pStyle w:val="Heading1"/>
              <w:ind w:hanging="0" w:start="0"/>
              <w:rPr>
                <w:rFonts w:ascii="Times New Roman" w:hAnsi="Times New Roman" w:cs="Times New Roman"/>
                <w:b w:val="false"/>
                <w:color w:val="auto"/>
                <w:sz w:val="24"/>
              </w:rPr>
            </w:pPr>
            <w:r>
              <w:rPr>
                <w:rFonts w:cs="Times New Roman" w:ascii="Times New Roman" w:hAnsi="Times New Roman"/>
              </w:rPr>
              <w:t>MEMORANDUM</w:t>
            </w:r>
          </w:p>
        </w:tc>
        <w:tc>
          <w:tcPr>
            <w:tcW w:w="1908" w:type="dxa"/>
            <w:tcBorders/>
          </w:tcPr>
          <w:p>
            <w:pPr>
              <w:pStyle w:val="Normal"/>
              <w:snapToGrid w:val="false"/>
              <w:rPr>
                <w:rFonts w:ascii="Times New Roman" w:hAnsi="Times New Roman" w:cs="Times New Roman"/>
                <w:b w:val="false"/>
                <w:color w:val="auto"/>
                <w:sz w:val="18"/>
              </w:rPr>
            </w:pPr>
            <w:r>
              <w:rPr>
                <w:rFonts w:cs="Times New Roman" w:ascii="Times New Roman" w:hAnsi="Times New Roman"/>
                <w:b w:val="false"/>
                <w:color w:val="auto"/>
                <w:sz w:val="18"/>
              </w:rPr>
            </w:r>
            <w:bookmarkStart w:id="0" w:name="Confidential"/>
            <w:bookmarkStart w:id="1" w:name="Confidential"/>
            <w:bookmarkEnd w:id="1"/>
          </w:p>
        </w:tc>
      </w:tr>
    </w:tbl>
    <w:p>
      <w:pPr>
        <w:pStyle w:val="Heading1"/>
        <w:ind w:hanging="7200" w:start="7200" w:end="0"/>
        <w:rPr>
          <w:rFonts w:ascii="Times New Roman" w:hAnsi="Times New Roman" w:cs="Times New Roman"/>
          <w:b w:val="false"/>
          <w:caps w:val="false"/>
          <w:smallCaps w:val="false"/>
          <w:color w:val="auto"/>
          <w:sz w:val="24"/>
          <w:lang w:eastAsia="en-CA"/>
        </w:rPr>
      </w:pPr>
      <w:r>
        <w:rPr>
          <w:rFonts w:cs="Times New Roman" w:ascii="Times New Roman" w:hAnsi="Times New Roman"/>
          <w:b w:val="false"/>
          <w:sz w:val="24"/>
        </w:rPr>
        <w:tab/>
      </w:r>
    </w:p>
    <w:p>
      <w:pPr>
        <w:pStyle w:val="Normal"/>
        <w:widowControl w:val="false"/>
        <w:pBdr>
          <w:top w:val="single" w:sz="32" w:space="4"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aps/>
          <w:color w:val="000000"/>
          <w:sz w:val="24"/>
          <w:lang w:eastAsia="en-US"/>
        </w:rPr>
      </w:pPr>
      <w:r>
        <w:rPr>
          <w:rFonts w:cs="Times New Roman" w:ascii="Times New Roman" w:hAnsi="Times New Roman"/>
          <w:b/>
          <w:caps/>
          <w:color w:val="000000"/>
          <w:sz w:val="24"/>
          <w:lang w:eastAsia="en-US"/>
        </w:rPr>
      </w:r>
    </w:p>
    <w:tbl>
      <w:tblPr>
        <w:tblW w:w="9354" w:type="dxa"/>
        <w:jc w:val="start"/>
        <w:tblInd w:w="0" w:type="dxa"/>
        <w:tblLayout w:type="fixed"/>
        <w:tblCellMar>
          <w:top w:w="0" w:type="dxa"/>
          <w:start w:w="43" w:type="dxa"/>
          <w:bottom w:w="0" w:type="dxa"/>
          <w:end w:w="43" w:type="dxa"/>
        </w:tblCellMar>
      </w:tblPr>
      <w:tblGrid>
        <w:gridCol w:w="1373"/>
        <w:gridCol w:w="7981"/>
      </w:tblGrid>
      <w:tr>
        <w:trPr/>
        <w:tc>
          <w:tcPr>
            <w:tcW w:w="1373" w:type="dxa"/>
            <w:tcBorders/>
          </w:tcPr>
          <w:p>
            <w:pPr>
              <w:pStyle w:val="Normal"/>
              <w:widowControl w:val="false"/>
              <w:rPr>
                <w:rFonts w:ascii="Times New Roman" w:hAnsi="Times New Roman" w:cs="Times New Roman"/>
                <w:b/>
                <w:color w:val="000000"/>
                <w:sz w:val="28"/>
                <w:lang w:eastAsia="en-US"/>
              </w:rPr>
            </w:pPr>
            <w:r>
              <w:rPr>
                <w:rFonts w:cs="Times New Roman" w:ascii="Times New Roman" w:hAnsi="Times New Roman"/>
                <w:b/>
                <w:color w:val="000000"/>
                <w:sz w:val="28"/>
                <w:lang w:eastAsia="en-US"/>
              </w:rPr>
              <w:t>To:</w:t>
            </w:r>
          </w:p>
        </w:tc>
        <w:tc>
          <w:tcPr>
            <w:tcW w:w="7981" w:type="dxa"/>
            <w:tcBorders/>
          </w:tcPr>
          <w:p>
            <w:pPr>
              <w:pStyle w:val="Normal"/>
              <w:widowControl w:val="false"/>
              <w:rPr>
                <w:rFonts w:ascii="Times New Roman" w:hAnsi="Times New Roman" w:cs="Times New Roman"/>
                <w:color w:val="000000"/>
                <w:sz w:val="28"/>
                <w:lang w:eastAsia="en-US"/>
              </w:rPr>
            </w:pPr>
            <w:bookmarkStart w:id="2" w:name="To"/>
            <w:bookmarkEnd w:id="2"/>
            <w:r>
              <w:rPr>
                <w:rFonts w:cs="Times New Roman" w:ascii="Times New Roman" w:hAnsi="Times New Roman"/>
                <w:color w:val="000000"/>
                <w:sz w:val="28"/>
                <w:lang w:eastAsia="en-US"/>
              </w:rPr>
              <w:t>Steve Tick</w:t>
            </w:r>
          </w:p>
        </w:tc>
      </w:tr>
      <w:tr>
        <w:trPr/>
        <w:tc>
          <w:tcPr>
            <w:tcW w:w="1373" w:type="dxa"/>
            <w:tcBorders/>
          </w:tcPr>
          <w:p>
            <w:pPr>
              <w:pStyle w:val="Normal"/>
              <w:widowControl w:val="false"/>
              <w:rPr>
                <w:rFonts w:ascii="Times New Roman" w:hAnsi="Times New Roman" w:cs="Times New Roman"/>
                <w:b/>
                <w:color w:val="000000"/>
                <w:sz w:val="28"/>
                <w:lang w:eastAsia="en-US"/>
              </w:rPr>
            </w:pPr>
            <w:r>
              <w:rPr>
                <w:rFonts w:cs="Times New Roman" w:ascii="Times New Roman" w:hAnsi="Times New Roman"/>
                <w:b/>
                <w:color w:val="000000"/>
                <w:sz w:val="28"/>
                <w:lang w:eastAsia="en-US"/>
              </w:rPr>
              <w:t>From:</w:t>
            </w:r>
          </w:p>
        </w:tc>
        <w:tc>
          <w:tcPr>
            <w:tcW w:w="7981" w:type="dxa"/>
            <w:tcBorders/>
          </w:tcPr>
          <w:p>
            <w:pPr>
              <w:pStyle w:val="Normal"/>
              <w:widowControl w:val="false"/>
              <w:rPr>
                <w:rFonts w:ascii="Times New Roman" w:hAnsi="Times New Roman" w:cs="Times New Roman"/>
                <w:color w:val="000000"/>
                <w:sz w:val="28"/>
                <w:lang w:eastAsia="en-US"/>
              </w:rPr>
            </w:pPr>
            <w:bookmarkStart w:id="3" w:name="From"/>
            <w:bookmarkEnd w:id="3"/>
            <w:r>
              <w:rPr>
                <w:rFonts w:cs="Times New Roman" w:ascii="Times New Roman" w:hAnsi="Times New Roman"/>
                <w:color w:val="000000"/>
                <w:sz w:val="28"/>
                <w:lang w:eastAsia="en-US"/>
              </w:rPr>
              <w:t>D. Patrick Long</w:t>
            </w:r>
          </w:p>
        </w:tc>
      </w:tr>
      <w:tr>
        <w:trPr/>
        <w:tc>
          <w:tcPr>
            <w:tcW w:w="1373" w:type="dxa"/>
            <w:tcBorders/>
          </w:tcPr>
          <w:p>
            <w:pPr>
              <w:pStyle w:val="Normal"/>
              <w:widowControl w:val="false"/>
              <w:rPr>
                <w:rFonts w:ascii="Times New Roman" w:hAnsi="Times New Roman" w:cs="Times New Roman"/>
                <w:b/>
                <w:color w:val="000000"/>
                <w:sz w:val="28"/>
                <w:lang w:eastAsia="en-US"/>
              </w:rPr>
            </w:pPr>
            <w:r>
              <w:rPr>
                <w:rFonts w:cs="Times New Roman" w:ascii="Times New Roman" w:hAnsi="Times New Roman"/>
                <w:b/>
                <w:color w:val="000000"/>
                <w:sz w:val="28"/>
                <w:lang w:eastAsia="en-US"/>
              </w:rPr>
              <w:t>Date:</w:t>
            </w:r>
          </w:p>
        </w:tc>
        <w:tc>
          <w:tcPr>
            <w:tcW w:w="7981" w:type="dxa"/>
            <w:tcBorders/>
          </w:tcPr>
          <w:p>
            <w:pPr>
              <w:pStyle w:val="Normal"/>
              <w:widowControl w:val="false"/>
              <w:rPr>
                <w:rFonts w:ascii="Times New Roman" w:hAnsi="Times New Roman" w:cs="Times New Roman"/>
                <w:color w:val="000000"/>
                <w:sz w:val="28"/>
                <w:lang w:eastAsia="en-US"/>
              </w:rPr>
            </w:pPr>
            <w:r>
              <w:rPr>
                <w:rFonts w:cs="Times New Roman" w:ascii="Times New Roman" w:hAnsi="Times New Roman"/>
                <w:color w:val="000000"/>
                <w:sz w:val="28"/>
                <w:lang w:eastAsia="en-US"/>
              </w:rPr>
              <w:fldChar w:fldCharType="begin"/>
            </w:r>
            <w:r>
              <w:rPr>
                <w:sz w:val="28"/>
                <w:rFonts w:cs="Times New Roman" w:ascii="Times New Roman" w:hAnsi="Times New Roman"/>
                <w:color w:val="000000"/>
                <w:lang w:eastAsia="en-US"/>
              </w:rPr>
              <w:instrText xml:space="preserve"> DATE \@"MMMM\ d', 'yyyy" </w:instrText>
            </w:r>
            <w:r>
              <w:rPr>
                <w:sz w:val="28"/>
                <w:rFonts w:cs="Times New Roman" w:ascii="Times New Roman" w:hAnsi="Times New Roman"/>
                <w:color w:val="000000"/>
                <w:lang w:eastAsia="en-US"/>
              </w:rPr>
              <w:fldChar w:fldCharType="separate"/>
            </w:r>
            <w:r>
              <w:rPr>
                <w:sz w:val="28"/>
                <w:rFonts w:cs="Times New Roman" w:ascii="Times New Roman" w:hAnsi="Times New Roman"/>
                <w:color w:val="000000"/>
                <w:lang w:eastAsia="en-US"/>
              </w:rPr>
              <w:t>September 28, 2025</w:t>
            </w:r>
            <w:r>
              <w:rPr>
                <w:sz w:val="28"/>
                <w:rFonts w:cs="Times New Roman" w:ascii="Times New Roman" w:hAnsi="Times New Roman"/>
                <w:color w:val="000000"/>
                <w:lang w:eastAsia="en-US"/>
              </w:rPr>
              <w:fldChar w:fldCharType="end"/>
            </w:r>
          </w:p>
        </w:tc>
      </w:tr>
      <w:tr>
        <w:trPr/>
        <w:tc>
          <w:tcPr>
            <w:tcW w:w="1373" w:type="dxa"/>
            <w:tcBorders/>
          </w:tcPr>
          <w:p>
            <w:pPr>
              <w:pStyle w:val="Normal"/>
              <w:widowControl w:val="false"/>
              <w:rPr>
                <w:rFonts w:ascii="Times New Roman" w:hAnsi="Times New Roman" w:cs="Times New Roman"/>
                <w:b/>
                <w:color w:val="000000"/>
                <w:sz w:val="28"/>
                <w:lang w:eastAsia="en-US"/>
              </w:rPr>
            </w:pPr>
            <w:r>
              <w:rPr>
                <w:rFonts w:cs="Times New Roman" w:ascii="Times New Roman" w:hAnsi="Times New Roman"/>
                <w:b/>
                <w:color w:val="000000"/>
                <w:sz w:val="28"/>
                <w:lang w:eastAsia="en-US"/>
              </w:rPr>
              <w:t>Subject:</w:t>
            </w:r>
          </w:p>
        </w:tc>
        <w:tc>
          <w:tcPr>
            <w:tcW w:w="7981" w:type="dxa"/>
            <w:tcBorders/>
          </w:tcPr>
          <w:p>
            <w:pPr>
              <w:pStyle w:val="Normal"/>
              <w:widowControl w:val="false"/>
              <w:rPr>
                <w:rFonts w:ascii="Times New Roman" w:hAnsi="Times New Roman" w:cs="Times New Roman"/>
                <w:color w:val="000000"/>
                <w:sz w:val="28"/>
                <w:lang w:eastAsia="en-US"/>
              </w:rPr>
            </w:pPr>
            <w:bookmarkStart w:id="4" w:name="Subject"/>
            <w:bookmarkEnd w:id="4"/>
            <w:r>
              <w:rPr>
                <w:rFonts w:cs="Times New Roman" w:ascii="Times New Roman" w:hAnsi="Times New Roman"/>
                <w:color w:val="000000"/>
                <w:sz w:val="28"/>
                <w:lang w:eastAsia="en-US"/>
              </w:rPr>
              <w:t>Power Purchase Agreement by and between Brazos Electric Power Cooperative, Inc. and Tenaska IV Partners LP</w:t>
            </w:r>
          </w:p>
        </w:tc>
      </w:tr>
    </w:tbl>
    <w:p>
      <w:pPr>
        <w:pStyle w:val="Normal"/>
        <w:widowControl w:val="false"/>
        <w:pBdr>
          <w:top w:val="single" w:sz="32" w:space="4"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lang w:eastAsia="en-US"/>
        </w:rPr>
      </w:pPr>
      <w:r>
        <w:rPr>
          <w:rFonts w:cs="Times New Roman" w:ascii="Times New Roman" w:hAnsi="Times New Roman"/>
          <w:color w:val="000000"/>
          <w:lang w:eastAsia="en-US"/>
        </w:rPr>
      </w:r>
    </w:p>
    <w:p>
      <w:pPr>
        <w:pStyle w:val="ParaText"/>
        <w:jc w:val="both"/>
        <w:rPr>
          <w:rFonts w:ascii="Times New Roman" w:hAnsi="Times New Roman" w:cs="Times New Roman"/>
          <w:color w:val="000000"/>
        </w:rPr>
      </w:pPr>
      <w:bookmarkStart w:id="5" w:name="Text"/>
      <w:bookmarkEnd w:id="5"/>
      <w:r>
        <w:rPr>
          <w:rFonts w:cs="Times New Roman" w:ascii="Times New Roman" w:hAnsi="Times New Roman"/>
          <w:color w:val="000000"/>
        </w:rPr>
        <w:tab/>
        <w:t>The purpose of this memorandum is to set forth the position of Brazos Electric Power Cooperative, Inc. (“Brazos”) on certain legal issues raised in the facilitation process.</w:t>
      </w:r>
    </w:p>
    <w:p>
      <w:pPr>
        <w:pStyle w:val="ParaText"/>
        <w:ind w:hanging="720" w:start="1440" w:end="1440"/>
        <w:jc w:val="both"/>
        <w:rPr>
          <w:rFonts w:ascii="Times New Roman" w:hAnsi="Times New Roman" w:cs="Times New Roman"/>
          <w:color w:val="000000"/>
        </w:rPr>
      </w:pPr>
      <w:r>
        <w:rPr>
          <w:rFonts w:cs="Times New Roman" w:ascii="Times New Roman" w:hAnsi="Times New Roman"/>
          <w:b/>
          <w:color w:val="000000"/>
        </w:rPr>
        <w:t>1.</w:t>
        <w:tab/>
        <w:t>Specific Performance of the Power Purchase Agreement (“PPA”) Is Not An Available Remedy for Tenaska.</w:t>
      </w:r>
    </w:p>
    <w:p>
      <w:pPr>
        <w:pStyle w:val="ParaText"/>
        <w:ind w:firstLine="720" w:end="0"/>
        <w:jc w:val="both"/>
        <w:rPr/>
      </w:pPr>
      <w:r>
        <w:rPr>
          <w:rFonts w:cs="Times New Roman" w:ascii="Times New Roman" w:hAnsi="Times New Roman"/>
        </w:rPr>
        <w:t xml:space="preserve">Specific performance is an exceptional equitable remedy, available only when the complaining party has no adequate remedy at law.  </w:t>
      </w:r>
      <w:r>
        <w:rPr>
          <w:rFonts w:cs="Times New Roman" w:ascii="Times New Roman" w:hAnsi="Times New Roman"/>
          <w:i/>
        </w:rPr>
        <w:t>Madariaga v. Morris,</w:t>
      </w:r>
      <w:r>
        <w:rPr>
          <w:rFonts w:cs="Times New Roman" w:ascii="Times New Roman" w:hAnsi="Times New Roman"/>
        </w:rPr>
        <w:t xml:space="preserve"> 639 S.W.2d 709 (Tex. Civ. App. – Tyler 1982, no writ); </w:t>
      </w:r>
      <w:r>
        <w:rPr>
          <w:rFonts w:cs="Times New Roman" w:ascii="Times New Roman" w:hAnsi="Times New Roman"/>
          <w:i/>
        </w:rPr>
        <w:t>American Housing Resources, Inc. v. Slaughter</w:t>
      </w:r>
      <w:r>
        <w:rPr>
          <w:rFonts w:cs="Times New Roman" w:ascii="Times New Roman" w:hAnsi="Times New Roman"/>
        </w:rPr>
        <w:t>, 597 S.W.2d 13 (Tex. Civ. App. – Dallas 1980, writ ref’d n.r.e</w:t>
      </w:r>
      <w:r>
        <w:rPr>
          <w:rFonts w:cs="Times New Roman" w:ascii="Times New Roman" w:hAnsi="Times New Roman"/>
          <w:i/>
        </w:rPr>
        <w:t>.</w:t>
      </w:r>
      <w:r>
        <w:rPr>
          <w:rFonts w:cs="Times New Roman" w:ascii="Times New Roman" w:hAnsi="Times New Roman"/>
        </w:rPr>
        <w:t xml:space="preserve">), </w:t>
      </w:r>
      <w:r>
        <w:rPr>
          <w:rFonts w:cs="Times New Roman" w:ascii="Times New Roman" w:hAnsi="Times New Roman"/>
          <w:i/>
        </w:rPr>
        <w:t>citing</w:t>
      </w:r>
      <w:r>
        <w:rPr>
          <w:rFonts w:cs="Times New Roman" w:ascii="Times New Roman" w:hAnsi="Times New Roman"/>
        </w:rPr>
        <w:t xml:space="preserve"> </w:t>
      </w:r>
      <w:r>
        <w:rPr>
          <w:rFonts w:cs="Times New Roman" w:ascii="Times New Roman" w:hAnsi="Times New Roman"/>
          <w:i/>
        </w:rPr>
        <w:t>Lone Star Salt Co. v. Texas Short Line Ry. Co.</w:t>
      </w:r>
      <w:r>
        <w:rPr>
          <w:rFonts w:cs="Times New Roman" w:ascii="Times New Roman" w:hAnsi="Times New Roman"/>
        </w:rPr>
        <w:t>, 90 S.W. 863 (Tex. 1906).  A claim for specific performance thus undercuts any damage model.</w:t>
      </w:r>
    </w:p>
    <w:p>
      <w:pPr>
        <w:pStyle w:val="ParaText"/>
        <w:ind w:firstLine="720" w:end="0"/>
        <w:jc w:val="both"/>
        <w:rPr/>
      </w:pPr>
      <w:r>
        <w:rPr>
          <w:rFonts w:cs="Times New Roman" w:ascii="Times New Roman" w:hAnsi="Times New Roman"/>
        </w:rPr>
        <w:t xml:space="preserve">Despite Tenaska’s position, the need to estimate future damages under a long-term contract does not make a remedy at law inadequate.  </w:t>
      </w:r>
      <w:r>
        <w:rPr>
          <w:rFonts w:cs="Times New Roman" w:ascii="Times New Roman" w:hAnsi="Times New Roman"/>
          <w:i/>
        </w:rPr>
        <w:t>United Coin Meter Co. v. Johnson-Campbell Lumber Co.</w:t>
      </w:r>
      <w:r>
        <w:rPr>
          <w:rFonts w:cs="Times New Roman" w:ascii="Times New Roman" w:hAnsi="Times New Roman"/>
        </w:rPr>
        <w:t xml:space="preserve">, 493 S.W.2d 882 (Tex. Civ. App. – Fort Worth 1973, no writ)(court held that although seven years remained before the contracts expired, plaintiffs had not proved they had no adequate remedy at law).  The court in </w:t>
      </w:r>
      <w:r>
        <w:rPr>
          <w:rFonts w:cs="Times New Roman" w:ascii="Times New Roman" w:hAnsi="Times New Roman"/>
          <w:i/>
        </w:rPr>
        <w:t xml:space="preserve">United Coin Meter </w:t>
      </w:r>
      <w:r>
        <w:rPr>
          <w:rFonts w:cs="Times New Roman" w:ascii="Times New Roman" w:hAnsi="Times New Roman"/>
        </w:rPr>
        <w:t>held:</w:t>
      </w:r>
    </w:p>
    <w:p>
      <w:pPr>
        <w:pStyle w:val="ParaText"/>
        <w:ind w:start="1440" w:end="1440"/>
        <w:jc w:val="both"/>
        <w:rPr>
          <w:rFonts w:ascii="Times New Roman" w:hAnsi="Times New Roman" w:cs="Times New Roman"/>
        </w:rPr>
      </w:pPr>
      <w:r>
        <w:rPr>
          <w:rFonts w:cs="Times New Roman" w:ascii="Times New Roman" w:hAnsi="Times New Roman"/>
        </w:rPr>
        <w:t>Since the only benefit plaintiffs could get from performance of the contracts for the rest of their terms is the amount of net profit they would realize from a complete performance of the contracts, a judgment awarding plaintiffs a recovery of that sum would be an adequate remedy.</w:t>
      </w:r>
    </w:p>
    <w:p>
      <w:pPr>
        <w:pStyle w:val="ParaText"/>
        <w:rPr/>
      </w:pPr>
      <w:r>
        <w:rPr>
          <w:rFonts w:cs="Times New Roman" w:ascii="Times New Roman" w:hAnsi="Times New Roman"/>
          <w:i/>
        </w:rPr>
        <w:t>Id.</w:t>
      </w:r>
      <w:r>
        <w:rPr>
          <w:rFonts w:cs="Times New Roman" w:ascii="Times New Roman" w:hAnsi="Times New Roman"/>
        </w:rPr>
        <w:t xml:space="preserve"> at 888.</w:t>
      </w:r>
    </w:p>
    <w:p>
      <w:pPr>
        <w:pStyle w:val="ParaText"/>
        <w:ind w:firstLine="720" w:end="0"/>
        <w:jc w:val="both"/>
        <w:rPr/>
      </w:pPr>
      <w:r>
        <w:rPr>
          <w:rFonts w:cs="Times New Roman" w:ascii="Times New Roman" w:hAnsi="Times New Roman"/>
        </w:rPr>
        <w:t xml:space="preserve">Moreover, specific performance is not an appropriate remedy where a court would be required to enforce continuous acts which “extend through a long period of time and require constant supervision.”  </w:t>
      </w:r>
      <w:r>
        <w:rPr>
          <w:rFonts w:cs="Times New Roman" w:ascii="Times New Roman" w:hAnsi="Times New Roman"/>
          <w:i/>
        </w:rPr>
        <w:t>Canteen Corp. v. Republic of Texas Properties, Inc.,</w:t>
      </w:r>
      <w:r>
        <w:rPr>
          <w:rFonts w:cs="Times New Roman" w:ascii="Times New Roman" w:hAnsi="Times New Roman"/>
        </w:rPr>
        <w:t xml:space="preserve"> 773 S.W.2d 398 (Tex. App. – Dallas 1989, no writ).  As noted by the court in </w:t>
      </w:r>
      <w:r>
        <w:rPr>
          <w:rFonts w:cs="Times New Roman" w:ascii="Times New Roman" w:hAnsi="Times New Roman"/>
          <w:i/>
        </w:rPr>
        <w:t>United Coin Meter</w:t>
      </w:r>
      <w:r>
        <w:rPr>
          <w:rFonts w:cs="Times New Roman" w:ascii="Times New Roman" w:hAnsi="Times New Roman"/>
        </w:rPr>
        <w:t>:</w:t>
      </w:r>
    </w:p>
    <w:p>
      <w:pPr>
        <w:pStyle w:val="ParaText"/>
        <w:spacing w:before="0" w:after="0"/>
        <w:ind w:start="1440" w:end="1440"/>
        <w:jc w:val="both"/>
        <w:rPr>
          <w:rFonts w:ascii="Times New Roman" w:hAnsi="Times New Roman" w:cs="Times New Roman"/>
        </w:rPr>
      </w:pPr>
      <w:r>
        <w:rPr>
          <w:rFonts w:cs="Times New Roman" w:ascii="Times New Roman" w:hAnsi="Times New Roman"/>
        </w:rPr>
        <w:t xml:space="preserve">It is a settled principle that a court of equity will ordinarily decree specific performance only when it can dispose of the matter in controversy by a decree capable of present performance; it will not decree a party to perform a continuous series of acts extending through a long period of time, requiring constant supervision by the court, . . ..  81 C.J.S. Specific Performance § 75, page 584.  </w:t>
      </w:r>
      <w:r>
        <w:rPr>
          <w:rFonts w:cs="Times New Roman" w:ascii="Times New Roman" w:hAnsi="Times New Roman"/>
          <w:b/>
        </w:rPr>
        <w:t>This is the law in Texas.</w:t>
      </w:r>
    </w:p>
    <w:p>
      <w:pPr>
        <w:pStyle w:val="ParaText"/>
        <w:spacing w:before="0" w:after="0"/>
        <w:ind w:end="1440"/>
        <w:jc w:val="both"/>
        <w:rPr>
          <w:rFonts w:ascii="Times New Roman" w:hAnsi="Times New Roman" w:cs="Times New Roman"/>
        </w:rPr>
      </w:pPr>
      <w:r>
        <w:rPr>
          <w:rFonts w:cs="Times New Roman" w:ascii="Times New Roman" w:hAnsi="Times New Roman"/>
        </w:rPr>
      </w:r>
    </w:p>
    <w:p>
      <w:pPr>
        <w:pStyle w:val="ParaText"/>
        <w:jc w:val="both"/>
        <w:rPr/>
      </w:pPr>
      <w:r>
        <w:rPr>
          <w:rFonts w:cs="Times New Roman" w:ascii="Times New Roman" w:hAnsi="Times New Roman"/>
          <w:i/>
        </w:rPr>
        <w:t>United Coin Meter</w:t>
      </w:r>
      <w:r>
        <w:rPr>
          <w:rFonts w:cs="Times New Roman" w:ascii="Times New Roman" w:hAnsi="Times New Roman"/>
        </w:rPr>
        <w:t>, 493 S.W.2d at 888 (emphasis added).</w:t>
      </w:r>
    </w:p>
    <w:p>
      <w:pPr>
        <w:pStyle w:val="ParaText"/>
        <w:jc w:val="both"/>
        <w:rPr>
          <w:rFonts w:ascii="Times New Roman" w:hAnsi="Times New Roman" w:cs="Times New Roman"/>
        </w:rPr>
      </w:pPr>
      <w:r>
        <w:rPr>
          <w:rFonts w:cs="Times New Roman" w:ascii="Times New Roman" w:hAnsi="Times New Roman"/>
        </w:rPr>
        <w:tab/>
        <w:t>Tenaska cites illustration No. 3 in Restatement (Second) of Contracts § 347 in support of its position.  This illustration is distinguishable.  Compare the factual setting of the illustration to the March 10, 1994 memorandum from one of Tenaska’s attorneys:</w:t>
      </w:r>
    </w:p>
    <w:p>
      <w:pPr>
        <w:pStyle w:val="ParaText"/>
        <w:spacing w:before="0" w:after="0"/>
        <w:ind w:end="1440"/>
        <w:rPr/>
      </w:pPr>
      <w:r>
        <w:rPr>
          <w:rFonts w:cs="Times New Roman" w:ascii="Times New Roman" w:hAnsi="Times New Roman"/>
          <w:b/>
          <w:u w:val="single"/>
        </w:rPr>
        <w:t>Illustration No. 3</w:t>
      </w:r>
      <w:r>
        <w:rPr>
          <w:rFonts w:cs="Times New Roman" w:ascii="Times New Roman" w:hAnsi="Times New Roman"/>
          <w:b/>
        </w:rPr>
        <w:t>:</w:t>
      </w:r>
    </w:p>
    <w:p>
      <w:pPr>
        <w:pStyle w:val="ParaText"/>
        <w:spacing w:before="0" w:after="0"/>
        <w:ind w:start="1440" w:end="1440"/>
        <w:jc w:val="both"/>
        <w:rPr>
          <w:rFonts w:ascii="Times New Roman" w:hAnsi="Times New Roman" w:cs="Times New Roman"/>
          <w:b/>
        </w:rPr>
      </w:pPr>
      <w:r>
        <w:rPr>
          <w:rFonts w:cs="Times New Roman" w:ascii="Times New Roman" w:hAnsi="Times New Roman"/>
          <w:b/>
        </w:rPr>
      </w:r>
    </w:p>
    <w:p>
      <w:pPr>
        <w:pStyle w:val="ParaText"/>
        <w:spacing w:before="0" w:after="0"/>
        <w:ind w:start="1440" w:end="1440"/>
        <w:jc w:val="both"/>
        <w:rPr/>
      </w:pPr>
      <w:r>
        <w:rPr>
          <w:rFonts w:cs="Times New Roman" w:ascii="Times New Roman" w:hAnsi="Times New Roman"/>
        </w:rPr>
        <w:t xml:space="preserve">A, the owner of a large factory, contracts to take all of his requirements of electricity from B, who promises to build anew electric plant </w:t>
      </w:r>
      <w:r>
        <w:rPr>
          <w:rFonts w:cs="Times New Roman" w:ascii="Times New Roman" w:hAnsi="Times New Roman"/>
          <w:b/>
        </w:rPr>
        <w:t>at a place where it would not otherwise be profitable</w:t>
      </w:r>
      <w:r>
        <w:rPr>
          <w:rFonts w:cs="Times New Roman" w:ascii="Times New Roman" w:hAnsi="Times New Roman"/>
        </w:rPr>
        <w:t>.  A repudiates the contract and B sues A to enjoin him from using electricity that is now supplied by B.  An injunction may properly be granted.  (Emphasis added)</w:t>
      </w:r>
    </w:p>
    <w:p>
      <w:pPr>
        <w:pStyle w:val="ParaText"/>
        <w:spacing w:before="0" w:after="0"/>
        <w:ind w:end="1440"/>
        <w:jc w:val="both"/>
        <w:rPr>
          <w:rFonts w:ascii="Times New Roman" w:hAnsi="Times New Roman" w:cs="Times New Roman"/>
        </w:rPr>
      </w:pPr>
      <w:r>
        <w:rPr>
          <w:rFonts w:cs="Times New Roman" w:ascii="Times New Roman" w:hAnsi="Times New Roman"/>
        </w:rPr>
      </w:r>
    </w:p>
    <w:p>
      <w:pPr>
        <w:pStyle w:val="ParaText"/>
        <w:spacing w:before="0" w:after="0"/>
        <w:ind w:end="1440"/>
        <w:jc w:val="center"/>
        <w:rPr>
          <w:rFonts w:ascii="Times New Roman" w:hAnsi="Times New Roman" w:cs="Times New Roman"/>
          <w:b/>
          <w:i/>
          <w:i/>
        </w:rPr>
      </w:pPr>
      <w:r>
        <w:rPr>
          <w:rFonts w:cs="Times New Roman" w:ascii="Times New Roman" w:hAnsi="Times New Roman"/>
          <w:b/>
          <w:i/>
        </w:rPr>
        <w:t>versus</w:t>
      </w:r>
    </w:p>
    <w:p>
      <w:pPr>
        <w:pStyle w:val="ParaText"/>
        <w:spacing w:before="0" w:after="0"/>
        <w:ind w:end="1440"/>
        <w:jc w:val="both"/>
        <w:rPr>
          <w:rFonts w:ascii="Times New Roman" w:hAnsi="Times New Roman" w:cs="Times New Roman"/>
          <w:b/>
          <w:i/>
          <w:i/>
        </w:rPr>
      </w:pPr>
      <w:r>
        <w:rPr>
          <w:rFonts w:cs="Times New Roman" w:ascii="Times New Roman" w:hAnsi="Times New Roman"/>
          <w:b/>
          <w:i/>
        </w:rPr>
      </w:r>
    </w:p>
    <w:p>
      <w:pPr>
        <w:pStyle w:val="ParaText"/>
        <w:spacing w:before="0" w:after="0"/>
        <w:ind w:end="1440"/>
        <w:jc w:val="both"/>
        <w:rPr>
          <w:rFonts w:ascii="Times New Roman" w:hAnsi="Times New Roman" w:cs="Times New Roman"/>
        </w:rPr>
      </w:pPr>
      <w:r>
        <w:rPr>
          <w:rFonts w:cs="Times New Roman" w:ascii="Times New Roman" w:hAnsi="Times New Roman"/>
          <w:b/>
          <w:u w:val="single"/>
        </w:rPr>
        <w:t>March 10, 1994 Memorandum (attached as Exhibit “1”)</w:t>
      </w:r>
      <w:r>
        <w:rPr>
          <w:rFonts w:cs="Times New Roman" w:ascii="Times New Roman" w:hAnsi="Times New Roman"/>
          <w:b/>
        </w:rPr>
        <w:t>:</w:t>
      </w:r>
    </w:p>
    <w:p>
      <w:pPr>
        <w:pStyle w:val="ParaText"/>
        <w:spacing w:before="0" w:after="0"/>
        <w:ind w:end="1440"/>
        <w:jc w:val="both"/>
        <w:rPr>
          <w:rFonts w:ascii="Times New Roman" w:hAnsi="Times New Roman" w:cs="Times New Roman"/>
        </w:rPr>
      </w:pPr>
      <w:r>
        <w:rPr>
          <w:rFonts w:cs="Times New Roman" w:ascii="Times New Roman" w:hAnsi="Times New Roman"/>
        </w:rPr>
      </w:r>
    </w:p>
    <w:p>
      <w:pPr>
        <w:pStyle w:val="ParaText"/>
        <w:spacing w:before="0" w:after="0"/>
        <w:ind w:start="1440" w:end="1440"/>
        <w:jc w:val="both"/>
        <w:rPr>
          <w:rFonts w:ascii="Times New Roman" w:hAnsi="Times New Roman" w:cs="Times New Roman"/>
        </w:rPr>
      </w:pPr>
      <w:r>
        <w:rPr>
          <w:rFonts w:cs="Times New Roman" w:ascii="Times New Roman" w:hAnsi="Times New Roman"/>
        </w:rPr>
        <w:t>Tenaska selected this site as an ideal regional site because Tenaska would be able to sell power from the Facility to any of three utilities (including Brazos) with no wheeling charges . . . The site is located in an area that is dually certificated for retail service (by the Public Utilities Commission of Texas) to both Johnson County Electric Cooperative (a Brazos member) and TU Electric.  . . . Tenaska has an offer in front of TMPA at this time for a project to be built at the same site . . . In other words, Tenaska plans to develop this plant site in any event.</w:t>
      </w:r>
    </w:p>
    <w:p>
      <w:pPr>
        <w:pStyle w:val="ParaText"/>
        <w:spacing w:before="0" w:after="0"/>
        <w:ind w:end="1440"/>
        <w:jc w:val="both"/>
        <w:rPr>
          <w:rFonts w:ascii="Times New Roman" w:hAnsi="Times New Roman" w:cs="Times New Roman"/>
        </w:rPr>
      </w:pPr>
      <w:r>
        <w:rPr>
          <w:rFonts w:cs="Times New Roman" w:ascii="Times New Roman" w:hAnsi="Times New Roman"/>
        </w:rPr>
      </w:r>
    </w:p>
    <w:p>
      <w:pPr>
        <w:pStyle w:val="ParaText"/>
        <w:jc w:val="both"/>
        <w:rPr>
          <w:rFonts w:ascii="Times New Roman" w:hAnsi="Times New Roman" w:cs="Times New Roman"/>
        </w:rPr>
      </w:pPr>
      <w:r>
        <w:rPr>
          <w:rFonts w:cs="Times New Roman" w:ascii="Times New Roman" w:hAnsi="Times New Roman"/>
        </w:rPr>
        <w:tab/>
        <w:t>In short, the equitable remedy of specific performance is simply not available to Tenaska in this case.</w:t>
      </w:r>
    </w:p>
    <w:p>
      <w:pPr>
        <w:pStyle w:val="ParaText"/>
        <w:ind w:hanging="720" w:start="1440" w:end="1440"/>
        <w:jc w:val="both"/>
        <w:rPr>
          <w:rFonts w:ascii="Times New Roman" w:hAnsi="Times New Roman" w:cs="Times New Roman"/>
          <w:color w:val="000000"/>
        </w:rPr>
      </w:pPr>
      <w:r>
        <w:rPr>
          <w:rFonts w:cs="Times New Roman" w:ascii="Times New Roman" w:hAnsi="Times New Roman"/>
          <w:b/>
        </w:rPr>
        <w:t>2.</w:t>
        <w:tab/>
      </w:r>
      <w:r>
        <w:rPr>
          <w:rFonts w:cs="Times New Roman" w:ascii="Times New Roman" w:hAnsi="Times New Roman"/>
          <w:b/>
          <w:color w:val="000000"/>
        </w:rPr>
        <w:t>The PPA Is A Contract For The Sale Of “Goods,” As That Term Is Defined in Article  2 of The Uniform Commercial Code (“UCC”).  Thus, Any Damages for Breach of The PPA Will Likely Be Controlled by The UCC.</w:t>
      </w:r>
    </w:p>
    <w:p>
      <w:pPr>
        <w:pStyle w:val="ParaText"/>
        <w:jc w:val="both"/>
        <w:rPr>
          <w:rFonts w:ascii="Times New Roman" w:hAnsi="Times New Roman" w:cs="Times New Roman"/>
          <w:color w:val="000000"/>
        </w:rPr>
      </w:pPr>
      <w:r>
        <w:rPr>
          <w:rFonts w:cs="Times New Roman" w:ascii="Times New Roman" w:hAnsi="Times New Roman"/>
          <w:color w:val="000000"/>
        </w:rPr>
        <w:tab/>
        <w:t>Section 2.105 of the UCC defines the term “goods,” in pertinent part, as follows:</w:t>
      </w:r>
    </w:p>
    <w:p>
      <w:pPr>
        <w:pStyle w:val="ParaText"/>
        <w:ind w:start="1440" w:end="1440"/>
        <w:jc w:val="both"/>
        <w:rPr>
          <w:rFonts w:ascii="Times New Roman" w:hAnsi="Times New Roman" w:cs="Times New Roman"/>
          <w:color w:val="000000"/>
        </w:rPr>
      </w:pPr>
      <w:r>
        <w:rPr>
          <w:rFonts w:cs="Times New Roman" w:ascii="Times New Roman" w:hAnsi="Times New Roman"/>
          <w:color w:val="000000"/>
        </w:rPr>
        <w:t>“</w:t>
      </w:r>
      <w:r>
        <w:rPr>
          <w:rFonts w:cs="Times New Roman" w:ascii="Times New Roman" w:hAnsi="Times New Roman"/>
          <w:color w:val="000000"/>
        </w:rPr>
        <w:t>Goods” means all things (including specially manufactured goods) which are movable at the time of identification to the contract for sale other than the money in which the price is to be paid, investment securities (Chapter 8) and things in action.</w:t>
      </w:r>
    </w:p>
    <w:p>
      <w:pPr>
        <w:pStyle w:val="ParaText"/>
        <w:jc w:val="both"/>
        <w:rPr>
          <w:rFonts w:ascii="Times New Roman" w:hAnsi="Times New Roman" w:cs="Times New Roman"/>
          <w:color w:val="000000"/>
        </w:rPr>
      </w:pPr>
      <w:r>
        <w:rPr>
          <w:rFonts w:cs="Times New Roman" w:ascii="Times New Roman" w:hAnsi="Times New Roman"/>
          <w:color w:val="000000"/>
        </w:rPr>
        <w:tab/>
        <w:t xml:space="preserve">The UCC comment to this code section recognizes “[t]hat the definition of goods is based on the concept of movability . . .  Comment UCC § 2.105(a).  Consistent with this concept, the court recognized in </w:t>
      </w:r>
      <w:r>
        <w:rPr>
          <w:rFonts w:cs="Times New Roman" w:ascii="Times New Roman" w:hAnsi="Times New Roman"/>
          <w:i/>
          <w:color w:val="000000"/>
        </w:rPr>
        <w:t>G-W-L v. Robichaux</w:t>
      </w:r>
      <w:r>
        <w:rPr>
          <w:rFonts w:cs="Times New Roman" w:ascii="Times New Roman" w:hAnsi="Times New Roman"/>
          <w:color w:val="000000"/>
        </w:rPr>
        <w:t xml:space="preserve">, 643 S.W.2d 392, 394 (Tex. 1980) that “goods” under the UCC are defined as “all things . . . that are </w:t>
      </w:r>
      <w:r>
        <w:rPr>
          <w:rFonts w:cs="Times New Roman" w:ascii="Times New Roman" w:hAnsi="Times New Roman"/>
          <w:i/>
          <w:color w:val="000000"/>
        </w:rPr>
        <w:t>movable</w:t>
      </w:r>
      <w:r>
        <w:rPr>
          <w:rFonts w:cs="Times New Roman" w:ascii="Times New Roman" w:hAnsi="Times New Roman"/>
          <w:color w:val="000000"/>
        </w:rPr>
        <w:t xml:space="preserve"> . . . at the time of identification to the contract . . .”  </w:t>
      </w:r>
      <w:r>
        <w:rPr>
          <w:rFonts w:cs="Times New Roman" w:ascii="Times New Roman" w:hAnsi="Times New Roman"/>
          <w:i/>
          <w:color w:val="000000"/>
        </w:rPr>
        <w:t>Id.</w:t>
      </w:r>
    </w:p>
    <w:p>
      <w:pPr>
        <w:pStyle w:val="ParaText"/>
        <w:jc w:val="both"/>
        <w:rPr/>
      </w:pPr>
      <w:r>
        <w:rPr>
          <w:rFonts w:cs="Times New Roman" w:ascii="Times New Roman" w:hAnsi="Times New Roman"/>
          <w:color w:val="000000"/>
        </w:rPr>
        <w:tab/>
        <w:t xml:space="preserve">The Texas Supreme Court in </w:t>
      </w:r>
      <w:r>
        <w:rPr>
          <w:rFonts w:cs="Times New Roman" w:ascii="Times New Roman" w:hAnsi="Times New Roman"/>
          <w:i/>
          <w:color w:val="000000"/>
        </w:rPr>
        <w:t>Houston Lighting &amp; Power Co. v. Reynolds</w:t>
      </w:r>
      <w:r>
        <w:rPr>
          <w:rFonts w:cs="Times New Roman" w:ascii="Times New Roman" w:hAnsi="Times New Roman"/>
          <w:color w:val="000000"/>
        </w:rPr>
        <w:t xml:space="preserve">, 764 S.W.2d 784, (Tex. 1988), addressed the first impression issue of whether or not electricity was a product or good.  The court observed that “[t]wo Texas courts of appeals have addressed the question and reached conflicting results.”  This comment refers to </w:t>
      </w:r>
      <w:r>
        <w:rPr>
          <w:rFonts w:cs="Times New Roman" w:ascii="Times New Roman" w:hAnsi="Times New Roman"/>
          <w:i/>
          <w:color w:val="000000"/>
        </w:rPr>
        <w:t>Erwin v. Guadalupe Valley Elec. Coop., Inc.</w:t>
      </w:r>
      <w:r>
        <w:rPr>
          <w:rFonts w:cs="Times New Roman" w:ascii="Times New Roman" w:hAnsi="Times New Roman"/>
          <w:color w:val="000000"/>
        </w:rPr>
        <w:t>, 505 S.W.2d 353, 355 (Tex. Civ. App. – San Antonio 1974, writ ref’d n.r.e</w:t>
      </w:r>
      <w:r>
        <w:rPr>
          <w:rFonts w:cs="Times New Roman" w:ascii="Times New Roman" w:hAnsi="Times New Roman"/>
          <w:i/>
          <w:color w:val="000000"/>
        </w:rPr>
        <w:t>.</w:t>
      </w:r>
      <w:r>
        <w:rPr>
          <w:rFonts w:cs="Times New Roman" w:ascii="Times New Roman" w:hAnsi="Times New Roman"/>
          <w:color w:val="000000"/>
        </w:rPr>
        <w:t xml:space="preserve">) (electricity was a product) and </w:t>
      </w:r>
      <w:r>
        <w:rPr>
          <w:rFonts w:cs="Times New Roman" w:ascii="Times New Roman" w:hAnsi="Times New Roman"/>
          <w:i/>
          <w:color w:val="000000"/>
        </w:rPr>
        <w:t>Navarro City Elec. Coop. v. Prince</w:t>
      </w:r>
      <w:r>
        <w:rPr>
          <w:rFonts w:cs="Times New Roman" w:ascii="Times New Roman" w:hAnsi="Times New Roman"/>
          <w:color w:val="000000"/>
        </w:rPr>
        <w:t>, 640 S.W.2d 398 (Tex. App. – Waco 1982, no writ) (the sale of electricity is a service).  The court reconciled this conflict by concluding that:</w:t>
      </w:r>
    </w:p>
    <w:p>
      <w:pPr>
        <w:pStyle w:val="ParaText"/>
        <w:ind w:start="1440" w:end="1440"/>
        <w:jc w:val="both"/>
        <w:rPr/>
      </w:pPr>
      <w:r>
        <w:rPr>
          <w:rFonts w:cs="Times New Roman" w:ascii="Times New Roman" w:hAnsi="Times New Roman"/>
          <w:color w:val="000000"/>
        </w:rPr>
        <w:t xml:space="preserve">We agree with the better reasoned opinions of other jurisdictions which hold electricity to be a product.  Electricity is a commodity, </w:t>
      </w:r>
      <w:r>
        <w:rPr>
          <w:rFonts w:cs="Times New Roman" w:ascii="Times New Roman" w:hAnsi="Times New Roman"/>
          <w:color w:val="000000"/>
          <w:u w:val="single"/>
        </w:rPr>
        <w:t>which, like other goods, can be manufactured, transported and sold</w:t>
      </w:r>
      <w:r>
        <w:rPr>
          <w:rFonts w:cs="Times New Roman" w:ascii="Times New Roman" w:hAnsi="Times New Roman"/>
          <w:color w:val="000000"/>
        </w:rPr>
        <w:t xml:space="preserve">.  </w:t>
      </w:r>
      <w:r>
        <w:rPr>
          <w:rFonts w:cs="Times New Roman" w:ascii="Times New Roman" w:hAnsi="Times New Roman"/>
          <w:i/>
          <w:color w:val="000000"/>
        </w:rPr>
        <w:t>Pierce v. Pacific Gas &amp; Elec. Co.</w:t>
      </w:r>
      <w:r>
        <w:rPr>
          <w:rFonts w:cs="Times New Roman" w:ascii="Times New Roman" w:hAnsi="Times New Roman"/>
          <w:color w:val="000000"/>
        </w:rPr>
        <w:t xml:space="preserve">, 166 Cal.App.3d 68, 81, 212 Cal.Rptr. 283, 290 (1985).  Electricity is a form of energy that can be made or produced by man, confined, controlled, transmitted and distributed to be used as an energy source for heat, power and light.  </w:t>
      </w:r>
      <w:r>
        <w:rPr>
          <w:rFonts w:cs="Times New Roman" w:ascii="Times New Roman" w:hAnsi="Times New Roman"/>
          <w:i/>
          <w:color w:val="000000"/>
        </w:rPr>
        <w:t>Ransome v. Wisconsin Elec. Power Co.</w:t>
      </w:r>
      <w:r>
        <w:rPr>
          <w:rFonts w:cs="Times New Roman" w:ascii="Times New Roman" w:hAnsi="Times New Roman"/>
          <w:color w:val="000000"/>
        </w:rPr>
        <w:t>, 87 Wis.2d 605, 610, 275 N.W.2d 641, 643 (1979).</w:t>
      </w:r>
    </w:p>
    <w:p>
      <w:pPr>
        <w:pStyle w:val="ParaText"/>
        <w:jc w:val="both"/>
        <w:rPr/>
      </w:pPr>
      <w:r>
        <w:rPr>
          <w:rFonts w:cs="Times New Roman" w:ascii="Times New Roman" w:hAnsi="Times New Roman"/>
          <w:i/>
          <w:color w:val="000000"/>
        </w:rPr>
        <w:t>Id.</w:t>
      </w:r>
      <w:r>
        <w:rPr>
          <w:rFonts w:cs="Times New Roman" w:ascii="Times New Roman" w:hAnsi="Times New Roman"/>
          <w:color w:val="000000"/>
        </w:rPr>
        <w:t xml:space="preserve"> at 785 (emphasis added).</w:t>
      </w:r>
    </w:p>
    <w:p>
      <w:pPr>
        <w:pStyle w:val="ParaText"/>
        <w:jc w:val="both"/>
        <w:rPr/>
      </w:pPr>
      <w:r>
        <w:rPr>
          <w:rFonts w:cs="Times New Roman" w:ascii="Times New Roman" w:hAnsi="Times New Roman"/>
          <w:color w:val="000000"/>
        </w:rPr>
        <w:tab/>
        <w:t xml:space="preserve">After </w:t>
      </w:r>
      <w:r>
        <w:rPr>
          <w:rFonts w:cs="Times New Roman" w:ascii="Times New Roman" w:hAnsi="Times New Roman"/>
          <w:i/>
          <w:color w:val="000000"/>
        </w:rPr>
        <w:t>Houston Power &amp; Lighting Co.</w:t>
      </w:r>
      <w:r>
        <w:rPr>
          <w:rFonts w:cs="Times New Roman" w:ascii="Times New Roman" w:hAnsi="Times New Roman"/>
          <w:color w:val="000000"/>
        </w:rPr>
        <w:t xml:space="preserve"> disapproved the holding in </w:t>
      </w:r>
      <w:r>
        <w:rPr>
          <w:rFonts w:cs="Times New Roman" w:ascii="Times New Roman" w:hAnsi="Times New Roman"/>
          <w:i/>
          <w:color w:val="000000"/>
        </w:rPr>
        <w:t>Navarro</w:t>
      </w:r>
      <w:r>
        <w:rPr>
          <w:rFonts w:cs="Times New Roman" w:ascii="Times New Roman" w:hAnsi="Times New Roman"/>
          <w:color w:val="000000"/>
        </w:rPr>
        <w:t xml:space="preserve">, the </w:t>
      </w:r>
      <w:r>
        <w:rPr>
          <w:rFonts w:cs="Times New Roman" w:ascii="Times New Roman" w:hAnsi="Times New Roman"/>
          <w:i/>
          <w:color w:val="000000"/>
        </w:rPr>
        <w:t>Navarro</w:t>
      </w:r>
      <w:r>
        <w:rPr>
          <w:rFonts w:cs="Times New Roman" w:ascii="Times New Roman" w:hAnsi="Times New Roman"/>
          <w:color w:val="000000"/>
        </w:rPr>
        <w:t xml:space="preserve"> decision was nevertheless cited with approval by the Houston Court of Appeals in </w:t>
      </w:r>
      <w:r>
        <w:rPr>
          <w:rFonts w:cs="Times New Roman" w:ascii="Times New Roman" w:hAnsi="Times New Roman"/>
          <w:i/>
          <w:color w:val="000000"/>
        </w:rPr>
        <w:t>Grace v. Zimmerman</w:t>
      </w:r>
      <w:r>
        <w:rPr>
          <w:rFonts w:cs="Times New Roman" w:ascii="Times New Roman" w:hAnsi="Times New Roman"/>
          <w:color w:val="000000"/>
        </w:rPr>
        <w:t>, 853 S.W.2d 92, 96 (Tex. App. – Houston [14</w:t>
      </w:r>
      <w:r>
        <w:rPr>
          <w:rFonts w:cs="Times New Roman" w:ascii="Times New Roman" w:hAnsi="Times New Roman"/>
          <w:color w:val="000000"/>
          <w:vertAlign w:val="superscript"/>
        </w:rPr>
        <w:t>th</w:t>
      </w:r>
      <w:r>
        <w:rPr>
          <w:rFonts w:cs="Times New Roman" w:ascii="Times New Roman" w:hAnsi="Times New Roman"/>
          <w:color w:val="000000"/>
        </w:rPr>
        <w:t xml:space="preserve"> Dist.] 1993, no writ).  The Houston Court of Appeals cited </w:t>
      </w:r>
      <w:r>
        <w:rPr>
          <w:rFonts w:cs="Times New Roman" w:ascii="Times New Roman" w:hAnsi="Times New Roman"/>
          <w:i/>
          <w:color w:val="000000"/>
        </w:rPr>
        <w:t>Navarro</w:t>
      </w:r>
      <w:r>
        <w:rPr>
          <w:rFonts w:cs="Times New Roman" w:ascii="Times New Roman" w:hAnsi="Times New Roman"/>
          <w:color w:val="000000"/>
        </w:rPr>
        <w:t xml:space="preserve"> for the proposition that the sale of electricity is the rendition of a service and not a sale of goods.  The Houston Court of Appeals’ reliance upon </w:t>
      </w:r>
      <w:r>
        <w:rPr>
          <w:rFonts w:cs="Times New Roman" w:ascii="Times New Roman" w:hAnsi="Times New Roman"/>
          <w:i/>
          <w:color w:val="000000"/>
        </w:rPr>
        <w:t>Navarro</w:t>
      </w:r>
      <w:r>
        <w:rPr>
          <w:rFonts w:cs="Times New Roman" w:ascii="Times New Roman" w:hAnsi="Times New Roman"/>
          <w:color w:val="000000"/>
        </w:rPr>
        <w:t xml:space="preserve"> is obviously misplaced.  </w:t>
      </w:r>
      <w:r>
        <w:rPr>
          <w:rFonts w:cs="Times New Roman" w:ascii="Times New Roman" w:hAnsi="Times New Roman"/>
          <w:i/>
          <w:color w:val="000000"/>
        </w:rPr>
        <w:t>Houston Lighting &amp; Power</w:t>
      </w:r>
      <w:r>
        <w:rPr>
          <w:rFonts w:cs="Times New Roman" w:ascii="Times New Roman" w:hAnsi="Times New Roman"/>
          <w:color w:val="000000"/>
        </w:rPr>
        <w:t xml:space="preserve"> remains good law.  It was recently cited with approval in </w:t>
      </w:r>
      <w:r>
        <w:rPr>
          <w:rFonts w:cs="Times New Roman" w:ascii="Times New Roman" w:hAnsi="Times New Roman"/>
          <w:i/>
          <w:color w:val="000000"/>
        </w:rPr>
        <w:t>Hancock v. City of San Antonio</w:t>
      </w:r>
      <w:r>
        <w:rPr>
          <w:rFonts w:cs="Times New Roman" w:ascii="Times New Roman" w:hAnsi="Times New Roman"/>
          <w:color w:val="000000"/>
        </w:rPr>
        <w:t>, 800 S.W.2d 881 (Tex. App. – San Antonio 1990, writ denied) (natural gas is a product which is usable by the consumer when placed in the distribution system, which reaches the user without substantial change in the condition).</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88"/>
        <w:jc w:val="both"/>
        <w:rPr/>
      </w:pPr>
      <w:r>
        <w:rPr>
          <w:rFonts w:cs="Times New Roman" w:ascii="Times New Roman" w:hAnsi="Times New Roman"/>
          <w:color w:val="000000"/>
        </w:rPr>
        <w:tab/>
        <w:t xml:space="preserve">In summary, the Texas Supreme Court has concluded that electricity is a product “which like other goods can be manufactured, transported and sold.”  </w:t>
      </w:r>
      <w:r>
        <w:rPr>
          <w:rFonts w:cs="Times New Roman" w:ascii="Times New Roman" w:hAnsi="Times New Roman"/>
          <w:i/>
          <w:color w:val="000000"/>
        </w:rPr>
        <w:t>Houston Power &amp; Lighting</w:t>
      </w:r>
      <w:r>
        <w:rPr>
          <w:rFonts w:cs="Times New Roman" w:ascii="Times New Roman" w:hAnsi="Times New Roman"/>
          <w:color w:val="000000"/>
        </w:rPr>
        <w:t>, 765 S.W.2d at 785.  Electricity clearly meets the test of movability for a “good” as set forth in UCC § 2-105(a).  Thus, both the statute and controlling case authority lead to the conclusion that the sale of electricity under the PPA is the sale of a “good” under the UCC.  Thus, the UCC should control the measure of damages.</w:t>
      </w:r>
    </w:p>
    <w:p>
      <w:pPr>
        <w:pStyle w:val="ParaText"/>
        <w:ind w:hanging="720" w:start="1440" w:end="1440"/>
        <w:jc w:val="both"/>
        <w:rPr>
          <w:rFonts w:ascii="Times New Roman" w:hAnsi="Times New Roman" w:cs="Times New Roman"/>
          <w:b/>
          <w:color w:val="000000"/>
        </w:rPr>
      </w:pPr>
      <w:r>
        <w:rPr>
          <w:rFonts w:cs="Times New Roman" w:ascii="Times New Roman" w:hAnsi="Times New Roman"/>
          <w:b/>
          <w:color w:val="000000"/>
        </w:rPr>
        <w:t>3.</w:t>
        <w:tab/>
        <w:t>Damages Under the UCC for Anticipatory Repudiation Are Based Upon the Market/Contract Differential Existing At The Time Of The Repudiation.</w:t>
      </w:r>
    </w:p>
    <w:p>
      <w:pPr>
        <w:pStyle w:val="ParaText"/>
        <w:jc w:val="both"/>
        <w:rPr>
          <w:rFonts w:ascii="Times New Roman" w:hAnsi="Times New Roman" w:cs="Times New Roman"/>
          <w:color w:val="000000"/>
        </w:rPr>
      </w:pPr>
      <w:r>
        <w:rPr>
          <w:rFonts w:cs="Times New Roman" w:ascii="Times New Roman" w:hAnsi="Times New Roman"/>
          <w:color w:val="000000"/>
        </w:rPr>
        <w:tab/>
        <w:t>The preceding section addressed the applicability of the UCC to the Power Purchase Agreement.  This section, in turn, addresses the measure of damages under the UCC in the event of an anticipatory repudiation by Brazos.</w:t>
      </w:r>
    </w:p>
    <w:p>
      <w:pPr>
        <w:pStyle w:val="ParaText"/>
        <w:jc w:val="both"/>
        <w:rPr/>
      </w:pPr>
      <w:r>
        <w:rPr>
          <w:rFonts w:cs="Times New Roman" w:ascii="Times New Roman" w:hAnsi="Times New Roman"/>
          <w:color w:val="000000"/>
        </w:rPr>
        <w:tab/>
        <w:t>Section 2-708 of the UCC, entitled, “</w:t>
      </w:r>
      <w:r>
        <w:rPr>
          <w:rFonts w:cs="Times New Roman" w:ascii="Times New Roman" w:hAnsi="Times New Roman"/>
          <w:color w:val="000000"/>
          <w:u w:val="single"/>
        </w:rPr>
        <w:t>Seller’s Damages for Non-Acceptance or Repudiation</w:t>
      </w:r>
      <w:r>
        <w:rPr>
          <w:rFonts w:cs="Times New Roman" w:ascii="Times New Roman" w:hAnsi="Times New Roman"/>
          <w:color w:val="000000"/>
        </w:rPr>
        <w:t>” is the controlling authority for damages in the event Brazos repudiates the PPA.  Subsection (a) of Section 2-708 sets the primary measure of damages as follows:</w:t>
      </w:r>
    </w:p>
    <w:p>
      <w:pPr>
        <w:pStyle w:val="ParaText"/>
        <w:spacing w:before="0" w:after="0"/>
        <w:ind w:start="1440" w:end="1440"/>
        <w:jc w:val="both"/>
        <w:rPr/>
      </w:pPr>
      <w:r>
        <w:rPr>
          <w:rFonts w:cs="Times New Roman" w:ascii="Times New Roman" w:hAnsi="Times New Roman"/>
          <w:color w:val="000000"/>
        </w:rPr>
        <w:t>. . . the measure of damages . . . for repudiation by the buyer is the difference between the market price at the time and place for tender and the unpaid contract price, together with any incidental damages</w:t>
      </w:r>
      <w:r>
        <w:rPr>
          <w:rStyle w:val="FootnoteCharacters"/>
          <w:rStyle w:val="FootnoteReference"/>
          <w:rFonts w:cs="Times New Roman" w:ascii="Times New Roman" w:hAnsi="Times New Roman"/>
          <w:color w:val="000000"/>
        </w:rPr>
        <w:footnoteReference w:id="2"/>
      </w:r>
      <w:r>
        <w:rPr>
          <w:rFonts w:cs="Times New Roman" w:ascii="Times New Roman" w:hAnsi="Times New Roman"/>
          <w:color w:val="000000"/>
        </w:rPr>
        <w:t> . . . but less expenses saved in consequence of the buyer’s breach.</w:t>
      </w:r>
    </w:p>
    <w:p>
      <w:pPr>
        <w:pStyle w:val="ParaText"/>
        <w:spacing w:before="0" w:after="0"/>
        <w:ind w:end="1440"/>
        <w:jc w:val="both"/>
        <w:rPr>
          <w:rFonts w:ascii="Times New Roman" w:hAnsi="Times New Roman" w:cs="Times New Roman"/>
          <w:color w:val="000000"/>
        </w:rPr>
      </w:pPr>
      <w:r>
        <w:rPr>
          <w:rFonts w:cs="Times New Roman" w:ascii="Times New Roman" w:hAnsi="Times New Roman"/>
          <w:color w:val="000000"/>
        </w:rPr>
      </w:r>
    </w:p>
    <w:p>
      <w:pPr>
        <w:pStyle w:val="ParaText"/>
        <w:jc w:val="both"/>
        <w:rPr/>
      </w:pPr>
      <w:r>
        <w:rPr>
          <w:rFonts w:cs="Times New Roman" w:ascii="Times New Roman" w:hAnsi="Times New Roman"/>
          <w:color w:val="000000"/>
        </w:rPr>
        <w:tab/>
        <w:t xml:space="preserve">Section 2-708(a) must be read in connection with Section 2-723, which sets the guidelines for determining “market value.”  If a repudiation case goes to trial before the performance date, damages must be calculated based upon the market price/contract price differential at the time the aggrieved party learned of the repudiation.”  UCC § 2-703(a).  As explained in </w:t>
      </w:r>
      <w:r>
        <w:rPr>
          <w:rFonts w:cs="Times New Roman" w:ascii="Times New Roman" w:hAnsi="Times New Roman"/>
          <w:i/>
          <w:color w:val="000000"/>
        </w:rPr>
        <w:t>Manchester Pipeline Corp. v. Peoples Natural Gas Co.</w:t>
      </w:r>
      <w:r>
        <w:rPr>
          <w:rFonts w:cs="Times New Roman" w:ascii="Times New Roman" w:hAnsi="Times New Roman"/>
          <w:color w:val="000000"/>
        </w:rPr>
        <w:t>, 862 F.2d 1439, 1446 (10</w:t>
      </w:r>
      <w:r>
        <w:rPr>
          <w:rFonts w:cs="Times New Roman" w:ascii="Times New Roman" w:hAnsi="Times New Roman"/>
          <w:color w:val="000000"/>
          <w:vertAlign w:val="superscript"/>
        </w:rPr>
        <w:t>th</w:t>
      </w:r>
      <w:r>
        <w:rPr>
          <w:rFonts w:cs="Times New Roman" w:ascii="Times New Roman" w:hAnsi="Times New Roman"/>
          <w:color w:val="000000"/>
        </w:rPr>
        <w:t xml:space="preserve"> Cir. 1988), this UCC formula is far easier to apply than a common law standard which requires speculation on future market prices:</w:t>
      </w:r>
    </w:p>
    <w:p>
      <w:pPr>
        <w:pStyle w:val="ParaText"/>
        <w:spacing w:before="0" w:after="0"/>
        <w:ind w:start="1440" w:end="1440"/>
        <w:jc w:val="both"/>
        <w:rPr>
          <w:rFonts w:ascii="Times New Roman" w:hAnsi="Times New Roman" w:cs="Times New Roman"/>
          <w:color w:val="000000"/>
        </w:rPr>
      </w:pPr>
      <w:r>
        <w:rPr>
          <w:rFonts w:cs="Times New Roman" w:ascii="Times New Roman" w:hAnsi="Times New Roman"/>
          <w:color w:val="000000"/>
        </w:rPr>
        <w:t>[Section 2-723] changes the rule as previously stated in Williston on Sales, Section 587, which says that when an action for anticipatory breach comes to trial before performance date the measure of damages is the difference between the contract price and the market value at the date fixed in the contract for performance.  Thus, the jury may speculate by attempting to predict what the future market value will be.  The Commercial Code rule is more certain and far easier to apply.</w:t>
      </w:r>
    </w:p>
    <w:p>
      <w:pPr>
        <w:pStyle w:val="ParaText"/>
        <w:jc w:val="both"/>
        <w:rPr>
          <w:rFonts w:ascii="Times New Roman" w:hAnsi="Times New Roman" w:cs="Times New Roman"/>
          <w:color w:val="000000"/>
        </w:rPr>
      </w:pPr>
      <w:r>
        <w:rPr>
          <w:rFonts w:cs="Times New Roman" w:ascii="Times New Roman" w:hAnsi="Times New Roman"/>
          <w:color w:val="000000"/>
        </w:rPr>
      </w:r>
    </w:p>
    <w:p>
      <w:pPr>
        <w:pStyle w:val="ParaText"/>
        <w:jc w:val="both"/>
        <w:rPr>
          <w:rFonts w:ascii="Times New Roman" w:hAnsi="Times New Roman" w:cs="Times New Roman"/>
          <w:color w:val="000000"/>
        </w:rPr>
      </w:pPr>
      <w:r>
        <w:rPr>
          <w:rFonts w:cs="Times New Roman" w:ascii="Times New Roman" w:hAnsi="Times New Roman"/>
          <w:color w:val="000000"/>
        </w:rPr>
        <w:t>It is without any question, then, that the market price is determined “at the time when the aggrieved party learned of the repudiation.”  UCC Section 2-703.  This is the precise wording of the code.</w:t>
      </w:r>
    </w:p>
    <w:p>
      <w:pPr>
        <w:pStyle w:val="ParaText"/>
        <w:jc w:val="both"/>
        <w:rPr>
          <w:rFonts w:ascii="Times New Roman" w:hAnsi="Times New Roman" w:cs="Times New Roman"/>
          <w:color w:val="000000"/>
        </w:rPr>
      </w:pPr>
      <w:r>
        <w:rPr>
          <w:rFonts w:cs="Times New Roman" w:ascii="Times New Roman" w:hAnsi="Times New Roman"/>
          <w:color w:val="000000"/>
        </w:rPr>
        <w:tab/>
        <w:t>The market price at the time of the repudiation must be compared to the contract price at that same time.</w:t>
      </w:r>
    </w:p>
    <w:p>
      <w:pPr>
        <w:pStyle w:val="ParaText"/>
        <w:spacing w:before="0" w:after="0"/>
        <w:ind w:start="1440" w:end="1440"/>
        <w:jc w:val="both"/>
        <w:rPr>
          <w:rFonts w:ascii="Times New Roman" w:hAnsi="Times New Roman" w:cs="Times New Roman"/>
          <w:color w:val="000000"/>
        </w:rPr>
      </w:pPr>
      <w:r>
        <w:rPr>
          <w:rFonts w:cs="Times New Roman" w:ascii="Times New Roman" w:hAnsi="Times New Roman"/>
          <w:color w:val="000000"/>
        </w:rPr>
        <w:t>To choose any other price deprives the contract market differential of its legitimacy . . . to select a contract price remote in time from the date of repudiation is to ignore that basic principle upon which the contract market differential formula is based.</w:t>
      </w:r>
    </w:p>
    <w:p>
      <w:pPr>
        <w:pStyle w:val="ParaText"/>
        <w:spacing w:before="0" w:after="0"/>
        <w:ind w:end="1440"/>
        <w:jc w:val="both"/>
        <w:rPr>
          <w:rFonts w:ascii="Times New Roman" w:hAnsi="Times New Roman" w:cs="Times New Roman"/>
          <w:color w:val="000000"/>
        </w:rPr>
      </w:pPr>
      <w:r>
        <w:rPr>
          <w:rFonts w:cs="Times New Roman" w:ascii="Times New Roman" w:hAnsi="Times New Roman"/>
          <w:color w:val="000000"/>
        </w:rPr>
      </w:r>
    </w:p>
    <w:p>
      <w:pPr>
        <w:pStyle w:val="ParaText"/>
        <w:jc w:val="both"/>
        <w:rPr/>
      </w:pPr>
      <w:r>
        <w:rPr>
          <w:rFonts w:cs="Times New Roman" w:ascii="Times New Roman" w:hAnsi="Times New Roman"/>
          <w:color w:val="000000"/>
        </w:rPr>
        <w:t xml:space="preserve">J. White &amp; R. Summers, </w:t>
      </w:r>
      <w:r>
        <w:rPr>
          <w:rFonts w:cs="Times New Roman" w:ascii="Times New Roman" w:hAnsi="Times New Roman"/>
          <w:i/>
          <w:color w:val="000000"/>
        </w:rPr>
        <w:t>Uniform Commercial Code</w:t>
      </w:r>
      <w:r>
        <w:rPr>
          <w:rFonts w:cs="Times New Roman" w:ascii="Times New Roman" w:hAnsi="Times New Roman"/>
          <w:color w:val="000000"/>
        </w:rPr>
        <w:t xml:space="preserve"> (1972)(hereafter, “White &amp; Summers”) at 348.</w:t>
      </w:r>
    </w:p>
    <w:p>
      <w:pPr>
        <w:pStyle w:val="ParaText"/>
        <w:ind w:firstLine="720" w:end="0"/>
        <w:jc w:val="both"/>
        <w:rPr/>
      </w:pPr>
      <w:r>
        <w:rPr>
          <w:rFonts w:cs="Times New Roman" w:ascii="Times New Roman" w:hAnsi="Times New Roman"/>
          <w:color w:val="000000"/>
        </w:rPr>
        <w:t xml:space="preserve">For instance, in </w:t>
      </w:r>
      <w:r>
        <w:rPr>
          <w:rFonts w:cs="Times New Roman" w:ascii="Times New Roman" w:hAnsi="Times New Roman"/>
          <w:i/>
          <w:color w:val="000000"/>
        </w:rPr>
        <w:t>Matter of Columbia Gas Transmission, Inc.</w:t>
      </w:r>
      <w:r>
        <w:rPr>
          <w:rFonts w:cs="Times New Roman" w:ascii="Times New Roman" w:hAnsi="Times New Roman"/>
          <w:color w:val="000000"/>
        </w:rPr>
        <w:t>, 224 B.R. 540 (Bankr. D. Del. 1991) (unpublished), gas producers acknowledged that 2-723 set the time to measure the market price but argued for the use of the (escalated) contract price at the time of trial, more than two years after the repudiation.  By comparing a 1993 contract price with a 1991 market price, these sellers would have greatly magnified their damages.  This approach was rejected.  As White and Summers note, it is illogical to split the dates at which one measures the market price and contract price; it improperly magnifies any distortions that otherwise occur in the contract market differential because it allows one (contract) to escalate while the other (market) is held steady.  White &amp; Summers at 349.</w:t>
      </w:r>
    </w:p>
    <w:p>
      <w:pPr>
        <w:pStyle w:val="ParaText"/>
        <w:ind w:firstLine="720" w:end="0"/>
        <w:jc w:val="both"/>
        <w:rPr>
          <w:rFonts w:ascii="Times New Roman" w:hAnsi="Times New Roman" w:cs="Times New Roman"/>
          <w:color w:val="000000"/>
        </w:rPr>
      </w:pPr>
      <w:r>
        <w:rPr>
          <w:rFonts w:cs="Times New Roman" w:ascii="Times New Roman" w:hAnsi="Times New Roman"/>
          <w:color w:val="000000"/>
        </w:rPr>
        <w:t>Thus, under the primary damage rule of Section 2-708(a), the contract/market value differential is measured as of the time the seller learns of the repudiation.  This differential is multiplied over time by the volume of the goods to be purchased, with this resulting product discounted to reflect a present value.</w:t>
      </w:r>
    </w:p>
    <w:p>
      <w:pPr>
        <w:pStyle w:val="ParaText"/>
        <w:ind w:firstLine="720" w:end="0"/>
        <w:jc w:val="both"/>
        <w:rPr>
          <w:rFonts w:ascii="Times New Roman" w:hAnsi="Times New Roman" w:cs="Times New Roman"/>
          <w:color w:val="000000"/>
        </w:rPr>
      </w:pPr>
      <w:r>
        <w:rPr>
          <w:rFonts w:cs="Times New Roman" w:ascii="Times New Roman" w:hAnsi="Times New Roman"/>
          <w:color w:val="000000"/>
        </w:rPr>
        <w:t>Tenaska suggests that damages are controlled by Subsection (b) of § 2-708, as opposed to Subsection (a).  Subsection (b) applies only if the measure of damages provided in Subsection (a) is inadequate.  Tenaska’s argument regarding the inadequacy of subsection (a) damages can only be premised upon their prediction that market/contract differentials will increase over time, a prediction that Section 2-723 seeks to avoid.  In any event, Subsection (b) reads in pertinent part as follows:</w:t>
      </w:r>
    </w:p>
    <w:p>
      <w:pPr>
        <w:pStyle w:val="ParaText"/>
        <w:spacing w:before="0" w:after="0"/>
        <w:ind w:start="1440" w:end="1440"/>
        <w:jc w:val="both"/>
        <w:rPr>
          <w:rFonts w:ascii="Times New Roman" w:hAnsi="Times New Roman" w:cs="Times New Roman"/>
          <w:color w:val="000000"/>
        </w:rPr>
      </w:pPr>
      <w:r>
        <w:rPr>
          <w:rFonts w:cs="Times New Roman" w:ascii="Times New Roman" w:hAnsi="Times New Roman"/>
          <w:color w:val="000000"/>
        </w:rPr>
        <w:t> </w:t>
      </w:r>
      <w:r>
        <w:rPr>
          <w:rFonts w:cs="Times New Roman" w:ascii="Times New Roman" w:hAnsi="Times New Roman"/>
          <w:color w:val="000000"/>
        </w:rPr>
        <w:t>. . . the measure of damages is the profit (including reasonable overhead) which the seller would have made from full performance by the buyer . . ..</w:t>
      </w:r>
    </w:p>
    <w:p>
      <w:pPr>
        <w:pStyle w:val="ParaText"/>
        <w:spacing w:before="0" w:after="0"/>
        <w:ind w:start="1440" w:end="1440"/>
        <w:jc w:val="both"/>
        <w:rPr>
          <w:rFonts w:ascii="Times New Roman" w:hAnsi="Times New Roman" w:cs="Times New Roman"/>
          <w:color w:val="000000"/>
        </w:rPr>
      </w:pPr>
      <w:r>
        <w:rPr>
          <w:rFonts w:cs="Times New Roman" w:ascii="Times New Roman" w:hAnsi="Times New Roman"/>
          <w:color w:val="000000"/>
        </w:rPr>
      </w:r>
    </w:p>
    <w:p>
      <w:pPr>
        <w:pStyle w:val="ParaText"/>
        <w:spacing w:before="0" w:after="0"/>
        <w:ind w:firstLine="720" w:end="0"/>
        <w:jc w:val="both"/>
        <w:rPr/>
      </w:pPr>
      <w:r>
        <w:rPr>
          <w:rFonts w:cs="Times New Roman" w:ascii="Times New Roman" w:hAnsi="Times New Roman"/>
          <w:color w:val="000000"/>
        </w:rPr>
        <w:t xml:space="preserve">Subsection (b) has been applied in limited situations.  </w:t>
      </w:r>
      <w:r>
        <w:rPr>
          <w:rFonts w:cs="Times New Roman" w:ascii="Times New Roman" w:hAnsi="Times New Roman"/>
          <w:i/>
          <w:color w:val="000000"/>
        </w:rPr>
        <w:t>See Timber Access Indus. Co. v. U.S. Plywood-Champion Pavers, Inc.</w:t>
      </w:r>
      <w:r>
        <w:rPr>
          <w:rFonts w:cs="Times New Roman" w:ascii="Times New Roman" w:hAnsi="Times New Roman"/>
          <w:color w:val="000000"/>
        </w:rPr>
        <w:t xml:space="preserve">, 503 P.2d 482 (Oregon 1972)(Subsection [b] applicable when the relevant market has disintegrated to the point that the seller could not mitigate by entering into the marketplace); </w:t>
      </w:r>
      <w:r>
        <w:rPr>
          <w:rFonts w:cs="Times New Roman" w:ascii="Times New Roman" w:hAnsi="Times New Roman"/>
          <w:i/>
          <w:color w:val="000000"/>
        </w:rPr>
        <w:t>Scullin Steel Co. v. Paccar, Inc.</w:t>
      </w:r>
      <w:r>
        <w:rPr>
          <w:rFonts w:cs="Times New Roman" w:ascii="Times New Roman" w:hAnsi="Times New Roman"/>
          <w:color w:val="000000"/>
        </w:rPr>
        <w:t>, 708 S.W.2d 756 (Mo. Ct. App. 1986)(Subsection [b] applicable when seller/manufacturer properly ceased production after the buyer breach).  In general, the applicability of Subsection (b) has been confined primarily to instances where the market price cannot be proven, either because of problems in the marketplace or because the good is not finished to the point of marketability.  There is no case which supports Tenaska’s argument that Subsection (a) does not apply because they believe that the contract/market price differential will increase over time.  Such an approach would undercut the primacy of Subsection (a).</w:t>
      </w:r>
    </w:p>
    <w:p>
      <w:pPr>
        <w:pStyle w:val="ParaText"/>
        <w:spacing w:before="0" w:after="0"/>
        <w:ind w:end="1440"/>
        <w:jc w:val="both"/>
        <w:rPr>
          <w:rFonts w:ascii="Times New Roman" w:hAnsi="Times New Roman" w:cs="Times New Roman"/>
          <w:color w:val="000000"/>
        </w:rPr>
      </w:pPr>
      <w:r>
        <w:rPr>
          <w:rFonts w:cs="Times New Roman" w:ascii="Times New Roman" w:hAnsi="Times New Roman"/>
          <w:color w:val="000000"/>
        </w:rPr>
      </w:r>
    </w:p>
    <w:p>
      <w:pPr>
        <w:pStyle w:val="ParaText"/>
        <w:ind w:firstLine="720" w:end="0"/>
        <w:jc w:val="both"/>
        <w:rPr/>
      </w:pPr>
      <w:r>
        <w:rPr>
          <w:rFonts w:cs="Times New Roman" w:ascii="Times New Roman" w:hAnsi="Times New Roman"/>
          <w:color w:val="000000"/>
        </w:rPr>
        <w:t>If Subsection (b) is incorrectly applied, then the focus of damages shifts to lost “profits,” an issue that Brazos will raise as part of its fraudulent inducement case.</w:t>
      </w:r>
      <w:r>
        <w:rPr>
          <w:rStyle w:val="FootnoteCharacters"/>
          <w:rStyle w:val="FootnoteReference"/>
          <w:rFonts w:cs="Times New Roman" w:ascii="Times New Roman" w:hAnsi="Times New Roman"/>
          <w:color w:val="000000"/>
        </w:rPr>
        <w:footnoteReference w:id="3"/>
      </w:r>
      <w:r>
        <w:rPr>
          <w:rFonts w:cs="Times New Roman" w:ascii="Times New Roman" w:hAnsi="Times New Roman"/>
          <w:color w:val="000000"/>
        </w:rPr>
        <w:t xml:space="preserve">  Representations were made to Brazos that Tenaska would earn a modest profit under the PPA.  (It is assumed that Tenaska’s own damage model of lost profits would provide the inaccuracy of this representation.)  Moreover, lost profits may result in a lower damage calculation than Subsection (a) when matters such as depreciation are properly factored into the calculation.</w:t>
      </w:r>
    </w:p>
    <w:p>
      <w:pPr>
        <w:pStyle w:val="ParaText"/>
        <w:ind w:firstLine="720" w:end="0"/>
        <w:jc w:val="both"/>
        <w:rPr>
          <w:rFonts w:ascii="Times New Roman" w:hAnsi="Times New Roman" w:cs="Times New Roman"/>
          <w:color w:val="000000"/>
        </w:rPr>
      </w:pPr>
      <w:r>
        <w:rPr>
          <w:rFonts w:cs="Times New Roman" w:ascii="Times New Roman" w:hAnsi="Times New Roman"/>
          <w:color w:val="000000"/>
        </w:rPr>
        <w:t>Finally, Tenaska agrees that Section 11.02 of the PPA will be enforced as a contractual damage remedy under Section 2-719 (a) of the UCC.</w:t>
      </w:r>
    </w:p>
    <w:p>
      <w:pPr>
        <w:pStyle w:val="ParaText"/>
        <w:ind w:firstLine="720" w:end="0"/>
        <w:jc w:val="both"/>
        <w:rPr>
          <w:rFonts w:ascii="Times New Roman" w:hAnsi="Times New Roman" w:cs="Times New Roman"/>
          <w:b/>
          <w:color w:val="000000"/>
        </w:rPr>
      </w:pPr>
      <w:r>
        <w:rPr>
          <w:rFonts w:cs="Times New Roman" w:ascii="Times New Roman" w:hAnsi="Times New Roman"/>
          <w:color w:val="000000"/>
        </w:rPr>
        <w:t xml:space="preserve">Tenaska is correct that under the UCC the parties may “limit or alter the measure of damages.”  </w:t>
      </w:r>
      <w:r>
        <w:rPr>
          <w:rFonts w:cs="Times New Roman" w:ascii="Times New Roman" w:hAnsi="Times New Roman"/>
          <w:i/>
          <w:color w:val="000000"/>
        </w:rPr>
        <w:t>See</w:t>
      </w:r>
      <w:r>
        <w:rPr>
          <w:rFonts w:cs="Times New Roman" w:ascii="Times New Roman" w:hAnsi="Times New Roman"/>
          <w:color w:val="000000"/>
        </w:rPr>
        <w:t xml:space="preserve"> UCC § 2-179(a)(1).  In fact, the parties have limited the applicability of consequential damages in Section 20.01 of the PPA.  However, Section 11.02 of the PPA is clearly not a “remedy” provision which replaces or modifies the statutory measure of damages set forth in UCC §</w:t>
      </w:r>
      <w:r>
        <w:rPr>
          <w:rFonts w:cs="Times New Roman" w:ascii="Times New Roman" w:hAnsi="Times New Roman"/>
          <w:b/>
          <w:color w:val="000000"/>
        </w:rPr>
        <w:t> </w:t>
      </w:r>
      <w:r>
        <w:rPr>
          <w:rFonts w:cs="Times New Roman" w:ascii="Times New Roman" w:hAnsi="Times New Roman"/>
          <w:color w:val="000000"/>
        </w:rPr>
        <w:t>2-708(c).  Instead, Section 11.02 of the PPA gives Brazos the contractual “right” under this unique provision to elect to buy-out of the PPA in the limited event that the payments under the PPA “will cause the utility [Brazos] not to be competitive with other utilities with which the utility is in competition.”  Under present market conditions, Brazos cannot even exercise this buy-out option.  A contractual right which cannot be presently exercised does not and cannot trump the statutory measure of damages otherwise applicable.</w:t>
      </w:r>
    </w:p>
    <w:p>
      <w:pPr>
        <w:pStyle w:val="ParaText"/>
        <w:ind w:firstLine="720" w:end="0"/>
        <w:jc w:val="both"/>
        <w:rPr>
          <w:rFonts w:ascii="Times New Roman" w:hAnsi="Times New Roman" w:cs="Times New Roman"/>
          <w:color w:val="000000"/>
        </w:rPr>
      </w:pPr>
      <w:r>
        <w:rPr>
          <w:rFonts w:cs="Times New Roman" w:ascii="Times New Roman" w:hAnsi="Times New Roman"/>
          <w:color w:val="000000"/>
        </w:rPr>
        <w:t>In summary, the proper measure of damages for any repudiation of the PPA by Brazos is the market/contract differential approach mandated by UCC § 2-708.</w:t>
      </w:r>
    </w:p>
    <w:p>
      <w:pPr>
        <w:pStyle w:val="ParaText"/>
        <w:keepNext w:val="true"/>
        <w:keepLines/>
        <w:spacing w:before="0" w:after="0"/>
        <w:jc w:val="both"/>
        <w:rPr>
          <w:rFonts w:ascii="Times New Roman" w:hAnsi="Times New Roman" w:cs="Times New Roman"/>
          <w:color w:val="000000"/>
        </w:rPr>
      </w:pPr>
      <w:r>
        <w:rPr>
          <w:rFonts w:cs="Times New Roman" w:ascii="Times New Roman" w:hAnsi="Times New Roman"/>
          <w:color w:val="000000"/>
        </w:rPr>
      </w:r>
    </w:p>
    <w:p>
      <w:pPr>
        <w:pStyle w:val="ParaText"/>
        <w:keepNext w:val="true"/>
        <w:keepLines/>
        <w:spacing w:before="0" w:after="0"/>
        <w:ind w:hanging="720" w:start="1440" w:end="1440"/>
        <w:jc w:val="both"/>
        <w:rPr>
          <w:rFonts w:ascii="Times New Roman" w:hAnsi="Times New Roman" w:cs="Times New Roman"/>
          <w:b/>
          <w:color w:val="000000"/>
        </w:rPr>
      </w:pPr>
      <w:r>
        <w:rPr>
          <w:rFonts w:cs="Times New Roman" w:ascii="Times New Roman" w:hAnsi="Times New Roman"/>
          <w:b/>
          <w:color w:val="000000"/>
        </w:rPr>
        <w:t>4.</w:t>
        <w:tab/>
        <w:t>If Brazos Repudiates the Contract, The Fact That The Project Company Is Released from Brazos’ Renewal Option Will Not Reduce the Project Company’s Damages.</w:t>
      </w:r>
    </w:p>
    <w:p>
      <w:pPr>
        <w:pStyle w:val="ParaText"/>
        <w:keepNext w:val="true"/>
        <w:keepLines/>
        <w:spacing w:before="0" w:after="0"/>
        <w:ind w:end="1440"/>
        <w:jc w:val="both"/>
        <w:rPr>
          <w:rFonts w:ascii="Times New Roman" w:hAnsi="Times New Roman" w:cs="Times New Roman"/>
          <w:b/>
          <w:color w:val="000000"/>
        </w:rPr>
      </w:pPr>
      <w:r>
        <w:rPr>
          <w:rFonts w:cs="Times New Roman" w:ascii="Times New Roman" w:hAnsi="Times New Roman"/>
          <w:b/>
          <w:color w:val="000000"/>
        </w:rPr>
      </w:r>
    </w:p>
    <w:p>
      <w:pPr>
        <w:pStyle w:val="Normal"/>
        <w:keepNext w:val="true"/>
        <w:keepLines/>
        <w:ind w:firstLine="720" w:end="0"/>
        <w:jc w:val="both"/>
        <w:rPr>
          <w:rFonts w:ascii="Times New Roman" w:hAnsi="Times New Roman" w:cs="Times New Roman"/>
        </w:rPr>
      </w:pPr>
      <w:r>
        <w:rPr>
          <w:rFonts w:cs="Times New Roman" w:ascii="Times New Roman" w:hAnsi="Times New Roman"/>
        </w:rPr>
        <w:t>The PPA provides that Brazos may elect to renew the agreement for a Renewal Term following expiration of the Initial Term.  The renewal provision provides for nominal payments for the plant capacity.  PPA, pp. 25-26.</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t xml:space="preserve">Tenaska argues that Brazos cannot reduce damages recoverable by any potential repudiation by taking advantage of the below market pricing during the Renewal Term, citing </w:t>
      </w:r>
      <w:r>
        <w:rPr>
          <w:rFonts w:cs="Times New Roman" w:ascii="Times New Roman" w:hAnsi="Times New Roman"/>
          <w:i/>
        </w:rPr>
        <w:t>Kiewit Tex. Mining Co. v. Inglish</w:t>
      </w:r>
      <w:r>
        <w:rPr>
          <w:rFonts w:cs="Times New Roman" w:ascii="Times New Roman" w:hAnsi="Times New Roman"/>
        </w:rPr>
        <w:t xml:space="preserve">, 865 S.W.2d 240 (Tex. App. – Waco 1993, writ denied). </w:t>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 xml:space="preserve">In </w:t>
      </w:r>
      <w:r>
        <w:rPr>
          <w:rFonts w:cs="Times New Roman" w:ascii="Times New Roman" w:hAnsi="Times New Roman"/>
          <w:i/>
        </w:rPr>
        <w:t>Kiewit</w:t>
      </w:r>
      <w:r>
        <w:rPr>
          <w:rFonts w:cs="Times New Roman" w:ascii="Times New Roman" w:hAnsi="Times New Roman"/>
        </w:rPr>
        <w:t xml:space="preserve">, two individuals sued a mining company for wrongfully repudiating a lease.  The lease, which had a 25 year primary term, provided for additional royalty payments during an extension period.  The lessor sued for royalty due under the extension.  The court recognized that the plaintiffs were only entitled to recover the value to them of the “expected performance” of the contract.  </w:t>
      </w:r>
      <w:r>
        <w:rPr>
          <w:rFonts w:cs="Times New Roman" w:ascii="Times New Roman" w:hAnsi="Times New Roman"/>
          <w:i/>
        </w:rPr>
        <w:t>Id.</w:t>
      </w:r>
      <w:r>
        <w:rPr>
          <w:rFonts w:cs="Times New Roman" w:ascii="Times New Roman" w:hAnsi="Times New Roman"/>
        </w:rPr>
        <w:t xml:space="preserve"> at 245.  In applying this test, the court held that “the ultimate goal in interpreting a lease is to determine the parties’ intent” and, in turn, found that:</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start="720" w:end="720"/>
        <w:jc w:val="both"/>
        <w:rPr>
          <w:rFonts w:ascii="Times New Roman" w:hAnsi="Times New Roman" w:cs="Times New Roman"/>
        </w:rPr>
      </w:pPr>
      <w:r>
        <w:rPr>
          <w:rFonts w:cs="Times New Roman" w:ascii="Times New Roman" w:hAnsi="Times New Roman"/>
        </w:rPr>
        <w:t>The record is devoid of any specific evidence tending to prove that, if the breach had not occurred, the lease would have been in force on its anniversary date during each of the remaining thirteen years of its primary term.  Nor does the record contain any evidence tending to prove that the lease would have been extended beyond its primary term.</w:t>
      </w:r>
    </w:p>
    <w:p>
      <w:pPr>
        <w:pStyle w:val="Normal"/>
        <w:ind w:start="720" w:end="720"/>
        <w:jc w:val="both"/>
        <w:rPr>
          <w:rFonts w:ascii="Times New Roman" w:hAnsi="Times New Roman" w:cs="Times New Roman"/>
        </w:rPr>
      </w:pPr>
      <w:r>
        <w:rPr>
          <w:rFonts w:cs="Times New Roman" w:ascii="Times New Roman" w:hAnsi="Times New Roman"/>
        </w:rPr>
      </w:r>
    </w:p>
    <w:p>
      <w:pPr>
        <w:pStyle w:val="Normal"/>
        <w:ind w:end="720"/>
        <w:jc w:val="both"/>
        <w:rPr/>
      </w:pPr>
      <w:r>
        <w:rPr>
          <w:rFonts w:cs="Times New Roman" w:ascii="Times New Roman" w:hAnsi="Times New Roman"/>
          <w:i/>
        </w:rPr>
        <w:t xml:space="preserve">Id. </w:t>
      </w:r>
      <w:r>
        <w:rPr>
          <w:rFonts w:cs="Times New Roman" w:ascii="Times New Roman" w:hAnsi="Times New Roman"/>
        </w:rPr>
        <w:t>at 244;  246.</w:t>
      </w:r>
    </w:p>
    <w:p>
      <w:pPr>
        <w:pStyle w:val="Normal"/>
        <w:ind w:end="72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 xml:space="preserve">Here, the intent of Tenaska and Brazos in entering the PPA and the purpose behind the Renewal Term will be considered by the arbitrator.  It was the clear intent of the parties initially that Brazos would own the plant at the end of the primary term.  The reason that this deal was structured with an option period at a nominal cost was to avoid tax consequences to Tenaska. The crux of the court of appeals’ opinion in </w:t>
      </w:r>
      <w:r>
        <w:rPr>
          <w:rFonts w:cs="Times New Roman" w:ascii="Times New Roman" w:hAnsi="Times New Roman"/>
          <w:i/>
        </w:rPr>
        <w:t>Kiewit</w:t>
      </w:r>
      <w:r>
        <w:rPr>
          <w:rFonts w:cs="Times New Roman" w:ascii="Times New Roman" w:hAnsi="Times New Roman"/>
        </w:rPr>
        <w:t xml:space="preserve"> is that a party must prove that a future election in a contract would have occurred.  </w:t>
      </w:r>
      <w:r>
        <w:rPr>
          <w:rFonts w:cs="Times New Roman" w:ascii="Times New Roman" w:hAnsi="Times New Roman"/>
          <w:i/>
        </w:rPr>
        <w:t xml:space="preserve">Id. </w:t>
      </w:r>
      <w:r>
        <w:rPr>
          <w:rFonts w:cs="Times New Roman" w:ascii="Times New Roman" w:hAnsi="Times New Roman"/>
        </w:rPr>
        <w:t>at 244-45.  That burden of proof can be met in this case.</w:t>
      </w:r>
    </w:p>
    <w:p>
      <w:pPr>
        <w:pStyle w:val="Normal"/>
        <w:jc w:val="both"/>
        <w:rPr>
          <w:rFonts w:ascii="Times New Roman" w:hAnsi="Times New Roman" w:cs="Times New Roman"/>
        </w:rPr>
      </w:pPr>
      <w:r>
        <w:rPr>
          <w:rFonts w:cs="Times New Roman" w:ascii="Times New Roman" w:hAnsi="Times New Roman"/>
        </w:rPr>
      </w:r>
    </w:p>
    <w:p>
      <w:pPr>
        <w:pStyle w:val="ParaText"/>
        <w:keepNext w:val="true"/>
        <w:keepLines/>
        <w:spacing w:before="0" w:after="0"/>
        <w:jc w:val="both"/>
        <w:rPr>
          <w:rFonts w:ascii="Times New Roman" w:hAnsi="Times New Roman" w:cs="Times New Roman"/>
          <w:color w:val="000000"/>
        </w:rPr>
      </w:pPr>
      <w:r>
        <w:rPr>
          <w:rFonts w:cs="Times New Roman" w:ascii="Times New Roman" w:hAnsi="Times New Roman"/>
          <w:color w:val="000000"/>
        </w:rPr>
      </w:r>
    </w:p>
    <w:p>
      <w:pPr>
        <w:pStyle w:val="ParaText"/>
        <w:keepNext w:val="true"/>
        <w:keepLines/>
        <w:spacing w:before="0" w:after="0"/>
        <w:ind w:hanging="720" w:start="1440" w:end="1440"/>
        <w:jc w:val="both"/>
        <w:rPr>
          <w:rFonts w:ascii="Times New Roman" w:hAnsi="Times New Roman" w:cs="Times New Roman"/>
          <w:b/>
          <w:color w:val="000000"/>
        </w:rPr>
      </w:pPr>
      <w:r>
        <w:rPr>
          <w:rFonts w:cs="Times New Roman" w:ascii="Times New Roman" w:hAnsi="Times New Roman"/>
          <w:b/>
          <w:color w:val="000000"/>
        </w:rPr>
        <w:t>5.</w:t>
        <w:tab/>
        <w:t>The Discount Rate To Be Used for Any Future Contract Damages Is a Reasonable Rate to Be Determined By the Fact Finder, Not Six Percent.</w:t>
      </w:r>
    </w:p>
    <w:p>
      <w:pPr>
        <w:pStyle w:val="ParaText"/>
        <w:keepNext w:val="true"/>
        <w:keepLines/>
        <w:spacing w:before="0" w:after="0"/>
        <w:ind w:end="1440"/>
        <w:jc w:val="both"/>
        <w:rPr>
          <w:rFonts w:ascii="Times New Roman" w:hAnsi="Times New Roman" w:cs="Times New Roman"/>
          <w:b/>
          <w:color w:val="000000"/>
        </w:rPr>
      </w:pPr>
      <w:r>
        <w:rPr>
          <w:rFonts w:cs="Times New Roman" w:ascii="Times New Roman" w:hAnsi="Times New Roman"/>
          <w:b/>
          <w:color w:val="000000"/>
        </w:rPr>
      </w:r>
    </w:p>
    <w:p>
      <w:pPr>
        <w:pStyle w:val="ParaText"/>
        <w:spacing w:before="0" w:after="0"/>
        <w:jc w:val="both"/>
        <w:rPr/>
      </w:pPr>
      <w:r>
        <w:rPr>
          <w:rFonts w:cs="Times New Roman" w:ascii="Times New Roman" w:hAnsi="Times New Roman"/>
          <w:color w:val="000000"/>
        </w:rPr>
        <w:tab/>
        <w:t xml:space="preserve">The discount rate to be used for any future contract damages is a reasonable rate to be determined by the fact finder, not six percent.  The controlling authority is </w:t>
      </w:r>
      <w:r>
        <w:rPr>
          <w:rFonts w:cs="Times New Roman" w:ascii="Times New Roman" w:hAnsi="Times New Roman"/>
          <w:i/>
          <w:color w:val="000000"/>
        </w:rPr>
        <w:t>Republic Bankers Life Ins. Co. v. Jaeger</w:t>
      </w:r>
      <w:r>
        <w:rPr>
          <w:rFonts w:cs="Times New Roman" w:ascii="Times New Roman" w:hAnsi="Times New Roman"/>
          <w:color w:val="000000"/>
        </w:rPr>
        <w:t xml:space="preserve">, 551 S.W.2d 30, 31 (Tex. 1976).  In </w:t>
      </w:r>
      <w:r>
        <w:rPr>
          <w:rFonts w:cs="Times New Roman" w:ascii="Times New Roman" w:hAnsi="Times New Roman"/>
          <w:i/>
          <w:color w:val="000000"/>
        </w:rPr>
        <w:t xml:space="preserve">Republic Bankers, </w:t>
      </w:r>
      <w:r>
        <w:rPr>
          <w:rFonts w:cs="Times New Roman" w:ascii="Times New Roman" w:hAnsi="Times New Roman"/>
          <w:color w:val="000000"/>
        </w:rPr>
        <w:t>the Texas Supreme Court held that the measure of damages in an action for repudiation is the total of all accrued payments plus the present value of all unaccrued payments that the plaintiff would have received if the contract had been performed.  The court expressed the following rationale for the determination of the discount rate:</w:t>
      </w:r>
    </w:p>
    <w:p>
      <w:pPr>
        <w:pStyle w:val="ParaText"/>
        <w:spacing w:before="0" w:after="0"/>
        <w:ind w:end="1440"/>
        <w:jc w:val="both"/>
        <w:rPr>
          <w:rFonts w:ascii="Times New Roman" w:hAnsi="Times New Roman" w:cs="Times New Roman"/>
          <w:color w:val="000000"/>
        </w:rPr>
      </w:pPr>
      <w:r>
        <w:rPr>
          <w:rFonts w:cs="Times New Roman" w:ascii="Times New Roman" w:hAnsi="Times New Roman"/>
          <w:color w:val="000000"/>
        </w:rPr>
      </w:r>
    </w:p>
    <w:p>
      <w:pPr>
        <w:pStyle w:val="ParaText"/>
        <w:spacing w:before="0" w:after="0"/>
        <w:ind w:start="1440" w:end="1440"/>
        <w:jc w:val="both"/>
        <w:rPr>
          <w:rFonts w:ascii="Times New Roman" w:hAnsi="Times New Roman" w:cs="Times New Roman"/>
          <w:b/>
          <w:color w:val="000000"/>
        </w:rPr>
      </w:pPr>
      <w:r>
        <w:rPr>
          <w:rFonts w:cs="Times New Roman" w:ascii="Times New Roman" w:hAnsi="Times New Roman"/>
          <w:b/>
          <w:color w:val="000000"/>
        </w:rPr>
        <w:t>. . . the proper measure of damages in a case such as this is a sum which, if invested at a reasonable rate of interest, will yield an annual income from both principal and interest, during the policyholder’s disability equal to the monthly benefits which Republic would have paid if it had not repudiated the policy.</w:t>
      </w:r>
    </w:p>
    <w:p>
      <w:pPr>
        <w:pStyle w:val="ParaText"/>
        <w:spacing w:before="0" w:after="0"/>
        <w:ind w:start="1440" w:end="1440"/>
        <w:jc w:val="both"/>
        <w:rPr>
          <w:rFonts w:ascii="Times New Roman" w:hAnsi="Times New Roman" w:cs="Times New Roman"/>
          <w:b/>
          <w:color w:val="000000"/>
        </w:rPr>
      </w:pPr>
      <w:r>
        <w:rPr>
          <w:rFonts w:cs="Times New Roman" w:ascii="Times New Roman" w:hAnsi="Times New Roman"/>
          <w:b/>
          <w:color w:val="000000"/>
        </w:rPr>
      </w:r>
    </w:p>
    <w:p>
      <w:pPr>
        <w:pStyle w:val="ParaText"/>
        <w:spacing w:before="0" w:after="0"/>
        <w:jc w:val="both"/>
        <w:rPr/>
      </w:pPr>
      <w:r>
        <w:rPr>
          <w:rFonts w:cs="Times New Roman" w:ascii="Times New Roman" w:hAnsi="Times New Roman"/>
          <w:i/>
          <w:color w:val="000000"/>
        </w:rPr>
        <w:t xml:space="preserve">Id. </w:t>
      </w:r>
      <w:r>
        <w:rPr>
          <w:rFonts w:cs="Times New Roman" w:ascii="Times New Roman" w:hAnsi="Times New Roman"/>
          <w:color w:val="000000"/>
        </w:rPr>
        <w:t xml:space="preserve">at 31.  The Supreme Court noted that “[t]he amount actually awarded will be less than the sum of all future payments because it includes a discount which approximates the earnings capacity of Republic’s money.  </w:t>
      </w:r>
      <w:r>
        <w:rPr>
          <w:rFonts w:cs="Times New Roman" w:ascii="Times New Roman" w:hAnsi="Times New Roman"/>
          <w:i/>
          <w:color w:val="000000"/>
        </w:rPr>
        <w:t>See</w:t>
      </w:r>
      <w:r>
        <w:rPr>
          <w:rFonts w:cs="Times New Roman" w:ascii="Times New Roman" w:hAnsi="Times New Roman"/>
          <w:color w:val="000000"/>
        </w:rPr>
        <w:t xml:space="preserve"> </w:t>
      </w:r>
      <w:r>
        <w:rPr>
          <w:rFonts w:cs="Times New Roman" w:ascii="Times New Roman" w:hAnsi="Times New Roman"/>
          <w:i/>
          <w:color w:val="000000"/>
        </w:rPr>
        <w:t>Pollack</w:t>
      </w:r>
      <w:r>
        <w:rPr>
          <w:rFonts w:cs="Times New Roman" w:ascii="Times New Roman" w:hAnsi="Times New Roman"/>
          <w:color w:val="000000"/>
        </w:rPr>
        <w:t xml:space="preserve">, 39 S.W.2d at 858.”  The reference to </w:t>
      </w:r>
      <w:r>
        <w:rPr>
          <w:rFonts w:cs="Times New Roman" w:ascii="Times New Roman" w:hAnsi="Times New Roman"/>
          <w:i/>
          <w:color w:val="000000"/>
        </w:rPr>
        <w:t>Pollack</w:t>
      </w:r>
      <w:r>
        <w:rPr>
          <w:rFonts w:cs="Times New Roman" w:ascii="Times New Roman" w:hAnsi="Times New Roman"/>
          <w:color w:val="000000"/>
        </w:rPr>
        <w:t xml:space="preserve"> is important because the discount rate in </w:t>
      </w:r>
      <w:r>
        <w:rPr>
          <w:rFonts w:cs="Times New Roman" w:ascii="Times New Roman" w:hAnsi="Times New Roman"/>
          <w:i/>
          <w:color w:val="000000"/>
        </w:rPr>
        <w:t>Pollack</w:t>
      </w:r>
      <w:r>
        <w:rPr>
          <w:rFonts w:cs="Times New Roman" w:ascii="Times New Roman" w:hAnsi="Times New Roman"/>
          <w:color w:val="000000"/>
        </w:rPr>
        <w:t xml:space="preserve"> was set at six percent.  The referenced statement in </w:t>
      </w:r>
      <w:r>
        <w:rPr>
          <w:rFonts w:cs="Times New Roman" w:ascii="Times New Roman" w:hAnsi="Times New Roman"/>
          <w:i/>
          <w:color w:val="000000"/>
        </w:rPr>
        <w:t>Republic Bankers</w:t>
      </w:r>
      <w:r>
        <w:rPr>
          <w:rFonts w:cs="Times New Roman" w:ascii="Times New Roman" w:hAnsi="Times New Roman"/>
          <w:color w:val="000000"/>
        </w:rPr>
        <w:t xml:space="preserve"> suggests that the Supreme Court set six percent as the rate in </w:t>
      </w:r>
      <w:r>
        <w:rPr>
          <w:rFonts w:cs="Times New Roman" w:ascii="Times New Roman" w:hAnsi="Times New Roman"/>
          <w:i/>
          <w:color w:val="000000"/>
        </w:rPr>
        <w:t>Pollack</w:t>
      </w:r>
      <w:r>
        <w:rPr>
          <w:rFonts w:cs="Times New Roman" w:ascii="Times New Roman" w:hAnsi="Times New Roman"/>
          <w:color w:val="000000"/>
        </w:rPr>
        <w:t xml:space="preserve"> because it approximated what the Supreme Court thought was the earning rate of the aggrieved party.  Immediately following this cite to </w:t>
      </w:r>
      <w:r>
        <w:rPr>
          <w:rFonts w:cs="Times New Roman" w:ascii="Times New Roman" w:hAnsi="Times New Roman"/>
          <w:i/>
          <w:color w:val="000000"/>
        </w:rPr>
        <w:t>Pollack</w:t>
      </w:r>
      <w:r>
        <w:rPr>
          <w:rFonts w:cs="Times New Roman" w:ascii="Times New Roman" w:hAnsi="Times New Roman"/>
          <w:color w:val="000000"/>
        </w:rPr>
        <w:t xml:space="preserve">, the court states that “[t]he trier of fact is required to determine the reasonable rate of interest which is then applied as a discount.”  </w:t>
      </w:r>
    </w:p>
    <w:p>
      <w:pPr>
        <w:pStyle w:val="ParaText"/>
        <w:spacing w:before="0" w:after="0"/>
        <w:jc w:val="both"/>
        <w:rPr>
          <w:rFonts w:ascii="Times New Roman" w:hAnsi="Times New Roman" w:cs="Times New Roman"/>
          <w:color w:val="000000"/>
        </w:rPr>
      </w:pPr>
      <w:r>
        <w:rPr>
          <w:rFonts w:cs="Times New Roman" w:ascii="Times New Roman" w:hAnsi="Times New Roman"/>
          <w:color w:val="000000"/>
        </w:rPr>
      </w:r>
    </w:p>
    <w:p>
      <w:pPr>
        <w:pStyle w:val="ParaText"/>
        <w:spacing w:before="0" w:after="0"/>
        <w:jc w:val="both"/>
        <w:rPr/>
      </w:pPr>
      <w:r>
        <w:rPr>
          <w:rFonts w:cs="Times New Roman" w:ascii="Times New Roman" w:hAnsi="Times New Roman"/>
          <w:color w:val="000000"/>
        </w:rPr>
        <w:tab/>
        <w:t xml:space="preserve">The </w:t>
      </w:r>
      <w:r>
        <w:rPr>
          <w:rFonts w:cs="Times New Roman" w:ascii="Times New Roman" w:hAnsi="Times New Roman"/>
          <w:i/>
          <w:color w:val="000000"/>
        </w:rPr>
        <w:t>Republic Bankers</w:t>
      </w:r>
      <w:r>
        <w:rPr>
          <w:rFonts w:cs="Times New Roman" w:ascii="Times New Roman" w:hAnsi="Times New Roman"/>
          <w:color w:val="000000"/>
        </w:rPr>
        <w:t xml:space="preserve"> case is consistent with the Texas Pattern Jury Charge on repudiation damages.  The Texas Pattern Jury Charge for contract damages, P.J.C. 110.2, continues to treat the matter of discounting as a matter within the discretion of the jury by asking what such of money, if any, </w:t>
      </w:r>
      <w:r>
        <w:rPr>
          <w:rFonts w:cs="Times New Roman" w:ascii="Times New Roman" w:hAnsi="Times New Roman"/>
          <w:color w:val="000000"/>
          <w:u w:val="single"/>
        </w:rPr>
        <w:t>if paid now in cash</w:t>
      </w:r>
      <w:r>
        <w:rPr>
          <w:rFonts w:cs="Times New Roman" w:ascii="Times New Roman" w:hAnsi="Times New Roman"/>
          <w:color w:val="000000"/>
        </w:rPr>
        <w:t xml:space="preserve"> would fairly and reasonably compensate the injured party for his damages for failure of the other party to comply with the contract.  Clearly, this pattern jury charge, which is used on almost a daily basis in Texas courts, would be incorrect if the discount rate was a court-mandated six percent.</w:t>
      </w:r>
    </w:p>
    <w:p>
      <w:pPr>
        <w:pStyle w:val="ParaText"/>
        <w:spacing w:before="0" w:after="0"/>
        <w:jc w:val="both"/>
        <w:rPr>
          <w:rFonts w:ascii="Times New Roman" w:hAnsi="Times New Roman" w:cs="Times New Roman"/>
          <w:color w:val="000000"/>
        </w:rPr>
      </w:pPr>
      <w:r>
        <w:rPr>
          <w:rFonts w:cs="Times New Roman" w:ascii="Times New Roman" w:hAnsi="Times New Roman"/>
          <w:color w:val="000000"/>
        </w:rPr>
      </w:r>
    </w:p>
    <w:p>
      <w:pPr>
        <w:pStyle w:val="ParaText"/>
        <w:ind w:firstLine="720" w:end="0"/>
        <w:jc w:val="both"/>
        <w:rPr/>
      </w:pPr>
      <w:r>
        <w:rPr>
          <w:rFonts w:cs="Times New Roman" w:ascii="Times New Roman" w:hAnsi="Times New Roman"/>
          <w:color w:val="000000"/>
        </w:rPr>
        <w:t xml:space="preserve">Additionally, </w:t>
      </w:r>
      <w:r>
        <w:rPr>
          <w:rFonts w:cs="Times New Roman" w:ascii="Times New Roman" w:hAnsi="Times New Roman"/>
        </w:rPr>
        <w:t xml:space="preserve">White and Summers, in their Uniform Commercial Code Treatise at Chapter 6, conclude that the persuasive way to determine the proper discount rate would be to estimate the return that persons in the shoes of the aggrieved party would earn on the money given to it at the time of judgment. White and Summers at pp. 352-53.  This approach is also consistent with the Supreme Court’s view as espoused in </w:t>
      </w:r>
      <w:r>
        <w:rPr>
          <w:rFonts w:cs="Times New Roman" w:ascii="Times New Roman" w:hAnsi="Times New Roman"/>
          <w:i/>
        </w:rPr>
        <w:t>Republic Bankers</w:t>
      </w:r>
      <w:r>
        <w:rPr>
          <w:rFonts w:cs="Times New Roman" w:ascii="Times New Roman" w:hAnsi="Times New Roman"/>
        </w:rPr>
        <w:t xml:space="preserve">.  </w:t>
      </w:r>
    </w:p>
    <w:p>
      <w:pPr>
        <w:pStyle w:val="Normal"/>
        <w:jc w:val="both"/>
        <w:rPr/>
      </w:pPr>
      <w:r>
        <w:rPr>
          <w:rFonts w:cs="Times New Roman" w:ascii="Times New Roman" w:hAnsi="Times New Roman"/>
        </w:rPr>
        <w:tab/>
        <w:t xml:space="preserve">In their memorandum, Tenaska relies on four cases.  Surprisingly, they cite </w:t>
      </w:r>
      <w:r>
        <w:rPr>
          <w:rFonts w:cs="Times New Roman" w:ascii="Times New Roman" w:hAnsi="Times New Roman"/>
          <w:i/>
        </w:rPr>
        <w:t>Texas Dep’t of Human Services v. Hines</w:t>
      </w:r>
      <w:r>
        <w:rPr>
          <w:rFonts w:cs="Times New Roman" w:ascii="Times New Roman" w:hAnsi="Times New Roman"/>
        </w:rPr>
        <w:t xml:space="preserve">, 860 S.W.2d 893, 902 (Tex. App. 1993), </w:t>
      </w:r>
      <w:r>
        <w:rPr>
          <w:rFonts w:cs="Times New Roman" w:ascii="Times New Roman" w:hAnsi="Times New Roman"/>
          <w:i/>
        </w:rPr>
        <w:t>rev’d on other grounds</w:t>
      </w:r>
      <w:r>
        <w:rPr>
          <w:rFonts w:cs="Times New Roman" w:ascii="Times New Roman" w:hAnsi="Times New Roman"/>
        </w:rPr>
        <w:t xml:space="preserve">, 904 S.W.2d629 (Tex. 1995).  It should be noted that this case cites </w:t>
      </w:r>
      <w:r>
        <w:rPr>
          <w:rFonts w:cs="Times New Roman" w:ascii="Times New Roman" w:hAnsi="Times New Roman"/>
          <w:i/>
        </w:rPr>
        <w:t>Republic Bankers</w:t>
      </w:r>
      <w:r>
        <w:rPr>
          <w:rFonts w:cs="Times New Roman" w:ascii="Times New Roman" w:hAnsi="Times New Roman"/>
        </w:rPr>
        <w:t xml:space="preserve"> with approval for the well-established principle that future damages must be discounted.  More importantly, the court in </w:t>
      </w:r>
      <w:r>
        <w:rPr>
          <w:rFonts w:cs="Times New Roman" w:ascii="Times New Roman" w:hAnsi="Times New Roman"/>
          <w:i/>
        </w:rPr>
        <w:t xml:space="preserve">Hines </w:t>
      </w:r>
      <w:r>
        <w:rPr>
          <w:rFonts w:cs="Times New Roman" w:ascii="Times New Roman" w:hAnsi="Times New Roman"/>
          <w:b/>
        </w:rPr>
        <w:t>applied a fifteen percent discount rate as opposed to six percent</w:t>
      </w:r>
      <w:r>
        <w:rPr>
          <w:rFonts w:cs="Times New Roman" w:ascii="Times New Roman" w:hAnsi="Times New Roman"/>
        </w:rPr>
        <w:t xml:space="preserve">.  </w:t>
      </w:r>
      <w:r>
        <w:rPr>
          <w:rFonts w:cs="Times New Roman" w:ascii="Times New Roman" w:hAnsi="Times New Roman"/>
          <w:i/>
        </w:rPr>
        <w:t>Id.</w:t>
      </w:r>
      <w:r>
        <w:rPr>
          <w:rFonts w:cs="Times New Roman" w:ascii="Times New Roman" w:hAnsi="Times New Roman"/>
        </w:rPr>
        <w:t xml:space="preserve"> fn.4 at 902.</w:t>
      </w:r>
    </w:p>
    <w:p>
      <w:pPr>
        <w:pStyle w:val="Normal"/>
        <w:jc w:val="both"/>
        <w:rPr>
          <w:rFonts w:ascii="Times New Roman" w:hAnsi="Times New Roman" w:cs="Times New Roman"/>
        </w:rPr>
      </w:pPr>
      <w:r>
        <w:rPr>
          <w:rFonts w:cs="Times New Roman" w:ascii="Times New Roman" w:hAnsi="Times New Roman"/>
        </w:rPr>
      </w:r>
    </w:p>
    <w:p>
      <w:pPr>
        <w:pStyle w:val="ParaText"/>
        <w:spacing w:before="0" w:after="0"/>
        <w:jc w:val="both"/>
        <w:rPr/>
      </w:pPr>
      <w:r>
        <w:rPr>
          <w:rFonts w:cs="Times New Roman" w:ascii="Times New Roman" w:hAnsi="Times New Roman"/>
        </w:rPr>
        <w:tab/>
        <w:t xml:space="preserve">The second case on which Tenaska relies is a U.S. Magistrate decision in </w:t>
      </w:r>
      <w:r>
        <w:rPr>
          <w:rFonts w:cs="Times New Roman" w:ascii="Times New Roman" w:hAnsi="Times New Roman"/>
          <w:i/>
        </w:rPr>
        <w:t>Allbritton v. Colonial Life &amp; Accident Ins. Co.</w:t>
      </w:r>
      <w:r>
        <w:rPr>
          <w:rFonts w:cs="Times New Roman" w:ascii="Times New Roman" w:hAnsi="Times New Roman"/>
        </w:rPr>
        <w:t xml:space="preserve">, 2000 U.S. Dist. LEXIS 8437, *20 (N.D. Tex., June 13, 2000).  This case is in clear contradiction to the Fifth Circuit case of </w:t>
      </w:r>
      <w:r>
        <w:rPr>
          <w:rFonts w:cs="Times New Roman" w:ascii="Times New Roman" w:hAnsi="Times New Roman"/>
          <w:i/>
          <w:color w:val="000000"/>
        </w:rPr>
        <w:t>Budge v. Poe</w:t>
      </w:r>
      <w:r>
        <w:rPr>
          <w:rFonts w:cs="Times New Roman" w:ascii="Times New Roman" w:hAnsi="Times New Roman"/>
          <w:color w:val="000000"/>
        </w:rPr>
        <w:t>, 643 F.2d 372, 375 (5</w:t>
      </w:r>
      <w:r>
        <w:rPr>
          <w:rFonts w:cs="Times New Roman" w:ascii="Times New Roman" w:hAnsi="Times New Roman"/>
          <w:color w:val="000000"/>
          <w:vertAlign w:val="superscript"/>
        </w:rPr>
        <w:t>th</w:t>
      </w:r>
      <w:r>
        <w:rPr>
          <w:rFonts w:cs="Times New Roman" w:ascii="Times New Roman" w:hAnsi="Times New Roman"/>
          <w:color w:val="000000"/>
        </w:rPr>
        <w:t xml:space="preserve"> Cir. 1981).</w:t>
      </w:r>
    </w:p>
    <w:p>
      <w:pPr>
        <w:pStyle w:val="ParaText"/>
        <w:spacing w:before="0" w:after="0"/>
        <w:jc w:val="both"/>
        <w:rPr>
          <w:rFonts w:ascii="Times New Roman" w:hAnsi="Times New Roman" w:cs="Times New Roman"/>
          <w:color w:val="000000"/>
        </w:rPr>
      </w:pPr>
      <w:r>
        <w:rPr>
          <w:rFonts w:cs="Times New Roman" w:ascii="Times New Roman" w:hAnsi="Times New Roman"/>
          <w:color w:val="000000"/>
        </w:rPr>
      </w:r>
    </w:p>
    <w:p>
      <w:pPr>
        <w:pStyle w:val="Normal"/>
        <w:jc w:val="both"/>
        <w:rPr/>
      </w:pPr>
      <w:r>
        <w:rPr>
          <w:rFonts w:cs="Times New Roman" w:ascii="Times New Roman" w:hAnsi="Times New Roman"/>
          <w:color w:val="000000"/>
        </w:rPr>
        <w:tab/>
      </w:r>
      <w:r>
        <w:rPr>
          <w:rFonts w:cs="Times New Roman" w:ascii="Times New Roman" w:hAnsi="Times New Roman"/>
        </w:rPr>
        <w:t xml:space="preserve">The third case relied on by Tenaska is </w:t>
      </w:r>
      <w:r>
        <w:rPr>
          <w:rFonts w:cs="Times New Roman" w:ascii="Times New Roman" w:hAnsi="Times New Roman"/>
          <w:i/>
        </w:rPr>
        <w:t>Lakeside Leasing Corp. v. Kirkwood Atrium Office Park Phase 3</w:t>
      </w:r>
      <w:r>
        <w:rPr>
          <w:rFonts w:cs="Times New Roman" w:ascii="Times New Roman" w:hAnsi="Times New Roman"/>
        </w:rPr>
        <w:t>, 750 S.W.2d 847, 851 (Tex. App. 1988). In this case, the parties specifically agreed that in the event of a default under the contract future damages would be computed using a six percent discount rate.  The clause in that case does not remotely resemble § 11.2 of the PPA.</w:t>
      </w:r>
    </w:p>
    <w:p>
      <w:pPr>
        <w:pStyle w:val="Normal"/>
        <w:jc w:val="both"/>
        <w:rPr>
          <w:rFonts w:ascii="Times New Roman" w:hAnsi="Times New Roman" w:cs="Times New Roman"/>
        </w:rPr>
      </w:pPr>
      <w:r>
        <w:rPr>
          <w:rFonts w:cs="Times New Roman" w:ascii="Times New Roman" w:hAnsi="Times New Roman"/>
        </w:rPr>
      </w:r>
    </w:p>
    <w:p>
      <w:pPr>
        <w:pStyle w:val="ParaText"/>
        <w:spacing w:before="0" w:after="0"/>
        <w:jc w:val="both"/>
        <w:rPr/>
      </w:pPr>
      <w:r>
        <w:rPr>
          <w:rFonts w:cs="Times New Roman" w:ascii="Times New Roman" w:hAnsi="Times New Roman"/>
        </w:rPr>
        <w:tab/>
        <w:t xml:space="preserve">The last case upon which Tenaska relies is </w:t>
      </w:r>
      <w:r>
        <w:rPr>
          <w:rFonts w:cs="Times New Roman" w:ascii="Times New Roman" w:hAnsi="Times New Roman"/>
          <w:i/>
        </w:rPr>
        <w:t>Ponton v. Watson</w:t>
      </w:r>
      <w:r>
        <w:rPr>
          <w:rFonts w:cs="Times New Roman" w:ascii="Times New Roman" w:hAnsi="Times New Roman"/>
        </w:rPr>
        <w:t xml:space="preserve">, 695 S.W.2d 68, 70 (Tex. App. 1985).  </w:t>
      </w:r>
      <w:r>
        <w:rPr>
          <w:rFonts w:cs="Times New Roman" w:ascii="Times New Roman" w:hAnsi="Times New Roman"/>
          <w:color w:val="000000"/>
        </w:rPr>
        <w:t xml:space="preserve">The </w:t>
      </w:r>
      <w:r>
        <w:rPr>
          <w:rFonts w:cs="Times New Roman" w:ascii="Times New Roman" w:hAnsi="Times New Roman"/>
          <w:i/>
          <w:color w:val="000000"/>
        </w:rPr>
        <w:t>Ponton</w:t>
      </w:r>
      <w:r>
        <w:rPr>
          <w:rFonts w:cs="Times New Roman" w:ascii="Times New Roman" w:hAnsi="Times New Roman"/>
          <w:color w:val="000000"/>
        </w:rPr>
        <w:t xml:space="preserve"> opinion suggests that </w:t>
      </w:r>
      <w:r>
        <w:rPr>
          <w:rFonts w:cs="Times New Roman" w:ascii="Times New Roman" w:hAnsi="Times New Roman"/>
          <w:i/>
          <w:color w:val="000000"/>
        </w:rPr>
        <w:t>Sheshunoff</w:t>
      </w:r>
      <w:r>
        <w:rPr>
          <w:rFonts w:cs="Times New Roman" w:ascii="Times New Roman" w:hAnsi="Times New Roman"/>
          <w:color w:val="000000"/>
        </w:rPr>
        <w:t xml:space="preserve"> </w:t>
      </w:r>
      <w:r>
        <w:rPr>
          <w:rFonts w:cs="Times New Roman" w:ascii="Times New Roman" w:hAnsi="Times New Roman"/>
          <w:i/>
          <w:color w:val="000000"/>
        </w:rPr>
        <w:t>&amp; Co., Inc. v. Scholl</w:t>
      </w:r>
      <w:r>
        <w:rPr>
          <w:rFonts w:cs="Times New Roman" w:ascii="Times New Roman" w:hAnsi="Times New Roman"/>
          <w:color w:val="000000"/>
        </w:rPr>
        <w:t xml:space="preserve">, 564 S.W.2d 697 (Tex. 1978) replaced </w:t>
      </w:r>
      <w:r>
        <w:rPr>
          <w:rFonts w:cs="Times New Roman" w:ascii="Times New Roman" w:hAnsi="Times New Roman"/>
          <w:i/>
          <w:color w:val="000000"/>
        </w:rPr>
        <w:t>Republic Bankers</w:t>
      </w:r>
      <w:r>
        <w:rPr>
          <w:rFonts w:cs="Times New Roman" w:ascii="Times New Roman" w:hAnsi="Times New Roman"/>
          <w:color w:val="000000"/>
        </w:rPr>
        <w:t xml:space="preserve"> as controlling authority.  This analysis ignores the fact that </w:t>
      </w:r>
      <w:r>
        <w:rPr>
          <w:rFonts w:cs="Times New Roman" w:ascii="Times New Roman" w:hAnsi="Times New Roman"/>
          <w:i/>
          <w:color w:val="000000"/>
        </w:rPr>
        <w:t>Republic Bankers</w:t>
      </w:r>
      <w:r>
        <w:rPr>
          <w:rFonts w:cs="Times New Roman" w:ascii="Times New Roman" w:hAnsi="Times New Roman"/>
          <w:color w:val="000000"/>
        </w:rPr>
        <w:t xml:space="preserve"> is cited as controlling law in </w:t>
      </w:r>
      <w:r>
        <w:rPr>
          <w:rFonts w:cs="Times New Roman" w:ascii="Times New Roman" w:hAnsi="Times New Roman"/>
          <w:i/>
          <w:color w:val="000000"/>
        </w:rPr>
        <w:t>Sheshunoff</w:t>
      </w:r>
      <w:r>
        <w:rPr>
          <w:rFonts w:cs="Times New Roman" w:ascii="Times New Roman" w:hAnsi="Times New Roman"/>
          <w:color w:val="000000"/>
        </w:rPr>
        <w:t xml:space="preserve">, and there is no discussion in </w:t>
      </w:r>
      <w:r>
        <w:rPr>
          <w:rFonts w:cs="Times New Roman" w:ascii="Times New Roman" w:hAnsi="Times New Roman"/>
          <w:i/>
          <w:color w:val="000000"/>
        </w:rPr>
        <w:t>Sheshunoff</w:t>
      </w:r>
      <w:r>
        <w:rPr>
          <w:rFonts w:cs="Times New Roman" w:ascii="Times New Roman" w:hAnsi="Times New Roman"/>
          <w:color w:val="000000"/>
        </w:rPr>
        <w:t xml:space="preserve"> that </w:t>
      </w:r>
      <w:r>
        <w:rPr>
          <w:rFonts w:cs="Times New Roman" w:ascii="Times New Roman" w:hAnsi="Times New Roman"/>
          <w:i/>
          <w:color w:val="000000"/>
        </w:rPr>
        <w:t>Republic Bankers</w:t>
      </w:r>
      <w:r>
        <w:rPr>
          <w:rFonts w:cs="Times New Roman" w:ascii="Times New Roman" w:hAnsi="Times New Roman"/>
          <w:color w:val="000000"/>
        </w:rPr>
        <w:t xml:space="preserve"> is being overruled.  </w:t>
      </w:r>
      <w:r>
        <w:rPr>
          <w:rFonts w:cs="Times New Roman" w:ascii="Times New Roman" w:hAnsi="Times New Roman"/>
          <w:i/>
          <w:color w:val="000000"/>
        </w:rPr>
        <w:t>Ponton</w:t>
      </w:r>
      <w:r>
        <w:rPr>
          <w:rFonts w:cs="Times New Roman" w:ascii="Times New Roman" w:hAnsi="Times New Roman"/>
          <w:color w:val="000000"/>
        </w:rPr>
        <w:t xml:space="preserve"> is a “no writ” case, so it was never presented to the Texas Supreme Court for review.</w:t>
      </w:r>
    </w:p>
    <w:p>
      <w:pPr>
        <w:pStyle w:val="ParaText"/>
        <w:spacing w:before="0" w:after="0"/>
        <w:jc w:val="both"/>
        <w:rPr>
          <w:rFonts w:ascii="Times New Roman" w:hAnsi="Times New Roman" w:cs="Times New Roman"/>
          <w:color w:val="000000"/>
        </w:rPr>
      </w:pPr>
      <w:r>
        <w:rPr>
          <w:rFonts w:cs="Times New Roman" w:ascii="Times New Roman" w:hAnsi="Times New Roman"/>
          <w:color w:val="000000"/>
        </w:rPr>
      </w:r>
    </w:p>
    <w:p>
      <w:pPr>
        <w:pStyle w:val="ParaText"/>
        <w:spacing w:before="0" w:after="0"/>
        <w:jc w:val="both"/>
        <w:rPr/>
      </w:pPr>
      <w:r>
        <w:rPr>
          <w:rFonts w:cs="Times New Roman" w:ascii="Times New Roman" w:hAnsi="Times New Roman"/>
          <w:color w:val="000000"/>
        </w:rPr>
        <w:tab/>
        <w:t xml:space="preserve">The Supreme Court in </w:t>
      </w:r>
      <w:r>
        <w:rPr>
          <w:rFonts w:cs="Times New Roman" w:ascii="Times New Roman" w:hAnsi="Times New Roman"/>
          <w:i/>
          <w:color w:val="000000"/>
        </w:rPr>
        <w:t>Sheshunoff</w:t>
      </w:r>
      <w:r>
        <w:rPr>
          <w:rFonts w:cs="Times New Roman" w:ascii="Times New Roman" w:hAnsi="Times New Roman"/>
          <w:color w:val="000000"/>
        </w:rPr>
        <w:t xml:space="preserve"> set the discount rate at the “legal rate” of interest in the absence of any evidentiary record on an appropriate discount rate.  The court in </w:t>
      </w:r>
      <w:r>
        <w:rPr>
          <w:rFonts w:cs="Times New Roman" w:ascii="Times New Roman" w:hAnsi="Times New Roman"/>
          <w:i/>
          <w:color w:val="000000"/>
        </w:rPr>
        <w:t>Ponton</w:t>
      </w:r>
      <w:r>
        <w:rPr>
          <w:rFonts w:cs="Times New Roman" w:ascii="Times New Roman" w:hAnsi="Times New Roman"/>
          <w:color w:val="000000"/>
        </w:rPr>
        <w:t xml:space="preserve"> followed this approach and used the “legal rate” set in Article 5069-1.03 Tex. Rev. Civ. Stat. Annotated.  This statute has since been repealed and replaced by V.T.C.A., Finance Code, § 302.002.  This section was, in turn, revised effective September 1, 1999.  The statute currently specifies that if a creditor has not agreed with an obligor to charge the obligor any interest, the creditor may charge and receive legal interest at the rate of six percent a year on the principal amount of the credit extended, beginning on the thirtieth day after the day on which the amount is due.  The term “legal interest” is defined in § 301.002(a)(8) of the Finance Code to mean “interest charged or received in the absence of any agreement by an obligor to pay contract interest.”  In this case, the PPA specifically provides for interest on past due bills.  PPA Section 10.03 states:</w:t>
      </w:r>
    </w:p>
    <w:p>
      <w:pPr>
        <w:pStyle w:val="ParaText"/>
        <w:spacing w:before="0" w:after="0"/>
        <w:jc w:val="both"/>
        <w:rPr>
          <w:rFonts w:ascii="Times New Roman" w:hAnsi="Times New Roman" w:cs="Times New Roman"/>
          <w:color w:val="000000"/>
        </w:rPr>
      </w:pPr>
      <w:r>
        <w:rPr>
          <w:rFonts w:cs="Times New Roman" w:ascii="Times New Roman" w:hAnsi="Times New Roman"/>
          <w:color w:val="000000"/>
        </w:rPr>
      </w:r>
    </w:p>
    <w:p>
      <w:pPr>
        <w:pStyle w:val="ParaText"/>
        <w:spacing w:before="0" w:after="0"/>
        <w:ind w:start="1440" w:end="1440"/>
        <w:jc w:val="both"/>
        <w:rPr>
          <w:rFonts w:ascii="Times New Roman" w:hAnsi="Times New Roman" w:cs="Times New Roman"/>
          <w:color w:val="000000"/>
        </w:rPr>
      </w:pPr>
      <w:r>
        <w:rPr>
          <w:rFonts w:cs="Times New Roman" w:ascii="Times New Roman" w:hAnsi="Times New Roman"/>
          <w:color w:val="000000"/>
        </w:rPr>
        <w:t>The contract rate of interest is the lesser of (i) the maximum rate of interest permitted by Applicable Law and (ii) two percent plus the rate of interest then most recently announced by the Chase Manhattan Bank, N.A. as its prime rate or equivalent . . .”</w:t>
      </w:r>
    </w:p>
    <w:p>
      <w:pPr>
        <w:pStyle w:val="ParaText"/>
        <w:spacing w:before="0" w:after="0"/>
        <w:ind w:end="1440"/>
        <w:jc w:val="both"/>
        <w:rPr>
          <w:rFonts w:ascii="Times New Roman" w:hAnsi="Times New Roman" w:cs="Times New Roman"/>
          <w:color w:val="000000"/>
        </w:rPr>
      </w:pPr>
      <w:r>
        <w:rPr>
          <w:rFonts w:cs="Times New Roman" w:ascii="Times New Roman" w:hAnsi="Times New Roman"/>
          <w:color w:val="000000"/>
        </w:rPr>
      </w:r>
    </w:p>
    <w:p>
      <w:pPr>
        <w:pStyle w:val="ParaText"/>
        <w:spacing w:before="0" w:after="0"/>
        <w:ind w:firstLine="720" w:end="0"/>
        <w:jc w:val="both"/>
        <w:rPr/>
      </w:pPr>
      <w:r>
        <w:rPr>
          <w:rFonts w:cs="Times New Roman" w:ascii="Times New Roman" w:hAnsi="Times New Roman"/>
          <w:color w:val="000000"/>
        </w:rPr>
        <w:t xml:space="preserve">For the purposes of computing monies owed on past payments required by the PPA, § 302.002 of the Finance Code would not be applicable.  The “legal interest” rate in this case would be the rate referenced above in Section 10.03 of the PPA.  Thus, if the court in </w:t>
      </w:r>
      <w:r>
        <w:rPr>
          <w:rFonts w:cs="Times New Roman" w:ascii="Times New Roman" w:hAnsi="Times New Roman"/>
          <w:i/>
          <w:color w:val="000000"/>
        </w:rPr>
        <w:t>Sheshunoff/Ponton</w:t>
      </w:r>
      <w:r>
        <w:rPr>
          <w:rFonts w:cs="Times New Roman" w:ascii="Times New Roman" w:hAnsi="Times New Roman"/>
          <w:color w:val="000000"/>
        </w:rPr>
        <w:t xml:space="preserve"> is setting the discount rate as the “legal rate” of interest under Texas law, that rate is not six percent in this case – it is the Chase Manhattan prime rate plus two percent.</w:t>
      </w:r>
    </w:p>
    <w:p>
      <w:pPr>
        <w:pStyle w:val="ParaText"/>
        <w:spacing w:before="0" w:after="0"/>
        <w:jc w:val="both"/>
        <w:rPr>
          <w:rFonts w:ascii="Times New Roman" w:hAnsi="Times New Roman" w:cs="Times New Roman"/>
          <w:color w:val="000000"/>
        </w:rPr>
      </w:pPr>
      <w:r>
        <w:rPr>
          <w:rFonts w:cs="Times New Roman" w:ascii="Times New Roman" w:hAnsi="Times New Roman"/>
          <w:color w:val="000000"/>
        </w:rPr>
      </w:r>
    </w:p>
    <w:p>
      <w:pPr>
        <w:pStyle w:val="Normal"/>
        <w:ind w:firstLine="720" w:end="0"/>
        <w:jc w:val="both"/>
        <w:rPr>
          <w:rFonts w:ascii="Times New Roman" w:hAnsi="Times New Roman" w:cs="Times New Roman"/>
        </w:rPr>
      </w:pPr>
      <w:r>
        <w:rPr>
          <w:rFonts w:cs="Times New Roman" w:ascii="Times New Roman" w:hAnsi="Times New Roman"/>
        </w:rPr>
        <w:t>In conclusion, the proper discount rate would be the rate of return Tenaska/Enron would reasonably earn on any lump sum payment made to them.  Based upon financial information publicly available, this rate of return exceeds 15 percent and ranges up to 20 percent.</w:t>
      </w:r>
    </w:p>
    <w:sectPr>
      <w:headerReference w:type="default" r:id="rId4"/>
      <w:headerReference w:type="first" r:id="rId5"/>
      <w:footerReference w:type="default" r:id="rId6"/>
      <w:footerReference w:type="first" r:id="rId7"/>
      <w:footnotePr>
        <w:numFmt w:val="decimal"/>
      </w:footnotePr>
      <w:type w:val="nextPage"/>
      <w:pgSz w:w="12240" w:h="15840"/>
      <w:pgMar w:left="1440" w:right="1440" w:gutter="0" w:header="792" w:top="1440" w:footer="79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etter Gothic">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Doc. 131275</w:t>
    </w:r>
    <w:r>
      <w:rPr/>
      <w:t xml:space="preserve"> </w:t>
    </w:r>
  </w:p>
  <w:p>
    <w:pPr>
      <w:pStyle w:val="Footer"/>
      <w:rPr/>
    </w:pPr>
    <w:r>
      <w:rPr/>
      <w:tab/>
      <w:t xml:space="preserve">- </w:t>
    </w:r>
    <w:r>
      <w:rPr/>
      <w:fldChar w:fldCharType="begin"/>
    </w:r>
    <w:r>
      <w:rPr/>
      <w:instrText xml:space="preserve"> PAGE </w:instrText>
    </w:r>
    <w:r>
      <w:rPr/>
      <w:fldChar w:fldCharType="separate"/>
    </w:r>
    <w:r>
      <w:rPr/>
      <w:t>9</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Doc. 131275</w:t>
    </w:r>
    <w:r>
      <w:rPr/>
      <w:t xml:space="preserv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00"/>
        <w:ind w:firstLine="720" w:end="0"/>
        <w:jc w:val="both"/>
        <w:rPr/>
      </w:pPr>
      <w:r>
        <w:rPr>
          <w:rStyle w:val="FootnoteCharacters"/>
        </w:rPr>
        <w:footnoteRef/>
      </w:r>
      <w:r>
        <w:rPr/>
        <w:t xml:space="preserve"> “</w:t>
      </w:r>
      <w:r>
        <w:rPr>
          <w:rFonts w:cs="Times New Roman" w:ascii="Times New Roman" w:hAnsi="Times New Roman"/>
        </w:rPr>
        <w:t xml:space="preserve">Incidental damages” are defined in Section 2-710 of the UCC and generally include commercially reasonable charges, expenses or commission incurred in connection with the release of the goods.  Incidental damages do not include consequential damages.  </w:t>
      </w:r>
      <w:r>
        <w:rPr>
          <w:rFonts w:cs="Times New Roman" w:ascii="Times New Roman" w:hAnsi="Times New Roman"/>
          <w:i/>
        </w:rPr>
        <w:t>Noles Chemical U.S.A., Inc. v. Koppers Co., Inc.</w:t>
      </w:r>
      <w:r>
        <w:rPr>
          <w:rFonts w:cs="Times New Roman" w:ascii="Times New Roman" w:hAnsi="Times New Roman"/>
        </w:rPr>
        <w:t>, 616 F.2d 212, 216 (5</w:t>
      </w:r>
      <w:r>
        <w:rPr>
          <w:rFonts w:cs="Times New Roman" w:ascii="Times New Roman" w:hAnsi="Times New Roman"/>
          <w:vertAlign w:val="superscript"/>
        </w:rPr>
        <w:t>th</w:t>
      </w:r>
      <w:r>
        <w:rPr>
          <w:rFonts w:cs="Times New Roman" w:ascii="Times New Roman" w:hAnsi="Times New Roman"/>
        </w:rPr>
        <w:t xml:space="preserve"> Cr. 1980).</w:t>
      </w:r>
    </w:p>
  </w:footnote>
  <w:footnote w:id="3">
    <w:p>
      <w:pPr>
        <w:pStyle w:val="FootnoteText"/>
        <w:spacing w:before="0" w:after="200"/>
        <w:ind w:firstLine="720" w:end="0"/>
        <w:jc w:val="both"/>
        <w:rPr/>
      </w:pPr>
      <w:r>
        <w:rPr>
          <w:rStyle w:val="FootnoteCharacters"/>
        </w:rPr>
        <w:footnoteRef/>
      </w:r>
      <w:r>
        <w:rPr>
          <w:rFonts w:cs="Times New Roman" w:ascii="Times New Roman" w:hAnsi="Times New Roman"/>
        </w:rPr>
        <w:t xml:space="preserve"> </w:t>
      </w:r>
      <w:r>
        <w:rPr>
          <w:rFonts w:cs="Times New Roman" w:ascii="Times New Roman" w:hAnsi="Times New Roman"/>
        </w:rPr>
        <w:t xml:space="preserve">This claim remains legally viable.  The merger clause in the PPA does not preclude a fraudulent inducement claim, and the parol evidence rule does not preclude proof of the fraud.  </w:t>
      </w:r>
      <w:r>
        <w:rPr>
          <w:rFonts w:cs="Times New Roman" w:ascii="Times New Roman" w:hAnsi="Times New Roman"/>
          <w:i/>
        </w:rPr>
        <w:t>Schlumberger Tech. Corp. v. Swanson</w:t>
      </w:r>
      <w:r>
        <w:rPr>
          <w:rFonts w:cs="Times New Roman" w:ascii="Times New Roman" w:hAnsi="Times New Roman"/>
        </w:rPr>
        <w:t>, 959 S.W.2d 171 (Tex. 1997).</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lang w:val="en-CA"/>
      </w:rPr>
    </w:pPr>
    <w:r>
      <w:rPr>
        <w:lang w:val="en-CA"/>
      </w:rPr>
      <w:drawing>
        <wp:anchor behindDoc="1" distT="0" distB="0" distL="114935" distR="114935" simplePos="0" locked="0" layoutInCell="1" allowOverlap="1" relativeHeight="9">
          <wp:simplePos x="0" y="0"/>
          <wp:positionH relativeFrom="column">
            <wp:posOffset>-182880</wp:posOffset>
          </wp:positionH>
          <wp:positionV relativeFrom="paragraph">
            <wp:posOffset>57150</wp:posOffset>
          </wp:positionV>
          <wp:extent cx="1972310" cy="890270"/>
          <wp:effectExtent l="0" t="0" r="0" b="0"/>
          <wp:wrapNone/>
          <wp:docPr id="1" name="PB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BLOGO" descr="" title=""/>
                  <pic:cNvPicPr>
                    <a:picLocks noChangeAspect="1" noChangeArrowheads="1"/>
                  </pic:cNvPicPr>
                </pic:nvPicPr>
                <pic:blipFill>
                  <a:blip r:embed="rId1">
                    <a:biLevel thresh="50000"/>
                  </a:blip>
                  <a:srcRect l="-16" t="-36" r="-16" b="-36"/>
                  <a:stretch>
                    <a:fillRect/>
                  </a:stretch>
                </pic:blipFill>
                <pic:spPr bwMode="auto">
                  <a:xfrm>
                    <a:off x="0" y="0"/>
                    <a:ext cx="1972310" cy="890270"/>
                  </a:xfrm>
                  <a:prstGeom prst="rect">
                    <a:avLst/>
                  </a:prstGeom>
                  <a:noFill/>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6"/>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z w:val="24"/>
      <w:szCs w:val="20"/>
      <w:lang w:val="en-US" w:eastAsia="zh-CN" w:bidi="hi-IN"/>
    </w:rPr>
  </w:style>
  <w:style w:type="paragraph" w:styleId="Heading1">
    <w:name w:val="heading 1"/>
    <w:basedOn w:val="Normal"/>
    <w:next w:val="Normal"/>
    <w:qFormat/>
    <w:pPr>
      <w:keepNext w:val="true"/>
      <w:widowControl w:val="false"/>
      <w:numPr>
        <w:ilvl w:val="0"/>
        <w:numId w:val="1"/>
      </w:numPr>
      <w:tabs>
        <w:tab w:val="clear" w:pos="720"/>
        <w:tab w:val="left" w:pos="7200" w:leader="none"/>
      </w:tabs>
      <w:outlineLvl w:val="0"/>
    </w:pPr>
    <w:rPr>
      <w:rFonts w:ascii="Letter Gothic" w:hAnsi="Letter Gothic" w:cs="Letter Gothic"/>
      <w:b/>
      <w:caps/>
      <w:color w:val="000000"/>
      <w:sz w:val="48"/>
      <w:lang w:eastAsia="en-US"/>
    </w:rPr>
  </w:style>
  <w:style w:type="character" w:styleId="WW8Num1z0">
    <w:name w:val="WW8Num1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ParaText">
    <w:name w:val="Para Text"/>
    <w:basedOn w:val="Normal"/>
    <w:qFormat/>
    <w:pPr>
      <w:spacing w:before="0" w:after="240"/>
    </w:pPr>
    <w:rPr>
      <w:lang w:eastAsia="en-US"/>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bmp"/><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PB Memo.dot</Template>
  <TotalTime>170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2000-10-24T15:05:00Z</dcterms:created>
  <dc:creator>PATTON BOGGS LLP</dc:creator>
  <dc:description/>
  <dc:language>en-CA</dc:language>
  <cp:lastModifiedBy>PATTON BOGGS LLP</cp:lastModifiedBy>
  <cp:lastPrinted>2000-11-06T09:16:00Z</cp:lastPrinted>
  <dcterms:modified xsi:type="dcterms:W3CDTF">2000-11-06T14:40:00Z</dcterms:modified>
  <cp:revision>47</cp:revision>
  <dc:subject/>
  <dc:title/>
</cp:coreProperties>
</file>