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rPr>
          <w:sz w:val="20"/>
        </w:rPr>
      </w:pPr>
      <w:bookmarkStart w:id="0" w:name="DocsID"/>
      <w:bookmarkEnd w:id="0"/>
      <w:r>
        <w:rPr>
          <w:color w:val="FF00FF"/>
          <w:sz w:val="20"/>
        </w:rPr>
        <w:t>GFE requested TOC for this doc – See last page used Heading styles Heading 1 -7</w:t>
      </w:r>
    </w:p>
    <w:p>
      <w:pPr>
        <w:pStyle w:val="Normal"/>
        <w:spacing w:before="0" w:after="120"/>
        <w:ind w:hanging="1440" w:start="1440" w:end="0"/>
        <w:rPr>
          <w:b/>
        </w:rPr>
      </w:pPr>
      <w:r>
        <w:rPr>
          <w:b/>
        </w:rPr>
        <w:t>TO:</w:t>
        <w:tab/>
      </w:r>
      <w:bookmarkStart w:id="1" w:name="cc"/>
      <w:r>
        <w:rPr>
          <w:b/>
        </w:rPr>
        <w:t>David Gilberg, Sullivan &amp; Cromwell</w:t>
      </w:r>
    </w:p>
    <w:p>
      <w:pPr>
        <w:pStyle w:val="Normal"/>
        <w:spacing w:before="0" w:after="120"/>
        <w:ind w:hanging="1440" w:start="1440" w:end="0"/>
        <w:rPr>
          <w:b/>
        </w:rPr>
      </w:pPr>
      <w:r>
        <w:rPr>
          <w:b/>
        </w:rPr>
        <w:t>CC:</w:t>
        <w:tab/>
        <w:t>Mark Taylor, Enron Capital &amp; Trade Resources Corp.</w:t>
      </w:r>
    </w:p>
    <w:p>
      <w:pPr>
        <w:pStyle w:val="Normal"/>
        <w:spacing w:before="0" w:after="120"/>
        <w:ind w:hanging="1440" w:start="1440" w:end="0"/>
        <w:rPr/>
      </w:pPr>
      <w:bookmarkStart w:id="2" w:name="from"/>
      <w:bookmarkEnd w:id="1"/>
      <w:bookmarkEnd w:id="2"/>
      <w:r>
        <w:rPr>
          <w:b/>
        </w:rPr>
        <w:t>FROM:</w:t>
      </w:r>
      <w:r>
        <w:rPr/>
        <w:tab/>
        <w:t xml:space="preserve">G. Frederick Erickson   /   </w:t>
      </w:r>
      <w:r>
        <w:rPr>
          <w:lang w:val="en-CA"/>
        </w:rPr>
        <w:t>(403) 266-9016</w:t>
      </w:r>
    </w:p>
    <w:p>
      <w:pPr>
        <w:pStyle w:val="Normal"/>
        <w:spacing w:before="0" w:after="120"/>
        <w:ind w:hanging="1440" w:start="1440" w:end="0"/>
        <w:rPr/>
      </w:pPr>
      <w:bookmarkStart w:id="3" w:name="from"/>
      <w:bookmarkStart w:id="4" w:name="re"/>
      <w:bookmarkEnd w:id="3"/>
      <w:bookmarkEnd w:id="4"/>
      <w:r>
        <w:rPr>
          <w:b/>
        </w:rPr>
        <w:t>RE:</w:t>
      </w:r>
      <w:r>
        <w:rPr/>
        <w:tab/>
        <w:t>ECT - Electronic Trading</w:t>
      </w:r>
    </w:p>
    <w:p>
      <w:pPr>
        <w:pStyle w:val="Normal"/>
        <w:pBdr>
          <w:bottom w:val="single" w:sz="6" w:space="10" w:color="000000"/>
        </w:pBdr>
        <w:spacing w:before="0" w:after="360"/>
        <w:ind w:hanging="1440" w:start="1440" w:end="0"/>
        <w:rPr/>
      </w:pPr>
      <w:bookmarkStart w:id="5" w:name="re"/>
      <w:bookmarkEnd w:id="5"/>
      <w:r>
        <w:rPr>
          <w:b/>
        </w:rPr>
        <w:t>DATE:</w:t>
      </w:r>
      <w:r>
        <w:rPr/>
        <w:tab/>
      </w:r>
      <w:bookmarkStart w:id="6" w:name="date"/>
      <w:r>
        <w:rPr/>
        <w:t>September 20</w:t>
      </w:r>
      <w:r>
        <w:rPr>
          <w:lang w:val="en-CA"/>
        </w:rPr>
        <w:t>, 1999</w:t>
      </w:r>
      <w:bookmarkEnd w:id="6"/>
    </w:p>
    <w:p>
      <w:pPr>
        <w:pStyle w:val="Heading1"/>
        <w:ind w:hanging="0" w:start="0"/>
        <w:rPr/>
      </w:pPr>
      <w:bookmarkStart w:id="7" w:name="__RefHeading___Toc462542578"/>
      <w:bookmarkEnd w:id="7"/>
      <w:r>
        <w:rPr/>
        <w:t>Background</w:t>
      </w:r>
    </w:p>
    <w:p>
      <w:pPr>
        <w:pStyle w:val="BodyText"/>
        <w:rPr/>
      </w:pPr>
      <w:r>
        <w:rPr/>
        <w:t>Enron Capital &amp; Trade Resources Corp. ("</w:t>
      </w:r>
      <w:r>
        <w:rPr>
          <w:b/>
        </w:rPr>
        <w:t>ECT</w:t>
      </w:r>
      <w:r>
        <w:rPr/>
        <w:t>") is proposing to establish, on its corporate website (separate from its public site), an electronic trading system (the "</w:t>
      </w:r>
      <w:r>
        <w:rPr>
          <w:b/>
        </w:rPr>
        <w:t>Online Trading System</w:t>
      </w:r>
      <w:r>
        <w:rPr/>
        <w:t>"), the principal characteristics of which we have been advised may be described as follows:</w:t>
      </w:r>
    </w:p>
    <w:p>
      <w:pPr>
        <w:pStyle w:val="Bullet"/>
        <w:rPr/>
      </w:pPr>
      <w:r>
        <w:rPr>
          <w:rStyle w:val="Prompt"/>
          <w:rFonts w:eastAsia="Wingdings" w:cs="Wingdings" w:ascii="Wingdings" w:hAnsi="Wingdings"/>
          <w:color w:val="auto"/>
        </w:rPr>
        <w:sym w:font="Wingdings" w:char="f06c"/>
      </w:r>
      <w:r>
        <w:rPr>
          <w:rStyle w:val="Prompt"/>
          <w:color w:val="auto"/>
        </w:rPr>
        <w:tab/>
      </w:r>
      <w:r>
        <w:rPr/>
        <w:t>ECT counterparties would be given trading passwords by ECT which allow their authorized traders to log on to the Online Trading System.  Access to the Online Trading System would be limited to ECT counterparties that have executed the documentation described below;</w:t>
      </w:r>
    </w:p>
    <w:p>
      <w:pPr>
        <w:pStyle w:val="Bullet"/>
        <w:rPr/>
      </w:pPr>
      <w:r>
        <w:rPr>
          <w:rFonts w:eastAsia="Wingdings" w:cs="Wingdings" w:ascii="Wingdings" w:hAnsi="Wingdings"/>
        </w:rPr>
        <w:sym w:font="Wingdings" w:char="f06c"/>
      </w:r>
      <w:r>
        <w:rPr/>
        <w:tab/>
        <w:t>the Online Trading System would post ECT's bid-ask prices for various commodities at various locations and dates of delivery;</w:t>
      </w:r>
    </w:p>
    <w:p>
      <w:pPr>
        <w:pStyle w:val="BodyText"/>
        <w:ind w:hanging="720" w:start="1440" w:end="0"/>
        <w:rPr/>
      </w:pPr>
      <w:r>
        <w:rPr>
          <w:rFonts w:eastAsia="Wingdings" w:cs="Wingdings" w:ascii="Wingdings" w:hAnsi="Wingdings"/>
        </w:rPr>
        <w:sym w:font="Wingdings" w:char="f06c"/>
      </w:r>
      <w:r>
        <w:rPr/>
        <w:tab/>
        <w:t>the counterparty would be entitled to place orders for the various products offered by ECT (</w:t>
      </w:r>
      <w:r>
        <w:rPr>
          <w:i/>
        </w:rPr>
        <w:t>ie.</w:t>
      </w:r>
      <w:r>
        <w:rPr/>
        <w:t xml:space="preserve">, caps, collars, floors, swaps and other commodity derivative products) online through the Online Trading System. Plain vanilla swaps, caps, collars, floors, swaptions </w:t>
      </w:r>
      <w:r>
        <w:rPr>
          <w:i/>
        </w:rPr>
        <w:t>etc.</w:t>
      </w:r>
      <w:r>
        <w:rPr/>
        <w:t xml:space="preserve"> could be entered into online.  The products may include an FX component.  Transactions requiring physical delivery may also be listed.  Structured or customized transactions would presumably still be negotiated through representatives.  We have also been advised that ECT does not enter into NYMEX or other exchange-traded futures contracts on behalf of counterparties;</w:t>
      </w:r>
    </w:p>
    <w:p>
      <w:pPr>
        <w:pStyle w:val="BodyText"/>
        <w:ind w:hanging="720" w:start="1440" w:end="0"/>
        <w:rPr/>
      </w:pPr>
      <w:r>
        <w:rPr>
          <w:rFonts w:eastAsia="Wingdings" w:cs="Wingdings" w:ascii="Wingdings" w:hAnsi="Wingdings"/>
        </w:rPr>
        <w:sym w:font="Wingdings" w:char="f06c"/>
      </w:r>
      <w:r>
        <w:rPr/>
        <w:tab/>
        <w:t>if the order placed by the counterparty is within the counterparty's pre-authorized credit and trading authorities, the order would be accepted by ECT without any human intervention on the part of ECT.   Apparently ECT is considering implementing a double-click system to deal with price movements which may occur between the time the counterparty initially places its order and the time ECT receives the order, whereby the counterparty would have to confirm the transaction (including, if applicable, the revised pricing) following the counterparty's initial transmission of its order to ECT;</w:t>
      </w:r>
    </w:p>
    <w:p>
      <w:pPr>
        <w:pStyle w:val="Bullet"/>
        <w:rPr/>
      </w:pPr>
      <w:r>
        <w:rPr>
          <w:rFonts w:eastAsia="Wingdings" w:cs="Wingdings" w:ascii="Wingdings" w:hAnsi="Wingdings"/>
        </w:rPr>
        <w:sym w:font="Wingdings" w:char="f06c"/>
      </w:r>
      <w:r>
        <w:rPr/>
        <w:tab/>
        <w:t>the order, once accepted by ECT, would constitute a Transaction under a master agreement between ECT and the counterparty (or, if no master agreement is in place between such parties, under the general terms and conditions hereinafter described), and a paper Transaction confirmation form would be generated for manual execution by both parties, although it is intended that the parties be contractually bound the moment the Transaction is concluded electronically through the Online Trading System;</w:t>
      </w:r>
    </w:p>
    <w:p>
      <w:pPr>
        <w:pStyle w:val="Bullet"/>
        <w:rPr/>
      </w:pPr>
      <w:r>
        <w:rPr>
          <w:rFonts w:eastAsia="Wingdings" w:cs="Wingdings" w:ascii="Wingdings" w:hAnsi="Wingdings"/>
        </w:rPr>
        <w:sym w:font="Wingdings" w:char="f06c"/>
      </w:r>
      <w:r>
        <w:rPr/>
        <w:tab/>
        <w:t>as a condition of gaining access to the Online Trading System, the counterparty will be required to manually sign a one page document entitled Password Application (the "</w:t>
      </w:r>
      <w:r>
        <w:rPr>
          <w:b/>
        </w:rPr>
        <w:t>PA</w:t>
      </w:r>
      <w:r>
        <w:rPr/>
        <w:t>") and execute electronically, by clicking where indicated, a document entitled Electronic Trading Agreement (the "</w:t>
      </w:r>
      <w:r>
        <w:rPr>
          <w:b/>
        </w:rPr>
        <w:t>ETA</w:t>
      </w:r>
      <w:r>
        <w:rPr/>
        <w:t>") which will be posted on  the Online Trading System.  Pursuant to the PA, which would be governed by New York law in respect of North American counterparties, the counterparty agrees to be bound by the terms of the ETA and any Transactions entered into online through clicking as directed, with such documents being deemed to have been in writing and signed by the counterparty.  The ETA, also to be governed by New York law in respect of North American counterparties, provides some additional procedural and legal safeguards regarding the counterparty's use of the Online Trading System, including representations, indemnities and disclaimers; and</w:t>
      </w:r>
    </w:p>
    <w:p>
      <w:pPr>
        <w:pStyle w:val="Bullet"/>
        <w:rPr/>
      </w:pPr>
      <w:r>
        <w:rPr>
          <w:rFonts w:eastAsia="Wingdings" w:cs="Wingdings" w:ascii="Wingdings" w:hAnsi="Wingdings"/>
        </w:rPr>
        <w:sym w:font="Wingdings" w:char="f06c"/>
      </w:r>
      <w:r>
        <w:rPr/>
        <w:tab/>
        <w:t>in many cases, a paper master agreement would still be executed and in force between ECT and the counterparty.  We understand that ECT may allow certain counterparties who have not executed master agreements with ECT access to the Online Trading System.  Any Transactions entered into by such counterparties with ECT would be stated to be subject to the general terms and conditions that are to be posted on the website and to which such counterparties would agree to be bound by clicking where indicated.</w:t>
      </w:r>
    </w:p>
    <w:p>
      <w:pPr>
        <w:pStyle w:val="BodyText"/>
        <w:rPr/>
      </w:pPr>
      <w:r>
        <w:rPr/>
        <w:t xml:space="preserve">Perhaps the best description of what ECT intends with respect to its Online Trading System is that ECT will simply do online what it presently does via telephone, fax or in person, </w:t>
      </w:r>
      <w:r>
        <w:rPr>
          <w:i/>
        </w:rPr>
        <w:t>ie.,</w:t>
      </w:r>
      <w:r>
        <w:rPr/>
        <w:t xml:space="preserve"> enter into commodity forward and derivative transactions (both physical and cash settled).  All that is different is the means of communication and execution in respect of those transactions.  </w:t>
      </w:r>
    </w:p>
    <w:p>
      <w:pPr>
        <w:pStyle w:val="BodyText"/>
        <w:rPr/>
      </w:pPr>
      <w:r>
        <w:rPr/>
        <w:t>ECT has requested that we review the legal and regulatory implications that may arise in respect of offering access to the Online Trading System to ECT's  Canadian counterparties.  At present, ECT has requested that we restrict this review to the laws of Alberta and Ontario.</w:t>
      </w:r>
    </w:p>
    <w:p>
      <w:pPr>
        <w:pStyle w:val="Heading1"/>
        <w:ind w:hanging="0" w:start="0"/>
        <w:rPr/>
      </w:pPr>
      <w:bookmarkStart w:id="8" w:name="__RefHeading___Toc462542579"/>
      <w:bookmarkEnd w:id="8"/>
      <w:r>
        <w:rPr/>
        <w:t>Summary of Issues and Conclusions</w:t>
      </w:r>
    </w:p>
    <w:p>
      <w:pPr>
        <w:pStyle w:val="BodyText"/>
        <w:rPr/>
      </w:pPr>
      <w:r>
        <w:rPr/>
        <w:t>The following have been considered in this regard:</w:t>
      </w:r>
    </w:p>
    <w:p>
      <w:pPr>
        <w:pStyle w:val="Normal"/>
        <w:ind w:hanging="720" w:start="720" w:end="0"/>
        <w:rPr/>
      </w:pPr>
      <w:r>
        <w:rPr>
          <w:b/>
        </w:rPr>
        <w:t>1.</w:t>
      </w:r>
      <w:r>
        <w:rPr>
          <w:i/>
        </w:rPr>
        <w:tab/>
      </w:r>
      <w:r>
        <w:rPr>
          <w:b/>
          <w:i/>
        </w:rPr>
        <w:t xml:space="preserve">Contract Enforcement/Statute of Frauds </w:t>
      </w:r>
      <w:r>
        <w:rPr>
          <w:b/>
        </w:rPr>
        <w:t>-  where a Transaction entered into by ECT with a counterparty through the Online Trading System has not been reduced to writing and signed by the counterparty, the following issues may arise:</w:t>
      </w:r>
    </w:p>
    <w:p>
      <w:pPr>
        <w:pStyle w:val="BodyText"/>
        <w:ind w:hanging="720" w:start="1440" w:end="0"/>
        <w:rPr>
          <w:b/>
        </w:rPr>
      </w:pPr>
      <w:r>
        <w:rPr>
          <w:b/>
        </w:rPr>
        <w:t>(a)</w:t>
        <w:tab/>
        <w:t>Are contracts formed through electronic communications enforceable under Alberta or Ontario law?</w:t>
      </w:r>
    </w:p>
    <w:p>
      <w:pPr>
        <w:pStyle w:val="Normal"/>
        <w:ind w:start="1440" w:end="0"/>
        <w:rPr/>
      </w:pPr>
      <w:r>
        <w:rPr/>
        <w:t>Although there is little case law on point, a contract formed through electronic communications that otherwise satisfies the requirements for enforceability should be enforceable under Alberta and Ontario law.  In addition, hard copy printouts of the electronic records respecting such communications will be admissible as evidence of such contract, with the weight of such evidence being a function of the reliability and integrity of the computer system on which such records are created and stored.</w:t>
      </w:r>
    </w:p>
    <w:p>
      <w:pPr>
        <w:pStyle w:val="BodyText"/>
        <w:ind w:hanging="720" w:start="1440" w:end="0"/>
        <w:rPr/>
      </w:pPr>
      <w:r>
        <w:rPr>
          <w:b/>
        </w:rPr>
        <w:t>(b)</w:t>
        <w:tab/>
        <w:t xml:space="preserve">Where the Transaction is one which falls within the scope of the </w:t>
      </w:r>
      <w:r>
        <w:rPr>
          <w:b/>
          <w:i/>
        </w:rPr>
        <w:t>Statute of Frauds</w:t>
      </w:r>
      <w:r>
        <w:rPr>
          <w:b/>
        </w:rPr>
        <w:t xml:space="preserve"> in force in Alberta, are the electronic records (and printouts thereof) sufficient to satisfy the writing requirements under such </w:t>
      </w:r>
      <w:r>
        <w:rPr>
          <w:b/>
          <w:i/>
        </w:rPr>
        <w:t>Statute</w:t>
      </w:r>
      <w:r>
        <w:rPr>
          <w:b/>
        </w:rPr>
        <w:t>, and if not, does the PA satisfy or otherwise effect a contracting out of such requirements in respect of such Transactions?</w:t>
      </w:r>
    </w:p>
    <w:p>
      <w:pPr>
        <w:pStyle w:val="Normal"/>
        <w:ind w:start="1440" w:end="0"/>
        <w:rPr/>
      </w:pPr>
      <w:r>
        <w:rPr/>
        <w:t>This is only an issue in Alberta</w:t>
      </w:r>
      <w:r>
        <w:rPr>
          <w:i/>
        </w:rPr>
        <w:t>.</w:t>
      </w:r>
      <w:r>
        <w:rPr/>
        <w:t xml:space="preserve">  Electronic records (and printouts thereof) are unlikely to have the permanence required to satisfy the statutory writing requirements, unless the printout (containing all essential terms) has been signed by the party against whom enforcement is sought.  However, there is a reasonable possibility that an Alberta court will enforce the terms of the PA, pursuant to which the parties basically contract out of the protections provided by the </w:t>
      </w:r>
      <w:r>
        <w:rPr>
          <w:i/>
        </w:rPr>
        <w:t>Statute</w:t>
      </w:r>
      <w:r>
        <w:rPr/>
        <w:t xml:space="preserve"> by deeming Transactions entered into through the Online Trading System to have been in writing and signed by the counterparty</w:t>
      </w:r>
      <w:r>
        <w:rPr>
          <w:i/>
        </w:rPr>
        <w:t xml:space="preserve">. </w:t>
      </w:r>
      <w:r>
        <w:rPr/>
        <w:t xml:space="preserve"> There is, however, considerable uncertainty in this regard given the lack of jurisprudence on point.  In any event, we would recommend that ECT consider providing in its master agreements (or general terms and conditions posted on the Online Trading System), as the choice of law for such agreement, the laws of a jurisdiction where there are no applicable statutory writing requirements.</w:t>
      </w:r>
    </w:p>
    <w:p>
      <w:pPr>
        <w:pStyle w:val="Normal"/>
        <w:ind w:hanging="720" w:start="720" w:end="0"/>
        <w:rPr/>
      </w:pPr>
      <w:r>
        <w:rPr/>
        <w:t>2.</w:t>
        <w:tab/>
      </w:r>
      <w:r>
        <w:rPr>
          <w:b/>
          <w:i/>
        </w:rPr>
        <w:t>Securities Regulation</w:t>
      </w:r>
      <w:r>
        <w:rPr>
          <w:b/>
        </w:rPr>
        <w:t xml:space="preserve"> - there is considerable debate in Canada as to whether certain types of OTC derivatives are "securities"  and subject to regulation as such.  The following issues have been considered in this regard:</w:t>
      </w:r>
    </w:p>
    <w:p>
      <w:pPr>
        <w:pStyle w:val="Normal"/>
        <w:ind w:hanging="720" w:start="1440" w:end="0"/>
        <w:rPr>
          <w:b/>
        </w:rPr>
      </w:pPr>
      <w:r>
        <w:rPr>
          <w:b/>
        </w:rPr>
        <w:t>(a)</w:t>
        <w:tab/>
        <w:t>Does the manner in which the various products to be offered by ECT through the Online Trading System increase the likelihood that such products would be characterized as securities and regulated as such?</w:t>
      </w:r>
    </w:p>
    <w:p>
      <w:pPr>
        <w:pStyle w:val="Normal"/>
        <w:ind w:start="1440" w:end="0"/>
        <w:rPr/>
      </w:pPr>
      <w:r>
        <w:rPr/>
        <w:t xml:space="preserve">In Alberta, recent amendments to the Alberta </w:t>
      </w:r>
      <w:r>
        <w:rPr>
          <w:i/>
        </w:rPr>
        <w:t>Securities Act</w:t>
      </w:r>
      <w:r>
        <w:rPr/>
        <w:t xml:space="preserve"> have rendered the debate moot -  as of June 1, 1999 most if not all OTC derivatives and commodity contracts are "futures contracts" and therefore "securities" under the </w:t>
      </w:r>
      <w:r>
        <w:rPr>
          <w:i/>
        </w:rPr>
        <w:t>Securities Act</w:t>
      </w:r>
      <w:r>
        <w:rPr/>
        <w:t xml:space="preserve"> and, accordingly, subject to prospectus and registration requirements under that Act  unless exempted therefrom.  In that regard, the Alberta Securities Commission issued an industry-wide blanket order on July 29, 1999 (effective as of June 1, 1999) which would exempt most OTC derivatives and commodity contracts from the application of the </w:t>
      </w:r>
      <w:r>
        <w:rPr>
          <w:i/>
        </w:rPr>
        <w:t>Securities Act</w:t>
      </w:r>
      <w:r>
        <w:rPr/>
        <w:t xml:space="preserve"> provided they are entered into between qualified parties (as defined in the order), including commercial users.  This order is intended to remain in effect until the Alberta Securities Commission has had an opportunity to implement a more formal policy regarding the regulation of OTC derivatives.  At present, however, the products and instruments offered by ECT through the Online Trading System should, by reason of the blanket order, be exempt from regulation under the </w:t>
      </w:r>
      <w:r>
        <w:rPr>
          <w:i/>
        </w:rPr>
        <w:t>Securities Act</w:t>
      </w:r>
      <w:r>
        <w:rPr/>
        <w:t>.</w:t>
      </w:r>
    </w:p>
    <w:p>
      <w:pPr>
        <w:pStyle w:val="Normal"/>
        <w:ind w:start="1440" w:end="0"/>
        <w:rPr/>
      </w:pPr>
      <w:r>
        <w:rPr/>
        <w:t xml:space="preserve">In Ontario, the Ontario Securities Commission has issued a Proposed Rule regarding OTC derivatives that would, if made effective, exempt a large portion of the non-retail OTC derivatives market from the prospectus and registration requirements in the Ontario </w:t>
      </w:r>
      <w:r>
        <w:rPr>
          <w:i/>
        </w:rPr>
        <w:t>Securities Act</w:t>
      </w:r>
      <w:r>
        <w:rPr/>
        <w:t xml:space="preserve"> and in certain cases from the purview of the Act altogether.  There is, however, some question as to whether the Proposed Rule will be made effective.  If not, the question that arises is whether the OTC products to be offered by ECT through the Online Trading System are securities and, therefore, subject to regulation as such.   In that regard, while there are certain characteristics respecting the manner in which such OTC products are to be offered through the Online Trading System which may lead a court towards characterizing them as securities (particularly the apparent standardization/lack of customization of such products), we are of the view that such characterization is not appropriate.  A firm conclusion in this regard is difficult, given the paucity of jurisprudence on point.</w:t>
      </w:r>
    </w:p>
    <w:p>
      <w:pPr>
        <w:pStyle w:val="Normal"/>
        <w:ind w:start="1440" w:end="0"/>
        <w:rPr/>
      </w:pPr>
      <w:r>
        <w:rPr/>
        <w:t>If the Proposed Rule is made effective by the Ontario Securities Commission in its present form, there is some uncertainty as to whether the products to be offered by ECT through the Online Trading System would constitute "OTC derivatives" for purposes of the Proposed Rule, given the apparent standardization (lack of customization) respecting such products.  If not, ECT would not be able to avail itself of the exemptions to be provided by the Proposed Rule, and would be left with the issue of whether such products constitute securities, as described above.</w:t>
      </w:r>
    </w:p>
    <w:p>
      <w:pPr>
        <w:pStyle w:val="Normal"/>
        <w:ind w:hanging="720" w:start="1440" w:end="0"/>
        <w:rPr/>
      </w:pPr>
      <w:r>
        <w:rPr>
          <w:b/>
        </w:rPr>
        <w:t>(b)</w:t>
        <w:tab/>
        <w:t xml:space="preserve">Is the Online Trading System an "exchange" and subject to regulation as such under the </w:t>
      </w:r>
      <w:r>
        <w:rPr>
          <w:b/>
          <w:i/>
        </w:rPr>
        <w:t>Securities Act</w:t>
      </w:r>
      <w:r>
        <w:rPr>
          <w:b/>
        </w:rPr>
        <w:t xml:space="preserve"> of either Alberta or Ontario?</w:t>
      </w:r>
    </w:p>
    <w:p>
      <w:pPr>
        <w:pStyle w:val="Normal"/>
        <w:ind w:start="1440" w:end="0"/>
        <w:rPr/>
      </w:pPr>
      <w:r>
        <w:rPr/>
        <w:t>The Acts of both provinces prohibit the operation of an exchange unless recognized by the applicable securities commission.  The issue only arises if the OTC products to be offered by ECT through the Online Trading System constitute "securities" under the applicable legislation.  Once again, there is no Canadian jurisprudence on point.  However, even if such products are securities, it would be difficult to characterize the Online Trading System as an "exchange", which is typically viewed as a centralized marketplace putting multiple buyers and sellers together.   In the case of the Online Trading System, there are not multiple sellers, as ECT is party to every Transaction entered into through the system.</w:t>
      </w:r>
    </w:p>
    <w:p>
      <w:pPr>
        <w:pStyle w:val="Normal"/>
        <w:ind w:hanging="720" w:start="720" w:end="0"/>
        <w:rPr/>
      </w:pPr>
      <w:r>
        <w:rPr/>
        <w:t>3.</w:t>
        <w:tab/>
      </w:r>
      <w:r>
        <w:rPr>
          <w:b/>
          <w:i/>
        </w:rPr>
        <w:t>Doing Business in a Foreign Jurisdiction</w:t>
      </w:r>
      <w:r>
        <w:rPr>
          <w:b/>
        </w:rPr>
        <w:t xml:space="preserve"> - if the </w:t>
      </w:r>
      <w:r>
        <w:rPr>
          <w:b/>
          <w:i/>
        </w:rPr>
        <w:t>situs</w:t>
      </w:r>
      <w:r>
        <w:rPr>
          <w:b/>
        </w:rPr>
        <w:t xml:space="preserve"> of the server on which the Online Trading System resides is outside of Canada, an issue arises as to whether the ECT Canadian affiliate and the Canadian counterparties with whom the ECT affiliate transacts business are carrying on business in the jurisdiction where the server is located.</w:t>
      </w:r>
    </w:p>
    <w:p>
      <w:pPr>
        <w:pStyle w:val="Definitions"/>
        <w:rPr/>
      </w:pPr>
      <w:r>
        <w:rPr/>
        <w:t>This question will be determined by the laws of the jurisdiction where the server is situated.  Tax, registration and other issues may arise if the ECT Canadian affiliate and its Canadian counterparties are found to be carrying on business in such jurisdiction.  We have not addressed those issues in this memorandum.</w:t>
      </w:r>
    </w:p>
    <w:p>
      <w:pPr>
        <w:pStyle w:val="Heading1"/>
        <w:ind w:hanging="0" w:start="0"/>
        <w:rPr/>
      </w:pPr>
      <w:bookmarkStart w:id="9" w:name="__RefHeading___Toc462542580"/>
      <w:bookmarkEnd w:id="9"/>
      <w:r>
        <w:rPr/>
        <w:t>Qualifications</w:t>
      </w:r>
    </w:p>
    <w:p>
      <w:pPr>
        <w:pStyle w:val="BodyText"/>
        <w:rPr/>
      </w:pPr>
      <w:r>
        <w:rPr/>
        <w:t>We have based our description of the Online Trading System, the manner in which it is to function and the nature of the products to be offered thereon on an Enron summary slide presentation provided us by Sullivan &amp; Cromwell and our review of Sullivan &amp; Cromwell's draft memorandum of August 6, 1999 on this subject (the "</w:t>
      </w:r>
      <w:r>
        <w:rPr>
          <w:b/>
        </w:rPr>
        <w:t>S&amp;C Memorandum</w:t>
      </w:r>
      <w:r>
        <w:rPr/>
        <w:t>"), as well as our discussions with David Gilberg at Sullivan &amp; Cromwell and Mark Taylor at ECT.  ECT should verify that our description, as set forth above and as referenced throughout this memorandum, is accurate.  The validity of our conclusions may be put in doubt if our understanding of the factual context is not accurate.</w:t>
      </w:r>
    </w:p>
    <w:p>
      <w:pPr>
        <w:pStyle w:val="BodyText"/>
        <w:rPr/>
      </w:pPr>
      <w:r>
        <w:rPr/>
        <w:t xml:space="preserve">We have limited our discussion to an analysis of those issues that arise by reason of ECT's offering of derivative products through the Online Trading System, and have not addressed any issues that arise respecting the enforceability generally of derivatives transactions under Alberta or Ontario law, regardless of the manner offered (such as capacity issues or the gaming issue under Alberta law). </w:t>
      </w:r>
    </w:p>
    <w:p>
      <w:pPr>
        <w:pStyle w:val="BodyText"/>
        <w:rPr/>
      </w:pPr>
      <w:r>
        <w:rPr/>
        <w:t>Except as expressly set forth herein, we do not opine herein on the enforceability under Alberta or Ontario law of the various waivers, indemnities, limitations of liability and other provisions contained in the drafts of the PA and ETA provided us by Sullivan &amp; Cromwell.  We would be pleased to extend our memorandum to address these issues if requested.</w:t>
      </w:r>
    </w:p>
    <w:p>
      <w:pPr>
        <w:pStyle w:val="Heading1"/>
        <w:ind w:hanging="0" w:start="0"/>
        <w:rPr/>
      </w:pPr>
      <w:bookmarkStart w:id="10" w:name="__RefHeading___Toc462542581"/>
      <w:bookmarkEnd w:id="10"/>
      <w:r>
        <w:rPr/>
        <w:t>Analysis</w:t>
      </w:r>
    </w:p>
    <w:p>
      <w:pPr>
        <w:pStyle w:val="Heading2"/>
        <w:ind w:hanging="0" w:start="0"/>
        <w:rPr/>
      </w:pPr>
      <w:bookmarkStart w:id="11" w:name="__RefHeading___Toc462542582"/>
      <w:bookmarkEnd w:id="11"/>
      <w:r>
        <w:rPr/>
        <w:t>Contract Enforcement/Statute of Frauds</w:t>
      </w:r>
    </w:p>
    <w:p>
      <w:pPr>
        <w:pStyle w:val="BodyText"/>
        <w:rPr/>
      </w:pPr>
      <w:r>
        <w:rPr/>
        <w:t>We understand that although paper confirmations of Transactions entered into through the Online Trading System will still be generated and circulated for execution, it is intended that the parties will be bound by the Transaction upon receipt electronically by ECT of the counterparty's acceptance of the terms of the order initially placed by the counterparty as confirmed by ECT (including any revised pricing), which acceptance would be communicated by the counterparty clicking as directed.</w:t>
      </w:r>
    </w:p>
    <w:p>
      <w:pPr>
        <w:pStyle w:val="BodyText"/>
        <w:rPr/>
      </w:pPr>
      <w:r>
        <w:rPr/>
        <w:t>The following issues may arise with respect to the enforceability of such Transactions in circumstances where a paper confirmation is not generated or is generated but not signed by the party against whom enforcement is sought:</w:t>
      </w:r>
    </w:p>
    <w:p>
      <w:pPr>
        <w:pStyle w:val="BodyText"/>
        <w:ind w:hanging="720" w:start="1440" w:end="0"/>
        <w:rPr/>
      </w:pPr>
      <w:r>
        <w:rPr/>
        <w:t>(a)</w:t>
        <w:tab/>
        <w:t>are electronically transmitted communications between the parties that have not been reduced to writing and signed by the parties admissible in a court proceeding to prove an agreement between the parties, and the terms thereof?</w:t>
      </w:r>
    </w:p>
    <w:p>
      <w:pPr>
        <w:pStyle w:val="BodyText"/>
        <w:ind w:hanging="720" w:start="1440" w:end="0"/>
        <w:rPr/>
      </w:pPr>
      <w:r>
        <w:rPr/>
        <w:t>(b)</w:t>
        <w:tab/>
        <w:t xml:space="preserve">where the Transaction is one which falls within the </w:t>
      </w:r>
      <w:r>
        <w:rPr>
          <w:i/>
        </w:rPr>
        <w:t xml:space="preserve">Statute of Frauds </w:t>
      </w:r>
      <w:r>
        <w:rPr/>
        <w:t>in force in Alberta (</w:t>
      </w:r>
      <w:r>
        <w:rPr>
          <w:i/>
        </w:rPr>
        <w:t>ie.,</w:t>
      </w:r>
      <w:r>
        <w:rPr/>
        <w:t xml:space="preserve"> where the term may extend beyond one year), are the electronic records that recorded the electronic communications sufficient to satisfy the writing requirements under the </w:t>
      </w:r>
      <w:r>
        <w:rPr>
          <w:i/>
        </w:rPr>
        <w:t>Statute of Frauds</w:t>
      </w:r>
      <w:r>
        <w:rPr/>
        <w:t xml:space="preserve">, and if not, is the PA, that is to be manually signed by both parties and pursuant to which the parties agree to be bound by their "clicks" as if such constituted writing, effective to satisfy or otherwise contract out of the writing requirements imposed by the </w:t>
      </w:r>
      <w:r>
        <w:rPr>
          <w:i/>
        </w:rPr>
        <w:t>Statute</w:t>
      </w:r>
      <w:r>
        <w:rPr/>
        <w:t>?</w:t>
      </w:r>
    </w:p>
    <w:p>
      <w:pPr>
        <w:pStyle w:val="BodyText"/>
        <w:rPr/>
      </w:pPr>
      <w:r>
        <w:rPr/>
        <w:t>These issues are not unique to online concluded Transactions; similar issues arise within the context of telephone concluded Transactions.  The issues also arise in the context of the ETA as well as Transactions with those counterparties who have not manually executed a master agreement with ECT but who have agreed to the general terms and conditions posted on the Online Trading System.</w:t>
      </w:r>
    </w:p>
    <w:p>
      <w:pPr>
        <w:pStyle w:val="Heading3"/>
        <w:ind w:hanging="0" w:start="0"/>
        <w:rPr/>
      </w:pPr>
      <w:bookmarkStart w:id="12" w:name="__RefHeading___Toc462542583"/>
      <w:bookmarkEnd w:id="12"/>
      <w:r>
        <w:rPr/>
        <w:t>Contract Enforcement</w:t>
      </w:r>
    </w:p>
    <w:p>
      <w:pPr>
        <w:pStyle w:val="BodyText"/>
        <w:rPr/>
      </w:pPr>
      <w:r>
        <w:rPr/>
        <w:t>Basic contract principles would not prohibit a contract formed through an exchange of electronic communications (an "</w:t>
      </w:r>
      <w:r>
        <w:rPr>
          <w:b/>
        </w:rPr>
        <w:t>electronic contract</w:t>
      </w:r>
      <w:r>
        <w:rPr/>
        <w:t xml:space="preserve">") from being valid as long as the other requirements for an enforceable contract, such as capacity, offer and acceptance, consideration and certainty of terms, are met.  The major issue regarding the enforcement of electronic contracts is that of evidencing the contract in court if the contract has not been reduced to writing and signed by the parties and it is necessary to prove the terms allegedly agreed upon. </w:t>
      </w:r>
    </w:p>
    <w:p>
      <w:pPr>
        <w:pStyle w:val="Heading4"/>
        <w:ind w:hanging="0" w:start="0"/>
        <w:rPr/>
      </w:pPr>
      <w:bookmarkStart w:id="13" w:name="__RefHeading___Toc462542584"/>
      <w:bookmarkEnd w:id="13"/>
      <w:r>
        <w:rPr/>
        <w:t>Legislation</w:t>
      </w:r>
    </w:p>
    <w:p>
      <w:pPr>
        <w:pStyle w:val="BodyText"/>
        <w:rPr/>
      </w:pPr>
      <w:r>
        <w:rPr/>
        <w:t xml:space="preserve">Given that the enforceability of a contract would be a civil matter, the </w:t>
      </w:r>
      <w:r>
        <w:rPr>
          <w:i/>
        </w:rPr>
        <w:t>Alberta Evidence Act</w:t>
      </w:r>
      <w:r>
        <w:rPr/>
        <w:t xml:space="preserve"> (the "</w:t>
      </w:r>
      <w:r>
        <w:rPr>
          <w:b/>
        </w:rPr>
        <w:t>AEA</w:t>
      </w:r>
      <w:r>
        <w:rPr/>
        <w:t xml:space="preserve">") and the Ontario </w:t>
      </w:r>
      <w:r>
        <w:rPr>
          <w:i/>
        </w:rPr>
        <w:t xml:space="preserve">Evidence Act </w:t>
      </w:r>
      <w:r>
        <w:rPr/>
        <w:t>("</w:t>
      </w:r>
      <w:r>
        <w:rPr>
          <w:b/>
        </w:rPr>
        <w:t>OEA</w:t>
      </w:r>
      <w:r>
        <w:rPr/>
        <w:t xml:space="preserve">"), together with applicable jurisprudence, would apply to the admissibility of evidence in court proceedings in Alberta and Ontario, respectively. </w:t>
      </w:r>
    </w:p>
    <w:p>
      <w:pPr>
        <w:pStyle w:val="BodyText"/>
        <w:rPr/>
      </w:pPr>
      <w:r>
        <w:rPr/>
        <w:t>Under Section 35(2) of the OEA,  any writing or record (the latter being defined as including "any information that is recorded or stored by means of any device") of any transaction, if made in the usual and ordinary course of business at the time of such transaction,  would be admissible into evidence.  This should be broad enough to admit into evidence a record of an electronic contract.</w:t>
      </w:r>
    </w:p>
    <w:p>
      <w:pPr>
        <w:pStyle w:val="BodyText"/>
        <w:rPr/>
      </w:pPr>
      <w:r>
        <w:rPr/>
        <w:t>The AEA does not, however, expressly reference electronic records or documents.  The AEA only refers to written documents and copies thereof insofar as they relate to bank records (Section 42), public documents (Section 39) and governmental documents (Sections 29 and 30).  However, based on the jurisprudence discussed below, an Alberta court would still likely admit into evidence a record of an electronic contract.</w:t>
      </w:r>
    </w:p>
    <w:p>
      <w:pPr>
        <w:pStyle w:val="Heading4"/>
        <w:ind w:hanging="0" w:start="0"/>
        <w:rPr/>
      </w:pPr>
      <w:bookmarkStart w:id="14" w:name="__RefHeading___Toc462542585"/>
      <w:r>
        <w:rPr/>
        <w:t>Judicial Consideration</w:t>
      </w:r>
      <w:bookmarkEnd w:id="14"/>
      <w:r>
        <w:rPr/>
        <w:t xml:space="preserve"> </w:t>
      </w:r>
    </w:p>
    <w:p>
      <w:pPr>
        <w:pStyle w:val="BodyText"/>
        <w:rPr/>
      </w:pPr>
      <w:r>
        <w:rPr/>
        <w:t xml:space="preserve">Although an original signed written contract documented on paper containing all the formal requirements for contracts would be more efficient in proving the terms of a contract, there does not appear to be any express authority prohibiting the admission in court proceedings of documents generated from electronic records evidencing electronic contracts.   No Canadian common law court has expressly decided whether a contract can be created completely through electronic means, such as by email or facsimile transmissions.  However, the courts appear to be committed to the idea of keeping up with technological advances.  In </w:t>
      </w:r>
      <w:r>
        <w:rPr>
          <w:i/>
        </w:rPr>
        <w:t>Beatty</w:t>
      </w:r>
      <w:r>
        <w:rPr/>
        <w:t xml:space="preserve"> v. </w:t>
      </w:r>
      <w:r>
        <w:rPr>
          <w:i/>
        </w:rPr>
        <w:t>First Exploration Fund 1987 and Company, Limited Partnership</w:t>
      </w:r>
      <w:r>
        <w:rPr>
          <w:rStyle w:val="FootnoteCharacters"/>
          <w:rStyle w:val="FootnoteReference"/>
          <w:i/>
        </w:rPr>
        <w:footnoteReference w:id="2"/>
      </w:r>
      <w:r>
        <w:rPr>
          <w:i/>
        </w:rPr>
        <w:t xml:space="preserve">, </w:t>
      </w:r>
      <w:r>
        <w:rPr/>
        <w:t>the British Columbia Supreme Court, in considering whether a facsimile of an executed proxy satisfied the requirements of the partnership agreement that the proxy be "written" and "signed", noted as follows:</w:t>
      </w:r>
    </w:p>
    <w:p>
      <w:pPr>
        <w:pStyle w:val="Normal"/>
        <w:ind w:start="1440" w:end="1440"/>
        <w:rPr/>
      </w:pPr>
      <w:r>
        <w:rPr/>
        <w:t>The conduct of business has for many years been enhanced by technological improvements in communication.  Those improvements should not be rejected automatically when attempts are made to apply them to matters involving the law.  They should be considered and, unless there are compelling reasons for rejection, they should be encouraged, applied and approved.</w:t>
      </w:r>
    </w:p>
    <w:p>
      <w:pPr>
        <w:pStyle w:val="BodyText"/>
        <w:rPr/>
      </w:pPr>
      <w:r>
        <w:rPr>
          <w:i/>
        </w:rPr>
        <w:t>Chitty on Contracts</w:t>
      </w:r>
      <w:r>
        <w:rPr/>
        <w:t xml:space="preserve"> submits that "an agreement which is concluded by electronic means, the terms of which are recorded electronically in a computer or on disc and which are capable of being retrieved and converted into readable form, should be regarded as a written agreement for the purposes of the application of rules of construction and the admissibility of extrinsic evidence"</w:t>
      </w:r>
      <w:r>
        <w:rPr>
          <w:rStyle w:val="FootnoteCharacters"/>
          <w:rStyle w:val="FootnoteReference"/>
        </w:rPr>
        <w:footnoteReference w:id="3"/>
      </w:r>
      <w:r>
        <w:rPr/>
        <w:t>.  Chitty then references an English decision</w:t>
      </w:r>
      <w:r>
        <w:rPr>
          <w:rStyle w:val="FootnoteCharacters"/>
          <w:rStyle w:val="FootnoteReference"/>
        </w:rPr>
        <w:footnoteReference w:id="4"/>
      </w:r>
      <w:r>
        <w:rPr/>
        <w:t xml:space="preserve"> which concluded that information stored on a computer should not be inadmissible merely because it has not been reduced to printed form.</w:t>
      </w:r>
    </w:p>
    <w:p>
      <w:pPr>
        <w:pStyle w:val="BodyText"/>
        <w:rPr/>
      </w:pPr>
      <w:r>
        <w:rPr/>
        <w:t>The general common law rule of evidence is that any relevant evidence is admissible unless there is a specific exclusionary rule that precludes admissibility.  In ECT's circumstance, a printed version of an electronic contract between the parties that has not been manually signed by the parties would surely be relevant and, therefore, admissible absent any exclusionary rules.  The main exclusionary rule affecting electronic contracts would be the "best evidence" rule, which basically provides that original documents are preferred to copies of documents when they are to be presented in court.  As such, secondary evidence (a copy of a document) can only be admitted into court where the original document has been lost or destroyed or where a third party is in possession of the original document and refuses to produce it.  Where, as in the current situation, there is no actual original paper version of a document because multiple copies could be printed out and the only original exists in an electronic form, the best evidence rule could, if strictly applied, render the printed copies inadmissible.  The courts, however, have been remarkably flexible in applying the best evidence rule.  Indeed, according to Sopinka, Lederman and Bryant, "in the age of photocopies, computer printouts, facsimile transmissions and video cassettes, it may be a subtle question which document is the original.  Also, the rules of evidence should reflect the practices of modern society"</w:t>
      </w:r>
      <w:r>
        <w:rPr>
          <w:rStyle w:val="FootnoteCharacters"/>
          <w:rStyle w:val="FootnoteReference"/>
        </w:rPr>
        <w:footnoteReference w:id="5"/>
      </w:r>
      <w:r>
        <w:rPr/>
        <w:t>.  The authors went on to quote an English decision which said:</w:t>
      </w:r>
    </w:p>
    <w:p>
      <w:pPr>
        <w:pStyle w:val="BodyText"/>
        <w:ind w:hanging="0" w:start="1440" w:end="720"/>
        <w:rPr/>
      </w:pPr>
      <w:r>
        <w:rPr/>
        <w:t>. . . this Court would be more than happy to say goodbye to the best evidence rule.  We accept that it served an important purpose in the days of parchment and quill pens.  But since the invention of carbon paper and, still more, the photocopier and the telefacsimile machine, that purpose is largely gone.  Where there is an allegation of forgery the Court will obviously attach little, if any, weight to anything other than the original; so also if the copy produced in Court is illegible.  But to maintain a general exclusionary rule for these limited purposes is, in our view, hardly justifiable.</w:t>
      </w:r>
      <w:r>
        <w:rPr>
          <w:rStyle w:val="FootnoteCharacters"/>
          <w:rStyle w:val="FootnoteReference"/>
        </w:rPr>
        <w:footnoteReference w:id="6"/>
      </w:r>
    </w:p>
    <w:p>
      <w:pPr>
        <w:pStyle w:val="BodyText"/>
        <w:rPr/>
      </w:pPr>
      <w:r>
        <w:rPr/>
        <w:t>Indeed, courts have been more and more willing to disregard the strict interpretation of the best evidence rule and to allow computer generated documents into evidence in court</w:t>
      </w:r>
      <w:r>
        <w:rPr>
          <w:rStyle w:val="FootnoteCharacters"/>
          <w:rStyle w:val="FootnoteReference"/>
        </w:rPr>
        <w:footnoteReference w:id="7"/>
      </w:r>
      <w:r>
        <w:rPr/>
        <w:t>.  Based on this modern approach to the best evidence rule, the main issue relating to the admissibility of electronic contracts is that of the weight to be placed on the document.  Some items to consider here are the reliability of the record, how the information is stored and downloaded and whether there has been a possibility for alteration.  Thus, where there is direct or circumstantial evidence that the computer system which has created and stored the document is reliable, the electronic evidence would be less likely subject to challenge.  One writer considering an electronic transaction stated that, "the judicial focus on the reliability of records … should shift from a document specific enquiry to a systemic analysis of the various technological devices and business processes that gave rise to the contract"</w:t>
      </w:r>
      <w:r>
        <w:rPr>
          <w:rStyle w:val="FootnoteCharacters"/>
          <w:rStyle w:val="FootnoteReference"/>
        </w:rPr>
        <w:footnoteReference w:id="8"/>
      </w:r>
      <w:r>
        <w:rPr/>
        <w:t>.</w:t>
      </w:r>
    </w:p>
    <w:p>
      <w:pPr>
        <w:pStyle w:val="BodyText"/>
        <w:rPr/>
      </w:pPr>
      <w:r>
        <w:rPr/>
        <w:t>Although the enforceability of ECT's electronic contracts is not an absolute certainty, it appears that courts in Ontario and Alberta would admit the printed copies alleged to have recorded them into evidence.  It would then be incumbent on ECT to show that ECT's computer system itself and its mechanisms for ensuring authenticity are reliable</w:t>
      </w:r>
      <w:r>
        <w:rPr>
          <w:rStyle w:val="FootnoteCharacters"/>
          <w:rStyle w:val="FootnoteReference"/>
        </w:rPr>
        <w:footnoteReference w:id="9"/>
      </w:r>
      <w:r>
        <w:rPr/>
        <w:t xml:space="preserve">.  If this can be achieved, ECT would, subject to the discussion below regarding the </w:t>
      </w:r>
      <w:r>
        <w:rPr>
          <w:i/>
        </w:rPr>
        <w:t>Statute of Frauds</w:t>
      </w:r>
      <w:r>
        <w:rPr/>
        <w:t>, be able to enforce the electronic contracts formed through the Online Trading System notwithstanding the absence of a manually signed original document.</w:t>
      </w:r>
    </w:p>
    <w:p>
      <w:pPr>
        <w:pStyle w:val="Heading3"/>
        <w:ind w:hanging="0" w:start="0"/>
        <w:rPr/>
      </w:pPr>
      <w:bookmarkStart w:id="15" w:name="__RefHeading___Toc462542586"/>
      <w:bookmarkEnd w:id="15"/>
      <w:r>
        <w:rPr/>
        <w:t>Statute of Frauds</w:t>
      </w:r>
    </w:p>
    <w:p>
      <w:pPr>
        <w:pStyle w:val="BodyText"/>
        <w:rPr/>
      </w:pPr>
      <w:r>
        <w:rPr/>
        <w:t xml:space="preserve">The </w:t>
      </w:r>
      <w:r>
        <w:rPr>
          <w:i/>
        </w:rPr>
        <w:t>Statute of Frauds</w:t>
      </w:r>
      <w:r>
        <w:rPr/>
        <w:t xml:space="preserve"> (U.K.), which is in force in Alberta, requires that certain contracts be evidenced in writing and signed by the party against whom enforcement is sought.  Of relevance in the present context are contracts that may require performance beyond one year from the making thereof which, by virtue of the </w:t>
      </w:r>
      <w:r>
        <w:rPr>
          <w:i/>
        </w:rPr>
        <w:t>Statute</w:t>
      </w:r>
      <w:r>
        <w:rPr/>
        <w:t xml:space="preserve">, must be evidenced in writing and signed by the party against whom enforcement is sought to be enforceable.  Any such contract not meeting the requirement would not technically be invalid; however, the contract would be unenforceable.  The </w:t>
      </w:r>
      <w:r>
        <w:rPr>
          <w:i/>
        </w:rPr>
        <w:t xml:space="preserve">Statute </w:t>
      </w:r>
      <w:r>
        <w:rPr/>
        <w:t>provides an evidentiary function and also protects the public from long term transactions the terms of which could, without being evidenced in writing, become contentious over time due to failing memories.  Ontario has repealed the writing requirement for this type of contract.</w:t>
      </w:r>
    </w:p>
    <w:p>
      <w:pPr>
        <w:pStyle w:val="BodyText"/>
        <w:rPr/>
      </w:pPr>
      <w:r>
        <w:rPr/>
        <w:t xml:space="preserve">In ECT's situation, both master agreements and the various Transactions entered into thereunder could extend beyond a one year term, as could the term of the ETA and the general terms and conditions (if applicable).  Even if a particular Transaction or agreement was in fact less than a year, the possibility that the term of performance could have extended beyond one year would place the Transaction or agreement under the </w:t>
      </w:r>
      <w:r>
        <w:rPr>
          <w:i/>
        </w:rPr>
        <w:t>Statute</w:t>
      </w:r>
      <w:r>
        <w:rPr>
          <w:rStyle w:val="FootnoteCharacters"/>
          <w:rStyle w:val="FootnoteReference"/>
          <w:i/>
        </w:rPr>
        <w:footnoteReference w:id="10"/>
      </w:r>
      <w:r>
        <w:rPr/>
        <w:t>.</w:t>
      </w:r>
    </w:p>
    <w:p>
      <w:pPr>
        <w:pStyle w:val="BodyText"/>
        <w:rPr/>
      </w:pPr>
      <w:r>
        <w:rPr/>
        <w:t>This issue gives rise to three subsidiary issues:</w:t>
      </w:r>
    </w:p>
    <w:p>
      <w:pPr>
        <w:pStyle w:val="Outline1"/>
        <w:numPr>
          <w:ilvl w:val="0"/>
          <w:numId w:val="0"/>
        </w:numPr>
        <w:ind w:hanging="720" w:start="1440" w:end="0"/>
        <w:rPr/>
      </w:pPr>
      <w:r>
        <w:rPr/>
        <w:t>(i)</w:t>
        <w:tab/>
        <w:t xml:space="preserve">whether an electronically recorded communication can constitute a signed "writing" under the </w:t>
      </w:r>
      <w:r>
        <w:rPr>
          <w:i/>
        </w:rPr>
        <w:t>Statute</w:t>
      </w:r>
      <w:r>
        <w:rPr/>
        <w:t xml:space="preserve">; </w:t>
      </w:r>
    </w:p>
    <w:p>
      <w:pPr>
        <w:pStyle w:val="Outline1"/>
        <w:numPr>
          <w:ilvl w:val="0"/>
          <w:numId w:val="0"/>
        </w:numPr>
        <w:tabs>
          <w:tab w:val="clear" w:pos="720"/>
          <w:tab w:val="left" w:pos="1440" w:leader="none"/>
        </w:tabs>
        <w:ind w:hanging="720" w:start="1440" w:end="0"/>
        <w:rPr/>
      </w:pPr>
      <w:r>
        <w:rPr/>
        <w:t>(ii)</w:t>
        <w:tab/>
        <w:t xml:space="preserve">whether it is possible for parties to contract out of the </w:t>
      </w:r>
      <w:r>
        <w:rPr>
          <w:i/>
        </w:rPr>
        <w:t>Statute</w:t>
      </w:r>
      <w:r>
        <w:rPr/>
        <w:t xml:space="preserve"> by agreeing that subsequent transactions need not be entered in writing to be enforceable; and</w:t>
      </w:r>
    </w:p>
    <w:p>
      <w:pPr>
        <w:pStyle w:val="BodyText"/>
        <w:numPr>
          <w:ilvl w:val="0"/>
          <w:numId w:val="2"/>
        </w:numPr>
        <w:rPr/>
      </w:pPr>
      <w:r>
        <w:rPr/>
        <w:t xml:space="preserve">whether the selection of Ontario, or some other jurisdiction which does not have statutory writing requirements, as the proper law of the master agreement and transactions would assist in avoiding the requirements of the </w:t>
      </w:r>
      <w:r>
        <w:rPr>
          <w:i/>
        </w:rPr>
        <w:t>Statute</w:t>
      </w:r>
      <w:r>
        <w:rPr/>
        <w:t>.</w:t>
      </w:r>
    </w:p>
    <w:p>
      <w:pPr>
        <w:pStyle w:val="BodyText"/>
        <w:rPr/>
      </w:pPr>
      <w:r>
        <w:rPr/>
        <w:t xml:space="preserve">Before addressing these issues in detail, it should be noted that for the purposes of the discussion in parts (i) and (ii) below, we have assumed that the </w:t>
      </w:r>
      <w:r>
        <w:rPr>
          <w:i/>
        </w:rPr>
        <w:t xml:space="preserve">Statute of Frauds </w:t>
      </w:r>
      <w:r>
        <w:rPr/>
        <w:t>in force in Alberta would, from a conflict of laws perspective, apply to the Transaction or agreement in question.  This would clearly be the case where both ECT and the counterparty are resident in Alberta, the governing law of the Transaction or contract is Alberta and the matter is being litigated in an Alberta court.    However, as will be discussed, the conflict of laws questions become more involved where the proper law is a jurisdiction other than Alberta or the matter is being litigated in the court of another jurisdiction.</w:t>
      </w:r>
    </w:p>
    <w:p>
      <w:pPr>
        <w:pStyle w:val="Heading4"/>
        <w:ind w:hanging="0" w:start="0"/>
        <w:rPr/>
      </w:pPr>
      <w:bookmarkStart w:id="16" w:name="__RefHeading___Toc462542587"/>
      <w:bookmarkEnd w:id="16"/>
      <w:r>
        <w:rPr/>
        <w:t>Writing Requirements</w:t>
      </w:r>
    </w:p>
    <w:p>
      <w:pPr>
        <w:pStyle w:val="BodyText"/>
        <w:rPr/>
      </w:pPr>
      <w:r>
        <w:rPr/>
        <w:t xml:space="preserve">The </w:t>
      </w:r>
      <w:r>
        <w:rPr>
          <w:i/>
        </w:rPr>
        <w:t>Interpretation Act</w:t>
      </w:r>
      <w:r>
        <w:rPr/>
        <w:t xml:space="preserve"> (Alberta) defines "writing" and "written" as "words represented or reproduced by any mode of representing or reproducing words in visible form" (section 25(1)(z)).  Based on this definition, it would appear that the mode of writing is less important than the visibility of the writing itself.  But, technological advances have even made a determination of what is "visible" difficult to determine; some communications can only be viewed with the assistance of other technology.  According to the British Columbia Supreme Court, a facsimile of a document can constitute "writing".  In </w:t>
      </w:r>
      <w:r>
        <w:rPr>
          <w:i/>
        </w:rPr>
        <w:t>Beatty</w:t>
      </w:r>
      <w:r>
        <w:rPr/>
        <w:t xml:space="preserve"> v. </w:t>
      </w:r>
      <w:r>
        <w:rPr>
          <w:i/>
        </w:rPr>
        <w:t>First Exploration Fund 1987 and Company, Limited Partnership</w:t>
      </w:r>
      <w:r>
        <w:rPr>
          <w:rStyle w:val="FootnoteCharacters"/>
          <w:rStyle w:val="FootnoteReference"/>
        </w:rPr>
        <w:footnoteReference w:id="11"/>
      </w:r>
      <w:r>
        <w:rPr/>
        <w:t xml:space="preserve"> the court noted that:</w:t>
      </w:r>
    </w:p>
    <w:p>
      <w:pPr>
        <w:pStyle w:val="Quotation"/>
        <w:rPr/>
      </w:pPr>
      <w:r>
        <w:rPr/>
        <w:t xml:space="preserve">Faxed proxies are, in effect, a photocopy of an original proxy.  They reveal what is depicted on an original proxy, including an exact replica of the signature of the person who signed the original proxy.  I observe no greater opportunity for the perpetration of a fraud by the use of faxed proxies than by the use of original proxies.  </w:t>
      </w:r>
    </w:p>
    <w:p>
      <w:pPr>
        <w:pStyle w:val="Normal"/>
        <w:ind w:firstLine="720" w:end="0"/>
        <w:rPr/>
      </w:pPr>
      <w:r>
        <w:rPr/>
        <w:t xml:space="preserve">The question arising from the </w:t>
      </w:r>
      <w:r>
        <w:rPr>
          <w:i/>
        </w:rPr>
        <w:t>Beatty</w:t>
      </w:r>
      <w:r>
        <w:rPr/>
        <w:t xml:space="preserve"> case is whether other forms of electronic communications could also be considered "writing" if they too can prevent an opportunity for fraud.  A corollary issue to fraud prevention is the relative permanence of the writing.  The matter of other forms of electronic communication should be addressed by similarly examining the permanence of the document and whether the document is in visible form.  The main concern with such other electronic forms of communication is that they could be modified after transmission, but prior to being reduced to a visible form.  For this reason, an internet generated confirmation would be less likely to comply with the writing requirement under the </w:t>
      </w:r>
      <w:r>
        <w:rPr>
          <w:i/>
        </w:rPr>
        <w:t xml:space="preserve">Statute </w:t>
      </w:r>
      <w:r>
        <w:rPr/>
        <w:t>than an identical facsimile confirmation (although facsimile transmitted documents are capable of being modified subsequent to transmission but prior to being printed off at the receiving end).  A similar argument would apply to any sort of tape recording or electronically-produced data.</w:t>
      </w:r>
    </w:p>
    <w:p>
      <w:pPr>
        <w:pStyle w:val="BodyText"/>
        <w:rPr/>
      </w:pPr>
      <w:r>
        <w:rPr/>
        <w:t xml:space="preserve">The other consideration under the </w:t>
      </w:r>
      <w:r>
        <w:rPr>
          <w:i/>
        </w:rPr>
        <w:t>Statute</w:t>
      </w:r>
      <w:r>
        <w:rPr/>
        <w:t xml:space="preserve"> is the fact that the memorandum or note must also be signed by the party against whom the agreement is to be enforced. The </w:t>
      </w:r>
      <w:r>
        <w:rPr>
          <w:i/>
        </w:rPr>
        <w:t>Statute</w:t>
      </w:r>
      <w:r>
        <w:rPr/>
        <w:t xml:space="preserve"> does not import any requirement that a signature take a specific form.  It does not have to be an actual subscription of the party's name; it may be a mark.  Also, it probably does not have to be in writing, but may be printed or stamped anywhere on the document.   A mechanical signature is also likely to be accepted by a court as meeting the </w:t>
      </w:r>
      <w:r>
        <w:rPr>
          <w:i/>
        </w:rPr>
        <w:t xml:space="preserve">Statute's </w:t>
      </w:r>
      <w:r>
        <w:rPr/>
        <w:t xml:space="preserve">requirements.  In the </w:t>
      </w:r>
      <w:r>
        <w:rPr>
          <w:i/>
        </w:rPr>
        <w:t xml:space="preserve">Beatty </w:t>
      </w:r>
      <w:r>
        <w:rPr/>
        <w:t xml:space="preserve">decision, signatures were also required to be present on the proxies in question.  Those signatures were provided by facsimile.  The court examined the definition of signature in Black's Law Dictionary, which states that it is "immaterial with what kind of instrument a signature is made".  The court concluded that the facsimile copies of the signatures were valid.  Similarly then, a facsimile signed confirmation submitted to ECT would probably fit within the constraints of the </w:t>
      </w:r>
      <w:r>
        <w:rPr>
          <w:i/>
        </w:rPr>
        <w:t>Statute</w:t>
      </w:r>
      <w:r>
        <w:rPr/>
        <w:t xml:space="preserve">.  Other forms of electronic communication, however, cannot as simply or obviously have signatures appended to them as evidence of acceptance.  </w:t>
      </w:r>
    </w:p>
    <w:p>
      <w:pPr>
        <w:pStyle w:val="BodyText"/>
        <w:rPr/>
      </w:pPr>
      <w:r>
        <w:rPr/>
        <w:t>A secure digital signature could conceivably be accepted and treated in the same way as a stamped signature. The stumbling block in that respect would most likely be the development of transmittable signature software.  Moreover, one would still be faced with the argument that electronic communications, even though executed by way of a digital signature, do not constitute a "writing" signed by the party.  A change in legislation may be required to address this issue</w:t>
      </w:r>
      <w:r>
        <w:rPr>
          <w:rStyle w:val="FootnoteCharacters"/>
          <w:rStyle w:val="FootnoteReference"/>
        </w:rPr>
        <w:footnoteReference w:id="12"/>
      </w:r>
      <w:r>
        <w:rPr/>
        <w:t xml:space="preserve"> .  </w:t>
      </w:r>
    </w:p>
    <w:p>
      <w:pPr>
        <w:pStyle w:val="BodyText"/>
        <w:rPr/>
      </w:pPr>
      <w:r>
        <w:rPr/>
        <w:t xml:space="preserve">Accordingly,  in those circumstances where the </w:t>
      </w:r>
      <w:r>
        <w:rPr>
          <w:i/>
        </w:rPr>
        <w:t xml:space="preserve">Statute </w:t>
      </w:r>
      <w:r>
        <w:rPr/>
        <w:t>applies,  an agreement formed through electronic communication that has not been reduced to writing and signed by the party against whom enforcement is sought may not be enforceable under Alberta law.</w:t>
      </w:r>
    </w:p>
    <w:p>
      <w:pPr>
        <w:pStyle w:val="Heading4"/>
        <w:ind w:hanging="0" w:start="0"/>
        <w:rPr/>
      </w:pPr>
      <w:bookmarkStart w:id="17" w:name="__RefHeading___Toc462542588"/>
      <w:bookmarkEnd w:id="17"/>
      <w:r>
        <w:rPr/>
        <w:t>Contracting Out of the Statute</w:t>
      </w:r>
    </w:p>
    <w:p>
      <w:pPr>
        <w:pStyle w:val="BodyText"/>
        <w:rPr/>
      </w:pPr>
      <w:r>
        <w:rPr/>
        <w:t xml:space="preserve">The question to consider here is whether the PA, which ECT intends to require users of the Online Trading System to manually sign and pursuant to which such users agree to be bound by their "clicks" to the same extent as if such had constituted a signed writing, is effective to satisfy or in effect contract out of the requirements of the </w:t>
      </w:r>
      <w:r>
        <w:rPr>
          <w:i/>
        </w:rPr>
        <w:t xml:space="preserve">Statute of Frauds </w:t>
      </w:r>
      <w:r>
        <w:rPr/>
        <w:t xml:space="preserve">in force in Alberta in order to avoid unenforceability due to non-compliance with the </w:t>
      </w:r>
      <w:r>
        <w:rPr>
          <w:i/>
        </w:rPr>
        <w:t>Statute</w:t>
      </w:r>
      <w:r>
        <w:rPr/>
        <w:t>.</w:t>
      </w:r>
    </w:p>
    <w:p>
      <w:pPr>
        <w:pStyle w:val="BodyText"/>
        <w:rPr/>
      </w:pPr>
      <w:r>
        <w:rPr/>
        <w:t xml:space="preserve">We note that the PA is, with respect to North American counterparties, to be governed by the laws of the State of New York and that, as discussed in the S&amp;C Memorandum, the PA may be effective to satisfy the statutory writing requirements in force in New York.  However, as noted above, we have assumed for the purposes of this discussion, that the </w:t>
      </w:r>
      <w:r>
        <w:rPr>
          <w:i/>
        </w:rPr>
        <w:t>Statute of Frauds</w:t>
      </w:r>
      <w:r>
        <w:rPr/>
        <w:t xml:space="preserve"> in force in Alberta applies to the Transaction or contract in question.  With this in mind, the question becomes whether the PA, as construed under New York laws, would be effective to satisfy the writing requirements imposed under Alberta law</w:t>
      </w:r>
      <w:r>
        <w:rPr>
          <w:rStyle w:val="FootnoteCharacters"/>
          <w:rStyle w:val="FootnoteReference"/>
        </w:rPr>
        <w:footnoteReference w:id="13"/>
      </w:r>
      <w:r>
        <w:rPr/>
        <w:t>.</w:t>
      </w:r>
    </w:p>
    <w:p>
      <w:pPr>
        <w:pStyle w:val="Normal"/>
        <w:ind w:firstLine="720" w:end="0"/>
        <w:rPr/>
      </w:pPr>
      <w:r>
        <w:rPr/>
        <w:t xml:space="preserve">The PA does not by itself satisfy the writing requirements under the Alberta </w:t>
      </w:r>
      <w:r>
        <w:rPr>
          <w:i/>
        </w:rPr>
        <w:t>Statute</w:t>
      </w:r>
      <w:r>
        <w:rPr/>
        <w:t xml:space="preserve"> with respect to Transactions subsequently entered into by ECT with its counterparties.  The PA could arguably satisfy the writing requirements with respect to the ETA (and the general terms and conditions, where applicable), since the terms and conditions of the ETA (and general terms and conditions) are known and certain as of the date of execution of the PA by the parties and referenced in the PA.  With respect to subsequently entered Transactions, however, the material terms thereof are not and cannot be known by the parties at the time of signing the PA and hence are not capable of being evidenced in writing through the parties' manual execution of the PA.  The question that requires further consideration is whether the parties can by agreement in writing effectively waive the statutory writing requirements with respect to Transactions subsequently entered into. </w:t>
      </w:r>
    </w:p>
    <w:p>
      <w:pPr>
        <w:pStyle w:val="BodyText"/>
        <w:rPr/>
      </w:pPr>
      <w:r>
        <w:rPr/>
        <w:t xml:space="preserve">Generally speaking, a party may contract out of or waive benefits of legislation unless the legislation expressly prohibits such action or unless to do so would be contrary to public policy or to the policy behind the legislation itself.  The Supreme Court of Canada ruled on the ability of parties to contract out of legislation generally in </w:t>
      </w:r>
      <w:r>
        <w:rPr>
          <w:i/>
        </w:rPr>
        <w:t>Ontario Human Rights Commission</w:t>
      </w:r>
      <w:r>
        <w:rPr/>
        <w:t xml:space="preserve"> v. </w:t>
      </w:r>
      <w:r>
        <w:rPr>
          <w:i/>
        </w:rPr>
        <w:t>Borough of Etobicoke</w:t>
      </w:r>
      <w:r>
        <w:rPr/>
        <w:t xml:space="preserve"> </w:t>
      </w:r>
      <w:r>
        <w:rPr>
          <w:rStyle w:val="FootnoteCharacters"/>
          <w:rStyle w:val="FootnoteReference"/>
        </w:rPr>
        <w:footnoteReference w:id="14"/>
      </w:r>
      <w:r>
        <w:rPr/>
        <w:t xml:space="preserve">, where the Supreme Court held that a fire-fighter's union could not waive the benefits of the Ontario Human Rights Code because the Code had been created for the benefit of the community at large, as well as the fire-fighters themselves.  Where  legislation has not been enacted for the benefit of the community at large, contracting parties are generally free to waive or vary the provisions of the legislation.  An example occurred in </w:t>
      </w:r>
      <w:r>
        <w:rPr>
          <w:i/>
        </w:rPr>
        <w:t>City of Toronto</w:t>
      </w:r>
      <w:r>
        <w:rPr/>
        <w:t xml:space="preserve"> v. </w:t>
      </w:r>
      <w:r>
        <w:rPr>
          <w:i/>
        </w:rPr>
        <w:t>Russell</w:t>
      </w:r>
      <w:r>
        <w:rPr>
          <w:rStyle w:val="FootnoteCharacters"/>
          <w:rStyle w:val="FootnoteReference"/>
        </w:rPr>
        <w:footnoteReference w:id="15"/>
      </w:r>
      <w:r>
        <w:rPr/>
        <w:t xml:space="preserve"> where a taxpayer waived the right to receive a notice of the sale of removables for non payment of taxes because the provision had been created as a private right and, therefore, an individual could waive it.</w:t>
      </w:r>
    </w:p>
    <w:p>
      <w:pPr>
        <w:pStyle w:val="BodyText"/>
        <w:rPr/>
      </w:pPr>
      <w:r>
        <w:rPr/>
        <w:t xml:space="preserve">As a result, the question of whether ECT and its counterparties are entitled to waive the provisions of the </w:t>
      </w:r>
      <w:r>
        <w:rPr>
          <w:i/>
        </w:rPr>
        <w:t>Statute of Frauds</w:t>
      </w:r>
      <w:r>
        <w:rPr/>
        <w:t xml:space="preserve"> in force in Alberta depends on an analysis of the </w:t>
      </w:r>
      <w:r>
        <w:rPr>
          <w:i/>
        </w:rPr>
        <w:t>Statute</w:t>
      </w:r>
      <w:r>
        <w:rPr/>
        <w:t xml:space="preserve"> itself as well as an analysis of the original public policy concerns in having enacted the </w:t>
      </w:r>
      <w:r>
        <w:rPr>
          <w:i/>
        </w:rPr>
        <w:t>Statute</w:t>
      </w:r>
      <w:r>
        <w:rPr/>
        <w:t xml:space="preserve">.  As regards the wording of the </w:t>
      </w:r>
      <w:r>
        <w:rPr>
          <w:i/>
        </w:rPr>
        <w:t>Statute</w:t>
      </w:r>
      <w:r>
        <w:rPr/>
        <w:t xml:space="preserve"> itself, the writing requirement applies to "any" agreement that is not to be performed within the space of one year.  This wording is not an express prohibition upon varying the terms of the </w:t>
      </w:r>
      <w:r>
        <w:rPr>
          <w:i/>
        </w:rPr>
        <w:t>Statute;</w:t>
      </w:r>
      <w:r>
        <w:rPr/>
        <w:t xml:space="preserve"> however, one author suggests that the reference "does tend to suggest that the formal requirement of writing is not something that may be contracting (sic) out of"</w:t>
      </w:r>
      <w:r>
        <w:rPr>
          <w:rStyle w:val="FootnoteCharacters"/>
          <w:rStyle w:val="FootnoteReference"/>
        </w:rPr>
        <w:footnoteReference w:id="16"/>
      </w:r>
      <w:r>
        <w:rPr/>
        <w:t xml:space="preserve">.  The </w:t>
      </w:r>
      <w:r>
        <w:rPr>
          <w:i/>
        </w:rPr>
        <w:t>Statute</w:t>
      </w:r>
      <w:r>
        <w:rPr/>
        <w:t xml:space="preserve"> may not be as clear as the author contends.  However, we have been unable to find any case authority on point.</w:t>
      </w:r>
    </w:p>
    <w:p>
      <w:pPr>
        <w:pStyle w:val="BodyText"/>
        <w:rPr/>
      </w:pPr>
      <w:r>
        <w:rPr/>
        <w:t xml:space="preserve">The other consideration regarding the waiver of provisions of the </w:t>
      </w:r>
      <w:r>
        <w:rPr>
          <w:i/>
        </w:rPr>
        <w:t xml:space="preserve">Statute </w:t>
      </w:r>
      <w:r>
        <w:rPr/>
        <w:t xml:space="preserve">is whether the </w:t>
      </w:r>
      <w:r>
        <w:rPr>
          <w:i/>
        </w:rPr>
        <w:t>Statute</w:t>
      </w:r>
      <w:r>
        <w:rPr/>
        <w:t xml:space="preserve"> was created for the benefit of the public.  As mentioned earlier, the main purpose of the </w:t>
      </w:r>
      <w:r>
        <w:rPr>
          <w:i/>
        </w:rPr>
        <w:t>Statute</w:t>
      </w:r>
      <w:r>
        <w:rPr/>
        <w:t xml:space="preserve"> was to serve an evidentiary function.  Although the </w:t>
      </w:r>
      <w:r>
        <w:rPr>
          <w:i/>
        </w:rPr>
        <w:t>Statute</w:t>
      </w:r>
      <w:r>
        <w:rPr/>
        <w:t xml:space="preserve"> served to ensure that individuals entering into long-term contracts were sufficiently aware of their ongoing obligations, the main impetus was evidentiary.  For this reason, there is an argument that the evidentiary function allowing for certainty in judicial proceedings serves a public policy purpose.  Individuals should thus not be entitled to contract out of the provisions of the </w:t>
      </w:r>
      <w:r>
        <w:rPr>
          <w:i/>
        </w:rPr>
        <w:t>Statute</w:t>
      </w:r>
      <w:r>
        <w:rPr/>
        <w:t xml:space="preserve"> when such contracting out could lead to additional confusion and evidentiary uncertainty in judicial proceedings.  The aforementioned author expresses a similar conclusion.  However, he notes that evidentiary issues at the time that the </w:t>
      </w:r>
      <w:r>
        <w:rPr>
          <w:i/>
        </w:rPr>
        <w:t>Statute</w:t>
      </w:r>
      <w:r>
        <w:rPr/>
        <w:t xml:space="preserve"> was enacted were substantially different than they are at present. The evidentiary function of the </w:t>
      </w:r>
      <w:r>
        <w:rPr>
          <w:i/>
        </w:rPr>
        <w:t>Statute</w:t>
      </w:r>
      <w:r>
        <w:rPr/>
        <w:t xml:space="preserve"> has perhaps lost some of its importance during an age when technology has allowed other forms of evidence to play a role in judicial proceedings.  In addition, one has to question whether any member of the public, other than the parties to the contract, are affected by any resulting uncertainty.  Moreover, other jurisdictions, such as Ontario, have seen fit to repeat this statutory writing requirement altogether.  </w:t>
      </w:r>
    </w:p>
    <w:p>
      <w:pPr>
        <w:pStyle w:val="BodyText"/>
        <w:rPr/>
      </w:pPr>
      <w:r>
        <w:rPr/>
        <w:t xml:space="preserve">In the result,  a court may now be more likely than it ever has been in the past to accept an argument that the </w:t>
      </w:r>
      <w:r>
        <w:rPr>
          <w:i/>
        </w:rPr>
        <w:t>Statute</w:t>
      </w:r>
      <w:r>
        <w:rPr/>
        <w:t xml:space="preserve"> can be contracted out of.  If a court was persuaded to accept this argument, the PA would then be effective, as between the parties, to waive the requirements of the </w:t>
      </w:r>
      <w:r>
        <w:rPr>
          <w:i/>
        </w:rPr>
        <w:t>Statute</w:t>
      </w:r>
      <w:r>
        <w:rPr/>
        <w:t xml:space="preserve"> to the extent applicable to any Transactions.  However, absent any clear judicial discussion on the point, it is difficult to assess the relative success of such an argument.</w:t>
      </w:r>
    </w:p>
    <w:p>
      <w:pPr>
        <w:pStyle w:val="Heading4"/>
        <w:ind w:hanging="0" w:start="0"/>
        <w:rPr/>
      </w:pPr>
      <w:bookmarkStart w:id="18" w:name="__RefHeading___Toc462542589"/>
      <w:bookmarkEnd w:id="18"/>
      <w:r>
        <w:rPr/>
        <w:t>Choice of Law</w:t>
      </w:r>
    </w:p>
    <w:p>
      <w:pPr>
        <w:pStyle w:val="BodyText"/>
        <w:rPr/>
      </w:pPr>
      <w:r>
        <w:rPr/>
        <w:t>Given the enforceability issues outlined above,  it may, all other things being equal,  be prudent to select, as the governing law of ECT's master agreements with Canadian counterparties, as well as the general terms and conditions to be applicable to those counterparties who have not executed a master agreement with ECT, Ontario or some other jurisdiction which does not have this statutory writing requirement.  Another alternative might be the selection of New York law which, according to the S&amp;C Memorandum, exempts from the statutory writing requirements "qualified financial contracts" (which appears to include the types of OTC derivative products to be offered by ECT through the Online Trading System) where the parties thereto have agreed before hand to be bound by such contracts at the time agreement is reached, whether by telephone, exchange of electronic messages or otherwise.  As indicated in the S&amp;C Memorandum, the PA would constitute such an agreement.</w:t>
      </w:r>
    </w:p>
    <w:p>
      <w:pPr>
        <w:pStyle w:val="BodyText"/>
        <w:rPr/>
      </w:pPr>
      <w:r>
        <w:rPr/>
        <w:t xml:space="preserve">Historically, courts have characterized the writing requirements imposed by the </w:t>
      </w:r>
      <w:r>
        <w:rPr>
          <w:i/>
        </w:rPr>
        <w:t>Statute of Frauds</w:t>
      </w:r>
      <w:r>
        <w:rPr/>
        <w:t xml:space="preserve"> to be procedural in character, and therefore a matter governed by the laws of the jurisdiction in which the action is commenced.  In an old English decision on point, the court, in coming to its decision that the </w:t>
      </w:r>
      <w:r>
        <w:rPr>
          <w:i/>
        </w:rPr>
        <w:t xml:space="preserve">Statute </w:t>
      </w:r>
      <w:r>
        <w:rPr/>
        <w:t xml:space="preserve">contained procedural rights only, literally interpreted the </w:t>
      </w:r>
      <w:r>
        <w:rPr>
          <w:i/>
        </w:rPr>
        <w:t>Statute</w:t>
      </w:r>
      <w:r>
        <w:rPr/>
        <w:t>, which states that "no action shall be brought".</w:t>
      </w:r>
      <w:r>
        <w:rPr>
          <w:rStyle w:val="FootnoteCharacters"/>
          <w:rStyle w:val="FootnoteReference"/>
        </w:rPr>
        <w:footnoteReference w:id="17"/>
      </w:r>
      <w:r>
        <w:rPr/>
        <w:t xml:space="preserve">  Under this characterization, if ECT were to sue a counterparty in  Alberta, then regardless of which law was selected by the parties as the proper law of the contract, the Alberta law regarding writing requirements (as set forth above) would be applied by the Alberta court.</w:t>
      </w:r>
    </w:p>
    <w:p>
      <w:pPr>
        <w:pStyle w:val="BodyText"/>
        <w:rPr/>
      </w:pPr>
      <w:r>
        <w:rPr/>
        <w:t xml:space="preserve">However, the Supreme Court of Canada has recently advocated a rejection of the historical strict interpretation approach evidenced in the old English case referenced above in favour of a more policy based approach.  In </w:t>
      </w:r>
      <w:r>
        <w:rPr>
          <w:i/>
        </w:rPr>
        <w:t xml:space="preserve">Jensen </w:t>
      </w:r>
      <w:r>
        <w:rPr/>
        <w:t xml:space="preserve">v. </w:t>
      </w:r>
      <w:r>
        <w:rPr>
          <w:i/>
        </w:rPr>
        <w:t>Tolofson</w:t>
      </w:r>
      <w:r>
        <w:rPr>
          <w:rStyle w:val="FootnoteCharacters"/>
          <w:rStyle w:val="FootnoteReference"/>
          <w:i/>
        </w:rPr>
        <w:footnoteReference w:id="18"/>
      </w:r>
      <w:r>
        <w:rPr/>
        <w:t xml:space="preserve">, the Supreme Court concluded that the textual approach in that case was not generally appropriate and instead stipulated that the machinery structure of the court itself should be examined to determine if the court would undergo hardship if a different jurisdiction's laws were applied.   The court, obviously concerned with forum-shopping, was of the view that where there is any doubt between the characterization of a statute as procedural or substantive, the doubt should be resolved in favour of a substantive characterization.  </w:t>
      </w:r>
    </w:p>
    <w:p>
      <w:pPr>
        <w:pStyle w:val="BodyText"/>
        <w:rPr/>
      </w:pPr>
      <w:r>
        <w:rPr/>
        <w:t xml:space="preserve">With respect to the writing requirements imposed by the </w:t>
      </w:r>
      <w:r>
        <w:rPr>
          <w:i/>
        </w:rPr>
        <w:t>Statute of Frauds</w:t>
      </w:r>
      <w:r>
        <w:rPr/>
        <w:t>, it is difficult to imagine how an Alberta court would be disadvantaged by applying the laws of the jurisdiction agreed upon by the parties as the proper law of the contract (which governs substantive matters), given that Ontario courts, New York courts and the courts of other jurisdictions are able to manage without such writing requirements.  Accordingly, although no recent case has been located which would confirm this analysis, the choice of a jurisdiction that has no applicable statutory writing requirement as the proper law of the contract would seem to be one possible way of reducing the risk of non-compliance with the writing requirements applicable in the Province of Alberta associated with entering into transactions electronically.</w:t>
      </w:r>
    </w:p>
    <w:p>
      <w:pPr>
        <w:pStyle w:val="BodyText"/>
        <w:rPr/>
      </w:pPr>
      <w:r>
        <w:rPr/>
        <w:t>It should be noted, however, that under basic conflict of laws principles, a court may not uphold a choice of law provision in a contract where the parties and the contract have no connection with the jurisdiction chosen by the parties in the contract and such jurisdiction was chosen to avoid certain substantive provisions in the laws of the jurisdiction that would otherwise be the proper law of the contract in the absence of express agreement in that regard.</w:t>
      </w:r>
    </w:p>
    <w:p>
      <w:pPr>
        <w:pStyle w:val="Heading2"/>
        <w:ind w:hanging="0" w:start="0"/>
        <w:rPr/>
      </w:pPr>
      <w:bookmarkStart w:id="19" w:name="__RefHeading___Toc462542590"/>
      <w:bookmarkEnd w:id="19"/>
      <w:r>
        <w:rPr/>
        <w:t>Securities Regulation</w:t>
      </w:r>
    </w:p>
    <w:p>
      <w:pPr>
        <w:pStyle w:val="BodyText"/>
        <w:rPr/>
      </w:pPr>
      <w:r>
        <w:rPr/>
        <w:t>Securities regulation in Canada is within the legislative jurisdiction of the provinces.  Although recent attempts have been undertaken to make the securities laws and regulations of each of the provinces more uniform, there remain significant differences from province to province.  Accordingly, the securities laws of each province in which ECT intends to transact business through the Online Trading System must be considered.  As indicated above,  ECT has instructed us to limit our review to the provinces of Alberta and Ontario.</w:t>
      </w:r>
    </w:p>
    <w:p>
      <w:pPr>
        <w:pStyle w:val="BodyText"/>
        <w:rPr/>
      </w:pPr>
      <w:r>
        <w:rPr/>
        <w:t>The principal securities issues that arise within this context are:</w:t>
      </w:r>
    </w:p>
    <w:p>
      <w:pPr>
        <w:pStyle w:val="BodyText"/>
        <w:ind w:hanging="720" w:start="1440" w:end="0"/>
        <w:rPr/>
      </w:pPr>
      <w:r>
        <w:rPr/>
        <w:t>(a)</w:t>
        <w:tab/>
        <w:t>whether the method of entering into Transactions provided through the Online Trading System enhances the possibility that the OTC derivatives offered by ECT constitute "securities" and therefore subject to the prospectus, registration and other requirements set forth in the applicable legislation respecting the trading of securities; and</w:t>
      </w:r>
    </w:p>
    <w:p>
      <w:pPr>
        <w:pStyle w:val="BodyText"/>
        <w:ind w:hanging="630" w:start="1350" w:end="0"/>
        <w:rPr/>
      </w:pPr>
      <w:r>
        <w:rPr/>
        <w:t>(b)</w:t>
        <w:tab/>
        <w:t>whether the Online Trading System constitutes an "exchange", and therefore subject to the regulations governing same.</w:t>
      </w:r>
    </w:p>
    <w:p>
      <w:pPr>
        <w:pStyle w:val="Heading3"/>
        <w:ind w:hanging="0" w:start="0"/>
        <w:rPr/>
      </w:pPr>
      <w:bookmarkStart w:id="20" w:name="__RefHeading___Toc462542591"/>
      <w:bookmarkEnd w:id="20"/>
      <w:r>
        <w:rPr/>
        <w:t>OTC derivatives as Securities</w:t>
      </w:r>
    </w:p>
    <w:p>
      <w:pPr>
        <w:pStyle w:val="Heading4"/>
        <w:ind w:hanging="0" w:start="0"/>
        <w:rPr/>
      </w:pPr>
      <w:bookmarkStart w:id="21" w:name="__RefHeading___Toc462542592"/>
      <w:bookmarkEnd w:id="21"/>
      <w:r>
        <w:rPr/>
        <w:t>Alberta</w:t>
      </w:r>
    </w:p>
    <w:p>
      <w:pPr>
        <w:pStyle w:val="BodyText"/>
        <w:rPr/>
      </w:pPr>
      <w:r>
        <w:rPr/>
        <w:t xml:space="preserve">In Alberta, the academic debate as to whether OTC derivatives constitute "securities" appears to have been rendered moot by the recent enactment on June 1, 1999 of certain amendments to the </w:t>
      </w:r>
      <w:r>
        <w:rPr>
          <w:i/>
        </w:rPr>
        <w:t>Securities Act</w:t>
      </w:r>
      <w:r>
        <w:rPr/>
        <w:t xml:space="preserve"> (Alberta) (the "</w:t>
      </w:r>
      <w:r>
        <w:rPr>
          <w:b/>
        </w:rPr>
        <w:t>ASA</w:t>
      </w:r>
      <w:r>
        <w:rPr/>
        <w:t>").</w:t>
      </w:r>
      <w:r>
        <w:rPr>
          <w:rStyle w:val="FootnoteCharacters"/>
          <w:rStyle w:val="FootnoteReference"/>
        </w:rPr>
        <w:footnoteReference w:id="19"/>
      </w:r>
    </w:p>
    <w:p>
      <w:pPr>
        <w:pStyle w:val="BodyText"/>
        <w:rPr/>
      </w:pPr>
      <w:r>
        <w:rPr/>
        <w:t>The definition of the term "futures contract" in the ASA was amended</w:t>
      </w:r>
      <w:r>
        <w:rPr>
          <w:rStyle w:val="FootnoteCharacters"/>
          <w:rStyle w:val="FootnoteReference"/>
        </w:rPr>
        <w:footnoteReference w:id="20"/>
      </w:r>
      <w:r>
        <w:rPr/>
        <w:t xml:space="preserve"> to read as follows:</w:t>
      </w:r>
    </w:p>
    <w:p>
      <w:pPr>
        <w:pStyle w:val="BodyText"/>
        <w:ind w:hanging="0" w:start="1440" w:end="0"/>
        <w:rPr/>
      </w:pPr>
      <w:r>
        <w:rPr/>
        <w:t xml:space="preserve">"futures contract" means any obligation to make or take future delivery of </w:t>
      </w:r>
    </w:p>
    <w:p>
      <w:pPr>
        <w:pStyle w:val="BodyText"/>
        <w:ind w:hanging="720" w:start="2160" w:end="0"/>
        <w:rPr/>
      </w:pPr>
      <w:r>
        <w:rPr/>
        <w:tab/>
        <w:t>(i)</w:t>
        <w:tab/>
        <w:t>a commodity,</w:t>
      </w:r>
    </w:p>
    <w:p>
      <w:pPr>
        <w:pStyle w:val="BodyText"/>
        <w:ind w:hanging="720" w:start="2160" w:end="0"/>
        <w:rPr/>
      </w:pPr>
      <w:r>
        <w:rPr/>
        <w:tab/>
        <w:t>(ii)</w:t>
        <w:tab/>
        <w:t>a security,</w:t>
      </w:r>
    </w:p>
    <w:p>
      <w:pPr>
        <w:pStyle w:val="BodyText"/>
        <w:ind w:hanging="720" w:start="2880" w:end="0"/>
        <w:rPr/>
      </w:pPr>
      <w:r>
        <w:rPr/>
        <w:t>(iii)</w:t>
        <w:tab/>
        <w:t>cash if the amount of cash is derived from, or by reference to, a variable, including:</w:t>
      </w:r>
    </w:p>
    <w:p>
      <w:pPr>
        <w:pStyle w:val="BodyText"/>
        <w:ind w:hanging="720" w:start="2880" w:end="0"/>
        <w:rPr/>
      </w:pPr>
      <w:r>
        <w:rPr/>
        <w:tab/>
        <w:t xml:space="preserve">(A) </w:t>
        <w:tab/>
        <w:t>a price or quote for a commodity or security,</w:t>
      </w:r>
    </w:p>
    <w:p>
      <w:pPr>
        <w:pStyle w:val="BodyText"/>
        <w:ind w:hanging="720" w:start="2880" w:end="0"/>
        <w:rPr/>
      </w:pPr>
      <w:r>
        <w:rPr/>
        <w:tab/>
        <w:t>(B)</w:t>
        <w:tab/>
        <w:t xml:space="preserve">an interest rate, </w:t>
      </w:r>
    </w:p>
    <w:p>
      <w:pPr>
        <w:pStyle w:val="BodyText"/>
        <w:ind w:hanging="720" w:start="2880" w:end="0"/>
        <w:rPr/>
      </w:pPr>
      <w:r>
        <w:rPr/>
        <w:tab/>
        <w:t>(C)</w:t>
        <w:tab/>
        <w:t>a currency exchange rate, or</w:t>
      </w:r>
    </w:p>
    <w:p>
      <w:pPr>
        <w:pStyle w:val="BodyText"/>
        <w:ind w:hanging="720" w:start="2880" w:end="0"/>
        <w:rPr/>
      </w:pPr>
      <w:r>
        <w:rPr/>
        <w:tab/>
        <w:t>(D)</w:t>
        <w:tab/>
        <w:t>an index or benchmark,</w:t>
      </w:r>
    </w:p>
    <w:p>
      <w:pPr>
        <w:pStyle w:val="BodyText"/>
        <w:ind w:hanging="0" w:start="2160" w:end="0"/>
        <w:rPr/>
      </w:pPr>
      <w:r>
        <w:rPr/>
        <w:t>but does not include an obligation or a class of obligations that is designated not to be a futures contract pursuant to an order made under section 9.1;</w:t>
      </w:r>
    </w:p>
    <w:p>
      <w:pPr>
        <w:pStyle w:val="BodyText"/>
        <w:ind w:hanging="0" w:end="0"/>
        <w:rPr/>
      </w:pPr>
      <w:r>
        <w:rPr/>
        <w:t>This definition would appear to include most interest rate, foreign exchange, commodity, equity and other derivative products as well as forward contracts for the physical delivery of commodities.</w:t>
      </w:r>
    </w:p>
    <w:p>
      <w:pPr>
        <w:pStyle w:val="BodyText"/>
        <w:ind w:hanging="0" w:end="0"/>
        <w:rPr/>
      </w:pPr>
      <w:r>
        <w:rPr/>
        <w:tab/>
        <w:t xml:space="preserve">"Futures contracts" which are not "exchange contracts" are "securities" within the definition provided for "securities" in the ASA (see section 1(v)(xvi)).  "Exchange contracts" are futures contracts, the performance of which are guaranteed by a clearing agency and which are traded on an exchange in accordance with standardized terms and conditions set forth in the bylaws, rules or regulations of that exchange at a price agreed on when the futures contract is entered into on the exchange.  OTC derivatives are not traded on exchanges.  </w:t>
      </w:r>
    </w:p>
    <w:p>
      <w:pPr>
        <w:pStyle w:val="Normal"/>
        <w:ind w:firstLine="720" w:end="0"/>
        <w:rPr/>
      </w:pPr>
      <w:r>
        <w:rPr/>
        <w:t>Accordingly, in Alberta, as of June 1, 1999, most OTC derivatives would be "securities" under the ASA and subject to regulation as such.  In this regard, it should be noted that the definition of "trade" was amended by the recent amendments to the ASA to include any entering into of a futures contract.  Consequently, the mere entering into by ECT and its counterparty of an OTC derivative Transaction would constitute a trade in a security and, therefore, be subject to the prospectus and registration requirements of the ASA, unless otherwise exempted.  In that regard, no additional exemptions were enacted in conjunction with the amendment made to the definition of "futures contract".  A new Section 9.1(2) was, however, added which gives the Alberta Securities Commission the power to make an order designating a futures contract, or any class of futures contracts, not to be a futures contract.</w:t>
      </w:r>
    </w:p>
    <w:p>
      <w:pPr>
        <w:pStyle w:val="BodyText"/>
        <w:rPr/>
      </w:pPr>
      <w:r>
        <w:rPr/>
        <w:t xml:space="preserve">In "no-names" discussions held with staff at the Alberta Securities Commission, we were advised that it is not the Alberta Securities Commission's intention to regulate all OTC derivatives.  Their concern is with respect to the offering of such products to unsophisticated, retail purchasers thereof.  They do not intend to regulate the entering into of such products between sophisticated parties or commercial users.  The Alberta Securities Commission ultimately intends to take an approach similar to that taken by the Ontario Securities Commission in its Proposed Rule on OTC derivatives, which is discussed in greater detail below.   The Ontario approach, as discussed below, would exclude from regulation most OTC derivatives between sophisticated parties.  </w:t>
      </w:r>
    </w:p>
    <w:p>
      <w:pPr>
        <w:pStyle w:val="BodyText"/>
        <w:rPr/>
      </w:pPr>
      <w:r>
        <w:rPr/>
        <w:t>The Ontario Rule, however, is not currently in effect and the Alberta Securities Commission staff has advised that the Alberta Securities Commission intends to gauge public reaction to the Ontario Rule prior to implementing a formal policy in Alberta.  As an interim measure, however, the Alberta Securities Commission was persuaded by industry participants to issue a blanket order under Section 9.1(2) essentially declaring all OTC derivatives and commodity contracts between qualified parties (including commercial users) not to be "futures contracts".  Hence, unless otherwise constituting a security as defined under the ASA, OTC derivatives and commodity contracts entered into by qualified parties would not be subject to the prospectus, registration or other requirements of the ASA</w:t>
      </w:r>
      <w:r>
        <w:rPr>
          <w:rStyle w:val="FootnoteCharacters"/>
          <w:rStyle w:val="FootnoteReference"/>
        </w:rPr>
        <w:footnoteReference w:id="21"/>
      </w:r>
      <w:r>
        <w:rPr/>
        <w:t xml:space="preserve"> .</w:t>
      </w:r>
    </w:p>
    <w:p>
      <w:pPr>
        <w:pStyle w:val="BodyText"/>
        <w:rPr/>
      </w:pPr>
      <w:r>
        <w:rPr/>
        <w:t>A copy of the Alberta interim order, issued on July 29, 1999, was provided to ECT previously.  As drafted, it should be broad enough to include within its scope all OTC derivative Transactions and commodity contracts to be offered by ECT, whether through the Online Trading System or otherwise, provided that ECT is contracting with "qualified parties" (as defined in the order).  In that regard, the list of qualified parties includes persons (referred to in the order as "commercial users") who buy, sell, trade, produce, market, broker or otherwise use in their business a commodity (which is defined in the ASA to include currency) and as a consequence enter into an OTC derivative or commodity contract.  Hence, OTC derivatives transactions with commercial users should not, under the terms of the order, constitute futures contracts or, accordingly, securities and therefore should not be subject to regulation under the ASA.</w:t>
      </w:r>
    </w:p>
    <w:p>
      <w:pPr>
        <w:pStyle w:val="BodyText"/>
        <w:rPr/>
      </w:pPr>
      <w:r>
        <w:rPr/>
        <w:t xml:space="preserve">This issue will ultimately need to be revisited when the Alberta Securities Commission eventually replaces the interim blanket order with a formal rule or policy.  </w:t>
      </w:r>
    </w:p>
    <w:p>
      <w:pPr>
        <w:pStyle w:val="Heading4"/>
        <w:ind w:hanging="0" w:start="0"/>
        <w:rPr/>
      </w:pPr>
      <w:bookmarkStart w:id="22" w:name="__RefHeading___Toc462542593"/>
      <w:bookmarkEnd w:id="22"/>
      <w:r>
        <w:rPr/>
        <w:t>Ontario</w:t>
      </w:r>
    </w:p>
    <w:p>
      <w:pPr>
        <w:pStyle w:val="BodyText"/>
        <w:rPr/>
      </w:pPr>
      <w:r>
        <w:rPr/>
        <w:t>As noted above, the Ontario Securities Commission has put out for public comment Proposed Rule 91-504 entitled "Over-The-Counter Derivatives" (the "</w:t>
      </w:r>
      <w:r>
        <w:rPr>
          <w:b/>
        </w:rPr>
        <w:t>Proposed Rule</w:t>
      </w:r>
      <w:r>
        <w:rPr/>
        <w:t xml:space="preserve">").  If made effective, a large portion of the OTC derivatives market would be exempted from the application of the prospectus and registration requirements of the </w:t>
      </w:r>
      <w:r>
        <w:rPr>
          <w:i/>
        </w:rPr>
        <w:t>Securities Act</w:t>
      </w:r>
      <w:r>
        <w:rPr/>
        <w:t xml:space="preserve"> (Ontario) (the "</w:t>
      </w:r>
      <w:r>
        <w:rPr>
          <w:b/>
        </w:rPr>
        <w:t>OSA</w:t>
      </w:r>
      <w:r>
        <w:rPr/>
        <w:t>"), and in certain cases from the application of the OSA altogether.</w:t>
      </w:r>
    </w:p>
    <w:p>
      <w:pPr>
        <w:pStyle w:val="BodyText"/>
        <w:rPr/>
      </w:pPr>
      <w:r>
        <w:rPr/>
        <w:t>The Proposed Rule is made pursuant to the Ontario Securities Commission's power under section 143(1)(35)  to make rules:</w:t>
      </w:r>
    </w:p>
    <w:p>
      <w:pPr>
        <w:pStyle w:val="BodyText"/>
        <w:ind w:hanging="0" w:start="1440" w:end="0"/>
        <w:rPr/>
      </w:pPr>
      <w:r>
        <w:rPr/>
        <w:t>... regulating or varying this Act in respect of derivatives, including, (i) providing exemptions from any requirements of this Act, (ii) prescribing disclosure requirements and requiring or prohibiting the use of particular forms or  types of offering documents or other documents, and (iii) prescribing requirements that apply to mutual funds, non-redeemable investment funds, commodity pools or other issuers.</w:t>
      </w:r>
    </w:p>
    <w:p>
      <w:pPr>
        <w:pStyle w:val="BodyText"/>
        <w:rPr/>
      </w:pPr>
      <w:r>
        <w:rPr/>
        <w:t>Under the Proposed Rule, most OTC derivative transactions between "qualified parties" would be exempt from the prospectus and registration requirements under the OSA.  In addition, certain transactions are exempt entirely from the OSA.  Those transactions are OTC derivatives transactions that are:</w:t>
      </w:r>
    </w:p>
    <w:p>
      <w:pPr>
        <w:pStyle w:val="Normal"/>
        <w:ind w:hanging="720" w:start="2160" w:end="0"/>
        <w:rPr/>
      </w:pPr>
      <w:r>
        <w:rPr/>
        <w:t>(a)</w:t>
        <w:tab/>
        <w:t>an interest rate or foreign exchange transaction that is entered into between</w:t>
      </w:r>
    </w:p>
    <w:p>
      <w:pPr>
        <w:pStyle w:val="BodyTextIndent2"/>
        <w:ind w:start="2880" w:end="0"/>
        <w:rPr/>
      </w:pPr>
      <w:r>
        <w:rPr/>
        <w:t>(i)</w:t>
        <w:tab/>
        <w:t>two "qualified parties";</w:t>
      </w:r>
    </w:p>
    <w:p>
      <w:pPr>
        <w:pStyle w:val="BodyTextIndent2"/>
        <w:ind w:start="2880" w:end="0"/>
        <w:rPr/>
      </w:pPr>
      <w:r>
        <w:rPr/>
        <w:t>(ii)</w:t>
        <w:tab/>
        <w:t>one "qualified party" and one party entering into the transaction for "OTC derivatives hedging purposes"; or</w:t>
      </w:r>
    </w:p>
    <w:p>
      <w:pPr>
        <w:pStyle w:val="BodyTextIndent2"/>
        <w:ind w:start="2880" w:end="0"/>
        <w:rPr/>
      </w:pPr>
      <w:r>
        <w:rPr/>
        <w:t>(iii)</w:t>
        <w:tab/>
        <w:t>two parties entering into the transaction for "OTC derivatives hedging purposes"; or</w:t>
      </w:r>
    </w:p>
    <w:p>
      <w:pPr>
        <w:pStyle w:val="Normal"/>
        <w:ind w:hanging="720" w:start="2160" w:end="0"/>
        <w:rPr/>
      </w:pPr>
      <w:r>
        <w:rPr/>
        <w:t>(b)</w:t>
        <w:tab/>
        <w:t>a "specified commodity derivative" between two qualified parties.</w:t>
      </w:r>
    </w:p>
    <w:p>
      <w:pPr>
        <w:pStyle w:val="BodyText"/>
        <w:rPr/>
      </w:pPr>
      <w:r>
        <w:rPr/>
        <w:t>A "specified commodity derivative" is defined as meaning an OTC derivative of which an underlying interest is (i) a specified commodity, or (ii) another OTC derivative of which the underlying interest is a specified commodity, while a "specified commodity" is defined as meaning "(a) whether in the original or a processed state, an agricultural product, forest product, product of the sea, mineral, metal, hydrocarbon fuel product or precious stone or other gem, …(c) electricity…"</w:t>
      </w:r>
    </w:p>
    <w:p>
      <w:pPr>
        <w:pStyle w:val="BodyText"/>
        <w:rPr/>
      </w:pPr>
      <w:r>
        <w:rPr/>
        <w:t>"Qualified parties" are those parties described in Appendix A to the Proposed Rule (primarily banks, credit unions, loan and trust companies, insurance companies, sophisticated entities, governments, corporations with consolidated assets in excess of $100 million (Cdn), pension and mutual funds, brokers, futures commission merchants).  The definition of "qualified party" also includes "a commercial user for that transaction".  A "commercial user" is basically a person that enters into a "specified commodity derivative" transaction if the person deals in its business with a specified commodity that comprises or is related to the underlying component of the transaction.  Accordingly, an oil and gas producer would be a qualified party with respect to OTC commodity derivatives where the underlying interest is oil or gas or related products.</w:t>
      </w:r>
    </w:p>
    <w:p>
      <w:pPr>
        <w:pStyle w:val="BodyText"/>
        <w:rPr/>
      </w:pPr>
      <w:r>
        <w:rPr/>
        <w:t>Consequently, commodity derivatives entered into by ECT with counterparties who are "commercial users" (or are otherwise "qualified parties") would be exempt from application of the entire OSA under the Proposed Rule, regardless of whether they constituted "securities" under the traditional analysis described below.  FX swaps on the other hand, would only be exempt if the counterparty was a qualified party or was entering into the transaction for hedging purposes.</w:t>
      </w:r>
    </w:p>
    <w:p>
      <w:pPr>
        <w:pStyle w:val="BodyText"/>
        <w:rPr/>
      </w:pPr>
      <w:r>
        <w:rPr/>
        <w:t>Two issues arise, however, within the context of OTC products to be offered by ECT through its Online Trading System:</w:t>
      </w:r>
    </w:p>
    <w:p>
      <w:pPr>
        <w:pStyle w:val="BodyText"/>
        <w:ind w:hanging="720" w:start="1440" w:end="0"/>
        <w:rPr/>
      </w:pPr>
      <w:r>
        <w:rPr/>
        <w:t>(A)</w:t>
        <w:tab/>
        <w:t>what if the Proposed Rule is not made effective by the Ontario Securities Commission?</w:t>
      </w:r>
    </w:p>
    <w:p>
      <w:pPr>
        <w:pStyle w:val="BodyText"/>
        <w:ind w:hanging="720" w:start="1440" w:end="0"/>
        <w:rPr/>
      </w:pPr>
      <w:r>
        <w:rPr/>
        <w:t>(B)</w:t>
        <w:tab/>
        <w:t xml:space="preserve">even if made effective, are the products and instruments to be offered by ECT through its Online Trading System "OTC derivatives" as defined in the Proposed Rule and thereby within the scope of the Proposed Rule. </w:t>
      </w:r>
    </w:p>
    <w:p>
      <w:pPr>
        <w:pStyle w:val="Heading5"/>
        <w:ind w:hanging="0" w:start="0"/>
        <w:rPr/>
      </w:pPr>
      <w:bookmarkStart w:id="23" w:name="__RefHeading___Toc462542594"/>
      <w:bookmarkEnd w:id="23"/>
      <w:r>
        <w:rPr/>
        <w:t>What If Proposed Rule Not Made Effective?</w:t>
      </w:r>
    </w:p>
    <w:p>
      <w:pPr>
        <w:pStyle w:val="BodyText"/>
        <w:keepNext w:val="true"/>
        <w:keepLines/>
        <w:rPr/>
      </w:pPr>
      <w:r>
        <w:rPr/>
        <w:t>The Proposed Rule is not yet in force. We have been advised by Ontario Securities Commission staff that the OSC is still in the process of reviewing comments received on the Proposed Rule and that if there are material changes resulting from such comments, a revised proposed rule will be distributed for final comment.  If there are no material changes, a final form of the Proposed Rule will be distributed.  In either case, nothing is expected to happen before early fall (</w:t>
      </w:r>
      <w:r>
        <w:rPr>
          <w:i/>
        </w:rPr>
        <w:t>ie</w:t>
      </w:r>
      <w:r>
        <w:rPr/>
        <w:t>., October).</w:t>
      </w:r>
    </w:p>
    <w:p>
      <w:pPr>
        <w:pStyle w:val="BodyText"/>
        <w:rPr/>
      </w:pPr>
      <w:r>
        <w:rPr/>
        <w:t>If the Proposed Rule is not made effective, the issue that then arises is whether any of the products or instruments offered by ECT through the Online Trading System are otherwise "securities" as defined in the OSA and subject to regulation as such.  The analysis applies equally prior to the time the Proposed Rule is made effective.</w:t>
      </w:r>
    </w:p>
    <w:p>
      <w:pPr>
        <w:pStyle w:val="BodyText"/>
        <w:rPr/>
      </w:pPr>
      <w:r>
        <w:rPr/>
        <w:t>An issue that has existed for some time is whether certain types of OTC derivatives constitute "securities" under the OSA, regardless of the manner in which such products are entered into.  The analysis is made difficult in that OTC derivatives do not fit squarely within any of the traditional categories of "securities" and there is no jurisprudence in Canada directly on point.  Accordingly each type of derivative product must be considered within the context of the statutory definition for "securities" and the relevant case law.</w:t>
      </w:r>
    </w:p>
    <w:p>
      <w:pPr>
        <w:pStyle w:val="BodyText"/>
        <w:rPr/>
      </w:pPr>
      <w:r>
        <w:rPr/>
        <w:t>The objective here is not to come to a firm conclusion as to whether the types of products and instruments to be offered by ECT on the Online Trading System constitute "securities" under the OSA; given the paucity of jurisprudence on point and the extent of academic debate on the subject, a firm conclusion in that regard (at least in Ontario) would be difficult to come to.  Rather, the issue to consider is whether the mode of entering into these Transactions (i.e., through the Online Trading System) enhances the probability that an Ontario court or the Ontario Securities Commission would characterize these Transactions as securities and, therefore, subject them to regulation as such.</w:t>
      </w:r>
    </w:p>
    <w:p>
      <w:pPr>
        <w:pStyle w:val="Heading7"/>
        <w:numPr>
          <w:ilvl w:val="6"/>
          <w:numId w:val="3"/>
        </w:numPr>
        <w:rPr/>
      </w:pPr>
      <w:bookmarkStart w:id="24" w:name="__RefHeading___Toc462542595"/>
      <w:bookmarkEnd w:id="24"/>
      <w:r>
        <w:rPr/>
        <w:t>What is a "security"?</w:t>
      </w:r>
    </w:p>
    <w:p>
      <w:pPr>
        <w:pStyle w:val="BodyText"/>
        <w:rPr/>
      </w:pPr>
      <w:r>
        <w:rPr/>
        <w:t>The OSA defines the term "security" to include</w:t>
      </w:r>
      <w:r>
        <w:rPr>
          <w:rStyle w:val="FootnoteCharacters"/>
          <w:rStyle w:val="FootnoteReference"/>
        </w:rPr>
        <w:footnoteReference w:id="22"/>
      </w:r>
      <w:r>
        <w:rPr/>
        <w:t>:</w:t>
      </w:r>
    </w:p>
    <w:p>
      <w:pPr>
        <w:pStyle w:val="Normal"/>
        <w:ind w:hanging="720" w:start="1440" w:end="0"/>
        <w:rPr/>
      </w:pPr>
      <w:r>
        <w:rPr/>
        <w:t>(a)</w:t>
        <w:tab/>
        <w:t>any document, instrument or writing commonly known as a security,</w:t>
      </w:r>
    </w:p>
    <w:p>
      <w:pPr>
        <w:pStyle w:val="Normal"/>
        <w:jc w:val="center"/>
        <w:rPr/>
      </w:pPr>
      <w:r>
        <w:rPr/>
        <w:t>* * *</w:t>
      </w:r>
    </w:p>
    <w:p>
      <w:pPr>
        <w:pStyle w:val="Normal"/>
        <w:ind w:hanging="720" w:start="1440" w:end="0"/>
        <w:rPr/>
      </w:pPr>
      <w:r>
        <w:rPr/>
        <w:t>(b)</w:t>
        <w:tab/>
        <w:t>any document constituting evidence of title to or interest in the capital, assets, property, profits, earnings or royalties of any person or company,</w:t>
      </w:r>
    </w:p>
    <w:p>
      <w:pPr>
        <w:pStyle w:val="Normal"/>
        <w:jc w:val="center"/>
        <w:rPr/>
      </w:pPr>
      <w:r>
        <w:rPr/>
        <w:t>* * *</w:t>
      </w:r>
    </w:p>
    <w:p>
      <w:pPr>
        <w:pStyle w:val="Normal"/>
        <w:ind w:hanging="720" w:start="1440" w:end="0"/>
        <w:rPr/>
      </w:pPr>
      <w:r>
        <w:rPr/>
        <w:t>(d)</w:t>
        <w:tab/>
        <w:t>any document constituting evidence of an option, subscription or other interest in or to a security,</w:t>
      </w:r>
    </w:p>
    <w:p>
      <w:pPr>
        <w:pStyle w:val="Normal"/>
        <w:jc w:val="center"/>
        <w:rPr/>
      </w:pPr>
      <w:r>
        <w:rPr/>
        <w:t>* * *</w:t>
      </w:r>
    </w:p>
    <w:p>
      <w:pPr>
        <w:pStyle w:val="Outline2"/>
        <w:rPr/>
      </w:pPr>
      <w:r>
        <w:rPr/>
        <w:t>(f)</w:t>
        <w:tab/>
        <w:t>any agreement under which the interest of the purchaser is valued for purposes of conversion or surrender by reference to the value of a proportionate interest in a specified portfolio of assets, except [certain insurance contracts],</w:t>
      </w:r>
    </w:p>
    <w:p>
      <w:pPr>
        <w:pStyle w:val="Normal"/>
        <w:jc w:val="center"/>
        <w:rPr/>
      </w:pPr>
      <w:r>
        <w:rPr/>
        <w:t>* * *</w:t>
      </w:r>
    </w:p>
    <w:p>
      <w:pPr>
        <w:pStyle w:val="Normal"/>
        <w:ind w:hanging="720" w:start="1440" w:end="0"/>
        <w:rPr/>
      </w:pPr>
      <w:r>
        <w:rPr/>
        <w:t>(n)</w:t>
        <w:tab/>
        <w:t xml:space="preserve">any investment contract, other than an investment contract within the meaning of the </w:t>
      </w:r>
      <w:r>
        <w:rPr>
          <w:i/>
        </w:rPr>
        <w:t>Investment Contracts Act</w:t>
      </w:r>
      <w:r>
        <w:rPr/>
        <w:t>; and</w:t>
      </w:r>
    </w:p>
    <w:p>
      <w:pPr>
        <w:pStyle w:val="Normal"/>
        <w:jc w:val="center"/>
        <w:rPr/>
      </w:pPr>
      <w:r>
        <w:rPr/>
        <w:t>* * *</w:t>
      </w:r>
    </w:p>
    <w:p>
      <w:pPr>
        <w:pStyle w:val="Normal"/>
        <w:ind w:hanging="720" w:start="1440" w:end="0"/>
        <w:rPr/>
      </w:pPr>
      <w:r>
        <w:rPr/>
        <w:t>(p)</w:t>
        <w:tab/>
        <w:t>any commodity futures contract or any commodity futures option that is not traded on a commodity futures exchange registered with or recognized by the Commission under the Commodity Futures Act or the form of which is not accepted by the Director under that Act.</w:t>
      </w:r>
      <w:r>
        <w:rPr>
          <w:rStyle w:val="FootnoteCharacters"/>
          <w:rStyle w:val="FootnoteReference"/>
        </w:rPr>
        <w:footnoteReference w:id="23"/>
      </w:r>
    </w:p>
    <w:p>
      <w:pPr>
        <w:pStyle w:val="Normal"/>
        <w:rPr/>
      </w:pPr>
      <w:r>
        <w:rPr/>
        <w:t xml:space="preserve">The </w:t>
      </w:r>
      <w:r>
        <w:rPr>
          <w:i/>
        </w:rPr>
        <w:t>Securities Acts</w:t>
      </w:r>
      <w:r>
        <w:rPr/>
        <w:t xml:space="preserve"> of the other provinces of Canada (except now Alberta and British Columbia which has recently enacted amendments to its securities legislation similar to those made to the ASA) contain substantially similar definitions.  While the statutory definition of "security" has many other branches, none of them would appear likely to apply to OTC derivatives.  Consequently, these six branches of the definition are considered in greater detail.</w:t>
      </w:r>
    </w:p>
    <w:p>
      <w:pPr>
        <w:pStyle w:val="BodyText"/>
        <w:rPr/>
      </w:pPr>
      <w:r>
        <w:rPr>
          <w:b/>
        </w:rPr>
        <w:t>"Instrument … commonly known as a security".</w:t>
      </w:r>
      <w:r>
        <w:rPr/>
        <w:t xml:space="preserve">  This test has been judicially considered on the basis of "what character the instrument is given in commerce by the terms of the offer, the plan of distribution and the economic inducements held out."</w:t>
      </w:r>
      <w:r>
        <w:rPr>
          <w:rStyle w:val="FootnoteCharacters"/>
          <w:rStyle w:val="FootnoteReference"/>
        </w:rPr>
        <w:footnoteReference w:id="24"/>
      </w:r>
      <w:r>
        <w:rPr/>
        <w:t xml:space="preserve">  This test has rarely been applied by securities regulatory authorities in Canada because they have generally relied on the investment contract cases considered below in determining whether an instrument is a security.  Nevertheless, its existence supports the proposition that the manner in which a derivative instrument is offered and the nature of the purchasers may be relevant in determining whether it constitutes a security.  There is little doubt, for example, that derivative instruments sold to retail investors by way of an offering document and traded on an organized market would be considered to be securities in commercial terms.  In contrast, an OTC derivative contract negotiated between two sophisticated financial institutions would not be commonly regarded as a security in commercial terms.  A similar analysis was applied by the OSC in the </w:t>
      </w:r>
      <w:r>
        <w:rPr>
          <w:i/>
        </w:rPr>
        <w:t>Lewinco</w:t>
      </w:r>
      <w:r>
        <w:rPr/>
        <w:t xml:space="preserve"> decision</w:t>
      </w:r>
      <w:r>
        <w:rPr>
          <w:rStyle w:val="FootnoteCharacters"/>
          <w:rStyle w:val="FootnoteReference"/>
        </w:rPr>
        <w:footnoteReference w:id="25"/>
      </w:r>
      <w:r>
        <w:rPr/>
        <w:t>.  Lewinco was alleged to have improperly traded spot currency contracts.  These spot currency contracts had been traded with retail investors pursuant to a marketing program comparable to a primary distribution of equity securities.  It is not clear that the OSC would have reached the same conclusion in the absence of the marketing program.</w:t>
      </w:r>
    </w:p>
    <w:p>
      <w:pPr>
        <w:pStyle w:val="BodyText"/>
        <w:rPr/>
      </w:pPr>
      <w:r>
        <w:rPr/>
        <w:t>As discussed in greater detail below, the factor mentioned above respecting the manner in which OTC derivatives are offered has some relevance in assessing whether ECT's offering of such products through the Online Trading System enhances the likelihood that such products would be characterized as securities.</w:t>
      </w:r>
    </w:p>
    <w:p>
      <w:pPr>
        <w:pStyle w:val="BodyText"/>
        <w:rPr/>
      </w:pPr>
      <w:r>
        <w:rPr>
          <w:b/>
        </w:rPr>
        <w:t>"Any document constituting evidence of an option, subscription or other interest in or to a security".</w:t>
      </w:r>
      <w:r>
        <w:rPr/>
        <w:t xml:space="preserve">  Where the underlying interest of an OTC derivative is a security, if it is cash settled only it will not provide any right, title or interest in or to the underlying interest.  Accordingly, this test should not be used to construe a cash settled OTC derivative as a security.  Conversely, physically settled OTC derivatives may constitute "an option … or other interest in or to a security" if the underlying interest is itself a security.</w:t>
      </w:r>
      <w:r>
        <w:rPr>
          <w:rStyle w:val="FootnoteCharacters"/>
          <w:rStyle w:val="FootnoteReference"/>
        </w:rPr>
        <w:footnoteReference w:id="26"/>
      </w:r>
    </w:p>
    <w:p>
      <w:pPr>
        <w:pStyle w:val="BodyText"/>
        <w:rPr/>
      </w:pPr>
      <w:r>
        <w:rPr/>
        <w:t>This test would not appear to be applicable to the OTC derivatives to be offered by ECT through the Online Trading System in that the underlying interests are not themselves securities.</w:t>
      </w:r>
    </w:p>
    <w:p>
      <w:pPr>
        <w:pStyle w:val="BodyText"/>
        <w:rPr/>
      </w:pPr>
      <w:r>
        <w:rPr>
          <w:b/>
        </w:rPr>
        <w:t>"Any agreement under which the interest of the purchaser is valued … by reference to the value of a proportionate interest in a specified portfolio of assets."</w:t>
      </w:r>
      <w:r>
        <w:rPr/>
        <w:t xml:space="preserve">  This test has not been specifically considered by any Canadian court or securities regulatory authority.  Taken literally, it might apply to OTC and many other derivatives.  It is generally interpreted, however, to require that the issuer actually hold a specific portfolio of securities and is assumed to have had the intention to define mutual fund-type securities.  Its application should be limited to economic interests that are mutual funds or like mutual funds and it should not be applied to typical OTC derivatives.</w:t>
      </w:r>
    </w:p>
    <w:p>
      <w:pPr>
        <w:pStyle w:val="BodyText"/>
        <w:rPr/>
      </w:pPr>
      <w:r>
        <w:rPr/>
        <w:t>This test would accordingly not seem to have any application to the OTC derivatives to be offered by ECT through the Online Trading System.</w:t>
      </w:r>
    </w:p>
    <w:p>
      <w:pPr>
        <w:pStyle w:val="BodyText"/>
        <w:rPr/>
      </w:pPr>
      <w:r>
        <w:rPr>
          <w:b/>
        </w:rPr>
        <w:t>"Any document constituting evidence of … an interest in the capital, assets, property, profits, earnings or royalties of any person or company."</w:t>
      </w:r>
      <w:r>
        <w:rPr/>
        <w:t xml:space="preserve">  This test was considered in </w:t>
      </w:r>
      <w:r>
        <w:rPr>
          <w:i/>
        </w:rPr>
        <w:t xml:space="preserve">Ontario (Securities Commission) </w:t>
      </w:r>
      <w:r>
        <w:rPr/>
        <w:t>v.</w:t>
      </w:r>
      <w:r>
        <w:rPr>
          <w:i/>
        </w:rPr>
        <w:t xml:space="preserve"> Brigadoon Scotch Distributors (Can.) Ltd.</w:t>
      </w:r>
      <w:r>
        <w:rPr/>
        <w:t>.</w:t>
      </w:r>
      <w:r>
        <w:rPr>
          <w:rStyle w:val="FootnoteCharacters"/>
          <w:rStyle w:val="FootnoteReference"/>
        </w:rPr>
        <w:footnoteReference w:id="27"/>
      </w:r>
      <w:r>
        <w:rPr/>
        <w:t xml:space="preserve">  In </w:t>
      </w:r>
      <w:r>
        <w:rPr>
          <w:i/>
        </w:rPr>
        <w:t>Brigadoon</w:t>
      </w:r>
      <w:r>
        <w:rPr/>
        <w:t xml:space="preserve"> the court was required to determine whether Scotch whisky warehouse receipts were securities.  The court indicated that this provision would not include documents of title which were bought and sold for purposes other than investment (i.e., receipts for goods purchased for inventory or consumption purposes.)  While OTC derivatives agreements can constitute investments and, where physical settlement of the underlying interest is required, evidence of a contractual right to the delivery of property, they are unlikely to satisfy this test.  Since OTC derivatives typically do not provide for any interest, as such, in the capital, assets, property, profits or earnings or royalties of the parties, this test would not typically be relevant to determining whether an OTC derivative is a security.</w:t>
      </w:r>
    </w:p>
    <w:p>
      <w:pPr>
        <w:pStyle w:val="BodyText"/>
        <w:rPr/>
      </w:pPr>
      <w:r>
        <w:rPr/>
        <w:t>For such reasons, this test would not apply to the OTC derivatives to be offered by ECT through the Online Trading System.</w:t>
      </w:r>
    </w:p>
    <w:p>
      <w:pPr>
        <w:pStyle w:val="BodyText"/>
        <w:rPr>
          <w:i/>
          <w:i/>
        </w:rPr>
      </w:pPr>
      <w:r>
        <w:rPr>
          <w:b/>
        </w:rPr>
        <w:t>"Any investment contract".</w:t>
      </w:r>
      <w:r>
        <w:rPr/>
        <w:t xml:space="preserve">  The leading Canadian case on the meaning of the term "investment contract" is the Supreme Court of Canada decision in </w:t>
      </w:r>
      <w:r>
        <w:rPr>
          <w:i/>
        </w:rPr>
        <w:t>Pacific Coast Coin Exchange of Canada Ltd.</w:t>
      </w:r>
      <w:r>
        <w:rPr/>
        <w:t xml:space="preserve"> v.</w:t>
      </w:r>
      <w:r>
        <w:rPr>
          <w:i/>
        </w:rPr>
        <w:t xml:space="preserve"> Ontario (Securities Commission)</w:t>
      </w:r>
      <w:r>
        <w:rPr/>
        <w:t>.</w:t>
      </w:r>
      <w:r>
        <w:rPr>
          <w:rStyle w:val="FootnoteCharacters"/>
          <w:rStyle w:val="FootnoteReference"/>
        </w:rPr>
        <w:footnoteReference w:id="28"/>
      </w:r>
      <w:r>
        <w:rPr/>
        <w:t xml:space="preserve">  Mr. Justice de Grandpré, on behalf of the majority, stated that, based on the use of this term in both the United States and Canadian legislation and the congruence of the underlying policy in the two countries, a consideration of the applicable United States decisions was required.  The Court adopted and applied the two leading American judicial tests on the meaning of investment contract, namely the "Howey test", established in </w:t>
      </w:r>
      <w:r>
        <w:rPr>
          <w:i/>
        </w:rPr>
        <w:t xml:space="preserve">Securities Exchange Commission </w:t>
      </w:r>
      <w:r>
        <w:rPr/>
        <w:t>v.</w:t>
      </w:r>
      <w:r>
        <w:rPr>
          <w:i/>
        </w:rPr>
        <w:t xml:space="preserve"> W.J. Howey Co.</w:t>
      </w:r>
      <w:r>
        <w:rPr>
          <w:rStyle w:val="FootnoteCharacters"/>
          <w:rStyle w:val="FootnoteReference"/>
          <w:i/>
        </w:rPr>
        <w:footnoteReference w:id="29"/>
      </w:r>
      <w:r>
        <w:rPr/>
        <w:t xml:space="preserve">, and the "risk capital test", established in </w:t>
      </w:r>
      <w:r>
        <w:rPr>
          <w:i/>
        </w:rPr>
        <w:t xml:space="preserve">Hawaii Commissioner of Securities </w:t>
      </w:r>
      <w:r>
        <w:rPr/>
        <w:t>v.</w:t>
      </w:r>
      <w:r>
        <w:rPr>
          <w:i/>
        </w:rPr>
        <w:t xml:space="preserve"> Hawaii Market Centres Inc.</w:t>
      </w:r>
      <w:r>
        <w:rPr>
          <w:rStyle w:val="FootnoteCharacters"/>
          <w:rStyle w:val="FootnoteReference"/>
          <w:i/>
        </w:rPr>
        <w:footnoteReference w:id="30"/>
      </w:r>
    </w:p>
    <w:p>
      <w:pPr>
        <w:pStyle w:val="BodyText"/>
        <w:rPr/>
      </w:pPr>
      <w:r>
        <w:rPr/>
        <w:t xml:space="preserve">Under the Howey test, there is an investment contract if there is </w:t>
      </w:r>
      <w:r>
        <w:fldChar w:fldCharType="begin"/>
      </w:r>
      <w:r>
        <w:rPr/>
        <w:instrText xml:space="preserve"> LISTNUM Outline \l7 </w:instrText>
      </w:r>
      <w:r>
        <w:rPr/>
      </w:r>
      <w:r>
        <w:rPr/>
        <w:fldChar w:fldCharType="separate"/>
      </w:r>
      <w:r>
        <w:rPr/>
      </w:r>
      <w:r>
        <w:rPr/>
      </w:r>
      <w:r>
        <w:rPr/>
        <w:fldChar w:fldCharType="end"/>
      </w:r>
      <w:r>
        <w:rPr/>
        <w:t xml:space="preserve"> an investment of money, </w:t>
      </w:r>
      <w:r>
        <w:fldChar w:fldCharType="begin"/>
      </w:r>
      <w:r>
        <w:rPr/>
        <w:instrText xml:space="preserve"> LISTNUM </w:instrText>
      </w:r>
      <w:r>
        <w:rPr/>
      </w:r>
      <w:r>
        <w:rPr/>
        <w:fldChar w:fldCharType="separate"/>
      </w:r>
      <w:r>
        <w:rPr/>
      </w:r>
      <w:r>
        <w:rPr/>
      </w:r>
      <w:r>
        <w:rPr/>
        <w:fldChar w:fldCharType="end"/>
      </w:r>
      <w:r>
        <w:rPr/>
        <w:t xml:space="preserve"> in a common enterprise, </w:t>
      </w:r>
      <w:r>
        <w:fldChar w:fldCharType="begin"/>
      </w:r>
      <w:r>
        <w:rPr/>
        <w:instrText xml:space="preserve"> LISTNUM </w:instrText>
      </w:r>
      <w:r>
        <w:rPr/>
      </w:r>
      <w:r>
        <w:rPr/>
        <w:fldChar w:fldCharType="separate"/>
      </w:r>
      <w:r>
        <w:rPr/>
      </w:r>
      <w:r>
        <w:rPr/>
      </w:r>
      <w:r>
        <w:rPr/>
        <w:fldChar w:fldCharType="end"/>
      </w:r>
      <w:r>
        <w:rPr/>
        <w:t xml:space="preserve"> with the expectation of profits, and </w:t>
      </w:r>
      <w:r>
        <w:fldChar w:fldCharType="begin"/>
      </w:r>
      <w:r>
        <w:rPr/>
        <w:instrText xml:space="preserve"> LISTNUM </w:instrText>
      </w:r>
      <w:r>
        <w:rPr/>
      </w:r>
      <w:r>
        <w:rPr/>
        <w:fldChar w:fldCharType="separate"/>
      </w:r>
      <w:r>
        <w:rPr/>
      </w:r>
      <w:r>
        <w:rPr/>
      </w:r>
      <w:r>
        <w:rPr/>
        <w:fldChar w:fldCharType="end"/>
      </w:r>
      <w:r>
        <w:rPr/>
        <w:t xml:space="preserve"> arising solely from the efforts of others.  The Howey test has been somewhat modified by later case law which requires only that the efforts of others be the essential managerial efforts.</w:t>
      </w:r>
      <w:r>
        <w:rPr>
          <w:rStyle w:val="FootnoteCharacters"/>
          <w:rStyle w:val="FootnoteReference"/>
        </w:rPr>
        <w:footnoteReference w:id="31"/>
      </w:r>
    </w:p>
    <w:p>
      <w:pPr>
        <w:pStyle w:val="BodyText"/>
        <w:rPr/>
      </w:pPr>
      <w:r>
        <w:rPr/>
        <w:t xml:space="preserve">The risk capital test provides that an investment contract exists where </w:t>
      </w:r>
      <w:r>
        <w:fldChar w:fldCharType="begin"/>
      </w:r>
      <w:r>
        <w:rPr/>
        <w:instrText xml:space="preserve"> LISTNUM Outline \l7 \s1</w:instrText>
      </w:r>
      <w:r>
        <w:rPr/>
      </w:r>
      <w:r>
        <w:rPr/>
        <w:fldChar w:fldCharType="separate"/>
      </w:r>
      <w:r>
        <w:rPr/>
      </w:r>
      <w:r>
        <w:rPr/>
      </w:r>
      <w:r>
        <w:rPr/>
        <w:fldChar w:fldCharType="end"/>
      </w:r>
      <w:r>
        <w:rPr/>
        <w:t xml:space="preserve"> an offeree furnishes initial value to an offeror, </w:t>
      </w:r>
      <w:r>
        <w:fldChar w:fldCharType="begin"/>
      </w:r>
      <w:r>
        <w:rPr/>
        <w:instrText xml:space="preserve"> LISTNUM </w:instrText>
      </w:r>
      <w:r>
        <w:rPr/>
      </w:r>
      <w:r>
        <w:rPr/>
        <w:fldChar w:fldCharType="separate"/>
      </w:r>
      <w:r>
        <w:rPr/>
      </w:r>
      <w:r>
        <w:rPr/>
      </w:r>
      <w:r>
        <w:rPr/>
        <w:fldChar w:fldCharType="end"/>
      </w:r>
      <w:r>
        <w:rPr/>
        <w:t xml:space="preserve"> a portion of this initial value is subject to the risks of the enterprise, </w:t>
      </w:r>
      <w:r>
        <w:fldChar w:fldCharType="begin"/>
      </w:r>
      <w:r>
        <w:rPr/>
        <w:instrText xml:space="preserve"> LISTNUM </w:instrText>
      </w:r>
      <w:r>
        <w:rPr/>
      </w:r>
      <w:r>
        <w:rPr/>
        <w:fldChar w:fldCharType="separate"/>
      </w:r>
      <w:r>
        <w:rPr/>
      </w:r>
      <w:r>
        <w:rPr/>
      </w:r>
      <w:r>
        <w:rPr/>
        <w:fldChar w:fldCharType="end"/>
      </w:r>
      <w:r>
        <w:rPr/>
        <w:t xml:space="preserve"> the furnishing of the initial value was induced by representations giving rise to a reasonable understanding that valuable benefits of some kind, over and above the initial value, will accrue to the offeree as a result of the operation of the enterprise, and </w:t>
      </w:r>
      <w:r>
        <w:fldChar w:fldCharType="begin"/>
      </w:r>
      <w:r>
        <w:rPr/>
        <w:instrText xml:space="preserve"> LISTNUM </w:instrText>
      </w:r>
      <w:r>
        <w:rPr/>
      </w:r>
      <w:r>
        <w:rPr/>
        <w:fldChar w:fldCharType="separate"/>
      </w:r>
      <w:r>
        <w:rPr/>
      </w:r>
      <w:r>
        <w:rPr/>
      </w:r>
      <w:r>
        <w:rPr/>
        <w:fldChar w:fldCharType="end"/>
      </w:r>
      <w:r>
        <w:rPr/>
        <w:t xml:space="preserve"> the offeree does not receive the right to exercise practical or actual control over managerial decisions.</w:t>
      </w:r>
    </w:p>
    <w:p>
      <w:pPr>
        <w:pStyle w:val="BodyText"/>
        <w:rPr/>
      </w:pPr>
      <w:r>
        <w:rPr/>
        <w:t xml:space="preserve">Application of both the Howey test and the risk capital test to OTC derivatives requires a consideration of the essential nature of the particular transaction.  First, where the purpose of the OTC derivative is to hedge or provide portfolio diversification (essentially, a broader form of hedging), it is difficult to construe the transaction as an "investment".  Where an OTC derivative can be considered an "investment", that is only one factor under the Howey test.  Secondly, in typical OTC derivatives transactions no capital is at risk in an enterprise and there is not a common enterprise between the counterparties.  Each of the parties is acting as principal and the parties are taking opposite views as to the prospects for the underlying interest.  Thirdly, an OTC derivative does provide the opportunity for "profits", as such, where the OTC derivative is entered into for non-hedging or speculative purposes.  Where the OTC derivative is entered into for hedging or portfolio diversification purposes, there may not be an expectation of profits as the OTC derivative is generally viewed as ancillary to the asset or liability being hedged.  These sorts of OTC derivatives generally eliminate risk for a party rather than create an expectation of profit.  Finally, in an OTC derivative transaction there is no expectation of return based on the efforts of the other party.  A counterparty enters into the contract based on its own expectations of the performance of the underlying interest and the derivative's value is typically based on market factors affecting the underlying interest.  Consequently, an OTC derivative can satisfy no more than two of the four requirements of the Howey test (i.e., it arguably could be an investment entered into with an expectation of profits).  An OTC derivative does not satisfy the other two necessary requirements.  An OTC derivative also fails to satisfy the "risk capital test" requirements because </w:t>
      </w:r>
      <w:r>
        <w:fldChar w:fldCharType="begin"/>
      </w:r>
      <w:r>
        <w:rPr/>
        <w:instrText xml:space="preserve"> LISTNUM Outline \l7 \s1</w:instrText>
      </w:r>
      <w:r>
        <w:rPr/>
      </w:r>
      <w:r>
        <w:rPr/>
        <w:fldChar w:fldCharType="separate"/>
      </w:r>
      <w:r>
        <w:rPr/>
      </w:r>
      <w:r>
        <w:rPr/>
      </w:r>
      <w:r>
        <w:rPr/>
        <w:fldChar w:fldCharType="end"/>
      </w:r>
      <w:r>
        <w:rPr/>
        <w:t xml:space="preserve"> the value furnished is not subject to enterprise risk; </w:t>
      </w:r>
      <w:r>
        <w:fldChar w:fldCharType="begin"/>
      </w:r>
      <w:r>
        <w:rPr/>
        <w:instrText xml:space="preserve"> LISTNUM </w:instrText>
      </w:r>
      <w:r>
        <w:rPr/>
      </w:r>
      <w:r>
        <w:rPr/>
        <w:fldChar w:fldCharType="separate"/>
      </w:r>
      <w:r>
        <w:rPr/>
      </w:r>
      <w:r>
        <w:rPr/>
      </w:r>
      <w:r>
        <w:rPr/>
        <w:fldChar w:fldCharType="end"/>
      </w:r>
      <w:r>
        <w:rPr/>
        <w:t xml:space="preserve"> there is no understanding that increased value will arise from the operation of the enterprise; and </w:t>
      </w:r>
      <w:r>
        <w:fldChar w:fldCharType="begin"/>
      </w:r>
      <w:r>
        <w:rPr/>
        <w:instrText xml:space="preserve"> LISTNUM </w:instrText>
      </w:r>
      <w:r>
        <w:rPr/>
      </w:r>
      <w:r>
        <w:rPr/>
        <w:fldChar w:fldCharType="separate"/>
      </w:r>
      <w:r>
        <w:rPr/>
      </w:r>
      <w:r>
        <w:rPr/>
      </w:r>
      <w:r>
        <w:rPr/>
        <w:fldChar w:fldCharType="end"/>
      </w:r>
      <w:r>
        <w:rPr/>
        <w:t xml:space="preserve"> there is no enterprise as such.</w:t>
      </w:r>
    </w:p>
    <w:p>
      <w:pPr>
        <w:pStyle w:val="BodyText"/>
        <w:rPr/>
      </w:pPr>
      <w:r>
        <w:rPr/>
        <w:t xml:space="preserve">The majority of the Supreme Court of Canada concluded in </w:t>
      </w:r>
      <w:r>
        <w:rPr>
          <w:i/>
        </w:rPr>
        <w:t>Pacific Coast</w:t>
      </w:r>
      <w:r>
        <w:rPr/>
        <w:t xml:space="preserve"> that silver coins purchased on margin involved trading in securities.  Although the court determined that each of the Howey test and risk capital test was satisfied on the facts, the central findings were that </w:t>
      </w:r>
      <w:r>
        <w:fldChar w:fldCharType="begin"/>
      </w:r>
      <w:r>
        <w:rPr/>
        <w:instrText xml:space="preserve"> LISTNUM Outline \l7 \s1</w:instrText>
      </w:r>
      <w:r>
        <w:rPr/>
      </w:r>
      <w:r>
        <w:rPr/>
        <w:fldChar w:fldCharType="separate"/>
      </w:r>
      <w:r>
        <w:rPr/>
      </w:r>
      <w:r>
        <w:rPr/>
      </w:r>
      <w:r>
        <w:rPr/>
        <w:fldChar w:fldCharType="end"/>
      </w:r>
      <w:r>
        <w:rPr/>
        <w:t xml:space="preserve"> the promoter's efforts were necessary to properly invest the funds and ensure the success of the enterprise, and </w:t>
      </w:r>
      <w:r>
        <w:fldChar w:fldCharType="begin"/>
      </w:r>
      <w:r>
        <w:rPr/>
        <w:instrText xml:space="preserve"> LISTNUM </w:instrText>
      </w:r>
      <w:r>
        <w:rPr/>
      </w:r>
      <w:r>
        <w:rPr/>
        <w:fldChar w:fldCharType="separate"/>
      </w:r>
      <w:r>
        <w:rPr/>
      </w:r>
      <w:r>
        <w:rPr/>
      </w:r>
      <w:r>
        <w:rPr/>
        <w:fldChar w:fldCharType="end"/>
      </w:r>
      <w:r>
        <w:rPr/>
        <w:t xml:space="preserve"> there was a common enterprise (in the sense that the investors advanced the necessary capital, expected the promoter to manage it properly and anticipated profits from the enterprise).  The dissenting opinion, delivered by Chief Justice Laskin, concluded that there was no investment contract, primarily because the profitability of the "enterprise" was determined by the market and not by the promoter's effort.</w:t>
      </w:r>
      <w:r>
        <w:rPr>
          <w:rStyle w:val="FootnoteCharacters"/>
          <w:rStyle w:val="FootnoteReference"/>
        </w:rPr>
        <w:footnoteReference w:id="32"/>
      </w:r>
    </w:p>
    <w:p>
      <w:pPr>
        <w:pStyle w:val="BodyText"/>
        <w:rPr/>
      </w:pPr>
      <w:r>
        <w:rPr/>
        <w:t xml:space="preserve">The </w:t>
      </w:r>
      <w:r>
        <w:rPr>
          <w:i/>
        </w:rPr>
        <w:t>Pacific Coin</w:t>
      </w:r>
      <w:r>
        <w:rPr/>
        <w:t xml:space="preserve"> case has become the leading "securities" interpretation case in Canada.  It has also resulted in the "investment contract" test being the leading (and one could argue exclusive) test in determining whether an instrument is a security.</w:t>
      </w:r>
    </w:p>
    <w:p>
      <w:pPr>
        <w:pStyle w:val="BodyText"/>
        <w:rPr/>
      </w:pPr>
      <w:r>
        <w:rPr/>
        <w:t xml:space="preserve">In any event, for the same reasons as set forth above, the OTC products to be offered by ECT through its Online Trading System would most likely not satisfy the requirements of the Howey test, the risk capital test or those enunciated in the </w:t>
      </w:r>
      <w:r>
        <w:rPr>
          <w:i/>
        </w:rPr>
        <w:t>Pacific Coin</w:t>
      </w:r>
      <w:r>
        <w:rPr/>
        <w:t xml:space="preserve"> case and, accordingly, would not constitute investment contracts.</w:t>
      </w:r>
    </w:p>
    <w:p>
      <w:pPr>
        <w:pStyle w:val="BodyText"/>
        <w:rPr/>
      </w:pPr>
      <w:r>
        <w:rPr>
          <w:b/>
        </w:rPr>
        <w:t>"Any commodity futures contract or any commodity futures option that is not traded on a commodities futures exchange …"</w:t>
      </w:r>
      <w:r>
        <w:rPr/>
        <w:t xml:space="preserve">  The </w:t>
      </w:r>
      <w:r>
        <w:rPr>
          <w:i/>
        </w:rPr>
        <w:t>Commodity Futures Act</w:t>
      </w:r>
      <w:r>
        <w:rPr/>
        <w:t xml:space="preserve"> (Ontario) applies to commodity futures contracts, being any "contract to make or take delivery of a specific quantity and quality, grade or size of a commodity during a designated future month at a price agreed upon when the contract is entered into on a commodity futures exchange pursuant to standardized terms and conditions set forth in such exchange by-laws, rules or regulations".  The term "commodity" is defined, in effect, to include cash settled products.  There is no definition of commodity futures contracts or commodity futures options in the OSA.  In the absence of such definition, the definition in the </w:t>
      </w:r>
      <w:r>
        <w:rPr>
          <w:i/>
        </w:rPr>
        <w:t>Commodity Futures Act</w:t>
      </w:r>
      <w:r>
        <w:rPr/>
        <w:t xml:space="preserve"> (Ontario) can be used in interpreting the OSA.</w:t>
      </w:r>
    </w:p>
    <w:p>
      <w:pPr>
        <w:pStyle w:val="BodyText"/>
        <w:rPr/>
      </w:pPr>
      <w:r>
        <w:rPr/>
        <w:t xml:space="preserve">There is no definitive interpretation of this branch of the definition of the term "security".  The report from which the </w:t>
      </w:r>
      <w:r>
        <w:rPr>
          <w:i/>
        </w:rPr>
        <w:t>Commodity Futures Act, 1979</w:t>
      </w:r>
      <w:r>
        <w:rPr/>
        <w:t xml:space="preserve"> (Ontario) was derived, the report of Inter-ministerial Committee on Commodity Futures Trading (Toronto; Ministry of Consumer and Commercial Relations, 1975) (the "</w:t>
      </w:r>
      <w:r>
        <w:rPr>
          <w:b/>
        </w:rPr>
        <w:t>Bray Report</w:t>
      </w:r>
      <w:r>
        <w:rPr/>
        <w:t xml:space="preserve">"), considered that commodity contracts, which were otherwise determined to be investment contracts and which were entered into outside of a commodity exchange, should be treated as securities.  Accordingly, the </w:t>
      </w:r>
      <w:r>
        <w:rPr>
          <w:i/>
        </w:rPr>
        <w:t>Commodity Futures Act</w:t>
      </w:r>
      <w:r>
        <w:rPr/>
        <w:t xml:space="preserve"> (Ontario) only applies to approved commodity futures contracts and options traded on a recognized exchange.  Other commodity futures contracts from other exchanges are caught by the definition of "security" in the OSA.  It is possible to read this branch of the definition more widely and conclude that any forward contract or option, which is not caught by the </w:t>
      </w:r>
      <w:r>
        <w:rPr>
          <w:i/>
        </w:rPr>
        <w:t>Commodity Futures Act</w:t>
      </w:r>
      <w:r>
        <w:rPr/>
        <w:t xml:space="preserve"> (Ontario) and which relates to a "commodity", constitutes a security.  Such an interpretation is, however, over-reaching.  The Bray Report's analysis is the correct one, namely, that the contract must otherwise constitute an "investment contract" to be regulated as a security.</w:t>
      </w:r>
    </w:p>
    <w:p>
      <w:pPr>
        <w:pStyle w:val="BodyText"/>
        <w:rPr/>
      </w:pPr>
      <w:r>
        <w:rPr/>
        <w:t>For the reasons set forth above regarding "investment contracts", the OTC derivatives to be offered by ECT through the Online Trading System would not be characterized as "investment contracts" and, accordingly, would not constitute a security under the "commodity futures contract" part of the definition of security.</w:t>
      </w:r>
    </w:p>
    <w:p>
      <w:pPr>
        <w:pStyle w:val="Heading7"/>
        <w:numPr>
          <w:ilvl w:val="6"/>
          <w:numId w:val="3"/>
        </w:numPr>
        <w:rPr/>
      </w:pPr>
      <w:bookmarkStart w:id="25" w:name="__RefHeading___Toc462542596"/>
      <w:bookmarkEnd w:id="25"/>
      <w:r>
        <w:rPr/>
        <w:t>Additional U.S. Jurisprudence</w:t>
      </w:r>
    </w:p>
    <w:p>
      <w:pPr>
        <w:pStyle w:val="BodyText"/>
        <w:rPr/>
      </w:pPr>
      <w:r>
        <w:rPr/>
        <w:t xml:space="preserve">In reviewing only the statutory definition of the term "security", it is difficult to conclude whether typical cash-settled OTC derivatives should be properly characterized as securities under Canadian law.  Several U.S. Supreme Court and other judicial determinations have considered when a commercial contract is a security for purposes of applicable U.S. securities legislation, and a review of these cases is helpful in refining the analysis of whether OTC derivatives are securities under Canadian law.  Based on </w:t>
      </w:r>
      <w:r>
        <w:rPr>
          <w:i/>
        </w:rPr>
        <w:t>Pacific Coast</w:t>
      </w:r>
      <w:r>
        <w:rPr/>
        <w:t xml:space="preserve"> and the similarity of the U.S. and Canadian legislation, it is likely that Canadian courts and securities regulatory authorities would rely upon these cases.</w:t>
      </w:r>
    </w:p>
    <w:p>
      <w:pPr>
        <w:pStyle w:val="BodyText"/>
        <w:rPr/>
      </w:pPr>
      <w:r>
        <w:rPr/>
        <w:t>The U.S. Supreme Court stated that the congressional intention underlying the application of U.S. federal securities laws is the economic reality underlying a transaction and not the name appended it.</w:t>
      </w:r>
      <w:r>
        <w:rPr>
          <w:rStyle w:val="FootnoteCharacters"/>
          <w:rStyle w:val="FootnoteReference"/>
        </w:rPr>
        <w:footnoteReference w:id="33"/>
      </w:r>
      <w:r>
        <w:rPr/>
        <w:t xml:space="preserve">  In </w:t>
      </w:r>
      <w:r>
        <w:rPr>
          <w:i/>
        </w:rPr>
        <w:t xml:space="preserve">United Housing Foundation Inc. </w:t>
      </w:r>
      <w:r>
        <w:rPr/>
        <w:t>v.</w:t>
      </w:r>
      <w:r>
        <w:rPr>
          <w:i/>
        </w:rPr>
        <w:t xml:space="preserve"> Forman</w:t>
      </w:r>
      <w:r>
        <w:rPr/>
        <w:t>,</w:t>
      </w:r>
      <w:r>
        <w:rPr>
          <w:rStyle w:val="FootnoteCharacters"/>
          <w:rStyle w:val="FootnoteReference"/>
        </w:rPr>
        <w:footnoteReference w:id="34"/>
      </w:r>
      <w:r>
        <w:rPr/>
        <w:t xml:space="preserve"> the court considered whether co-operative apartment shares were equivalent to investment contracts.  The court decided that they were not, considering a variety of factors including </w:t>
      </w:r>
      <w:r>
        <w:fldChar w:fldCharType="begin"/>
      </w:r>
      <w:r>
        <w:rPr/>
        <w:instrText xml:space="preserve"> LISTNUM Outline \l7 \s1</w:instrText>
      </w:r>
      <w:r>
        <w:rPr/>
      </w:r>
      <w:r>
        <w:rPr/>
        <w:fldChar w:fldCharType="separate"/>
      </w:r>
      <w:r>
        <w:rPr/>
      </w:r>
      <w:r>
        <w:rPr/>
      </w:r>
      <w:r>
        <w:rPr/>
        <w:fldChar w:fldCharType="end"/>
      </w:r>
      <w:r>
        <w:rPr/>
        <w:t xml:space="preserve"> the lack of saleability of the shares, </w:t>
      </w:r>
      <w:r>
        <w:fldChar w:fldCharType="begin"/>
      </w:r>
      <w:r>
        <w:rPr/>
        <w:instrText xml:space="preserve"> LISTNUM </w:instrText>
      </w:r>
      <w:r>
        <w:rPr/>
      </w:r>
      <w:r>
        <w:rPr/>
        <w:fldChar w:fldCharType="separate"/>
      </w:r>
      <w:r>
        <w:rPr/>
      </w:r>
      <w:r>
        <w:rPr/>
      </w:r>
      <w:r>
        <w:rPr/>
        <w:fldChar w:fldCharType="end"/>
      </w:r>
      <w:r>
        <w:rPr/>
        <w:t xml:space="preserve"> the lack of substantial risk to invested capital, and </w:t>
      </w:r>
      <w:r>
        <w:fldChar w:fldCharType="begin"/>
      </w:r>
      <w:r>
        <w:rPr/>
        <w:instrText xml:space="preserve"> LISTNUM </w:instrText>
      </w:r>
      <w:r>
        <w:rPr/>
      </w:r>
      <w:r>
        <w:rPr/>
        <w:fldChar w:fldCharType="separate"/>
      </w:r>
      <w:r>
        <w:rPr/>
      </w:r>
      <w:r>
        <w:rPr/>
      </w:r>
      <w:r>
        <w:rPr/>
        <w:fldChar w:fldCharType="end"/>
      </w:r>
      <w:r>
        <w:rPr/>
        <w:t xml:space="preserve"> that the fundamental purpose of the shareholders was to acquire suitable housing.  Essentially, the U.S. Supreme Court's test in </w:t>
      </w:r>
      <w:r>
        <w:rPr>
          <w:i/>
        </w:rPr>
        <w:t>Forman</w:t>
      </w:r>
      <w:r>
        <w:rPr/>
        <w:t xml:space="preserve"> requires that securities regulators look beyond the nominate categories and consider the instrument in question.  Similarly, in </w:t>
      </w:r>
      <w:r>
        <w:rPr>
          <w:i/>
        </w:rPr>
        <w:t>Landreth Timber Co.</w:t>
      </w:r>
      <w:r>
        <w:rPr/>
        <w:t xml:space="preserve"> v</w:t>
      </w:r>
      <w:r>
        <w:rPr>
          <w:i/>
        </w:rPr>
        <w:t>. Landreth</w:t>
      </w:r>
      <w:r>
        <w:rPr/>
        <w:t>,</w:t>
      </w:r>
      <w:r>
        <w:rPr>
          <w:rStyle w:val="FootnoteCharacters"/>
          <w:rStyle w:val="FootnoteReference"/>
        </w:rPr>
        <w:footnoteReference w:id="35"/>
      </w:r>
      <w:r>
        <w:rPr/>
        <w:t xml:space="preserve"> and in </w:t>
      </w:r>
      <w:r>
        <w:rPr>
          <w:i/>
        </w:rPr>
        <w:t xml:space="preserve">Gould </w:t>
      </w:r>
      <w:r>
        <w:rPr/>
        <w:t>v.</w:t>
      </w:r>
      <w:r>
        <w:rPr>
          <w:i/>
        </w:rPr>
        <w:t xml:space="preserve"> Ruefenacht</w:t>
      </w:r>
      <w:r>
        <w:rPr>
          <w:rStyle w:val="FootnoteCharacters"/>
          <w:rStyle w:val="FootnoteReference"/>
          <w:i/>
        </w:rPr>
        <w:footnoteReference w:id="36"/>
      </w:r>
      <w:r>
        <w:rPr/>
        <w:t>, the courts held that an instrument which was called "stock" would be stock for purposes of the applicable securities legislation only if it possessed some significant characteristics typically associated with stock or another nominate category of security.  Further, one U.S. Court has held that the attributes which must be typically associated with an instrument for it to be stock include investment risks, equity ownership, transferability of interest, rights against officers and directors, voting status, dividend rights and liquidation references.  This test has been referred to as the "substantial identity of interest test".</w:t>
      </w:r>
      <w:r>
        <w:rPr>
          <w:rStyle w:val="FootnoteCharacters"/>
          <w:rStyle w:val="FootnoteReference"/>
        </w:rPr>
        <w:footnoteReference w:id="37"/>
      </w:r>
    </w:p>
    <w:p>
      <w:pPr>
        <w:pStyle w:val="BodyText"/>
        <w:rPr/>
      </w:pPr>
      <w:r>
        <w:rPr/>
        <w:t xml:space="preserve">Finally, in </w:t>
      </w:r>
      <w:r>
        <w:rPr>
          <w:i/>
        </w:rPr>
        <w:t xml:space="preserve">Marine Bank </w:t>
      </w:r>
      <w:r>
        <w:rPr/>
        <w:t xml:space="preserve">v. </w:t>
      </w:r>
      <w:r>
        <w:rPr>
          <w:i/>
        </w:rPr>
        <w:t>Weaver</w:t>
      </w:r>
      <w:r>
        <w:rPr>
          <w:rStyle w:val="FootnoteCharacters"/>
          <w:rStyle w:val="FootnoteReference"/>
          <w:i/>
        </w:rPr>
        <w:footnoteReference w:id="38"/>
      </w:r>
      <w:r>
        <w:rPr/>
        <w:t xml:space="preserve">, the U.S. Supreme Court held that a private bilateral agreement providing for one party to share in the profits generated entirely by the other party's business did not fall within the definition of security under the United States </w:t>
      </w:r>
      <w:r>
        <w:rPr>
          <w:i/>
        </w:rPr>
        <w:t>Securities Exchange Act</w:t>
      </w:r>
      <w:r>
        <w:rPr/>
        <w:t xml:space="preserve"> because the agreement was not publicly offered or traded, it was unique (or, in other words, not fungible) and it was negotiated "one on one" by the parties.</w:t>
      </w:r>
      <w:r>
        <w:rPr>
          <w:rStyle w:val="FootnoteCharacters"/>
          <w:rStyle w:val="FootnoteReference"/>
        </w:rPr>
        <w:footnoteReference w:id="39"/>
      </w:r>
    </w:p>
    <w:p>
      <w:pPr>
        <w:pStyle w:val="BodyText"/>
        <w:rPr/>
      </w:pPr>
      <w:r>
        <w:rPr/>
        <w:t>None of the principles enunciated in these additional U.S. cases leads to the general conclusion that typical OTC derivatives are commercial contracts that would likely be characterized as securities.</w:t>
      </w:r>
    </w:p>
    <w:p>
      <w:pPr>
        <w:pStyle w:val="Heading7"/>
        <w:numPr>
          <w:ilvl w:val="6"/>
          <w:numId w:val="3"/>
        </w:numPr>
        <w:rPr/>
      </w:pPr>
      <w:bookmarkStart w:id="26" w:name="__RefHeading___Toc462542597"/>
      <w:bookmarkEnd w:id="26"/>
      <w:r>
        <w:rPr/>
        <w:t>When is a "derivative" a security?</w:t>
      </w:r>
    </w:p>
    <w:p>
      <w:pPr>
        <w:pStyle w:val="BodyText"/>
        <w:rPr/>
      </w:pPr>
      <w:r>
        <w:rPr/>
        <w:t xml:space="preserve">The answer to this question may be quite different in the case of OTC derivatives than in the case of other derivatives that appear more like conventional securities.  There has been to date no case law that definitively determines which, if any, OTC derivatives should be considered securities.  In the absence of such determination, the case law reviewed above, read in the context of the statutory definition of the term "security", should generally result in a cash settled OTC derivative with the following characteristics not being considered a security: </w:t>
      </w:r>
      <w:r>
        <w:fldChar w:fldCharType="begin"/>
      </w:r>
      <w:r>
        <w:rPr/>
        <w:instrText xml:space="preserve"> LISTNUM Outline \l7 \s1</w:instrText>
      </w:r>
      <w:r>
        <w:rPr/>
      </w:r>
      <w:r>
        <w:rPr/>
        <w:fldChar w:fldCharType="separate"/>
      </w:r>
      <w:r>
        <w:rPr/>
      </w:r>
      <w:r>
        <w:rPr/>
      </w:r>
      <w:r>
        <w:rPr/>
        <w:fldChar w:fldCharType="end"/>
      </w:r>
      <w:r>
        <w:rPr/>
        <w:t xml:space="preserve"> entered into between sophisticated parties (i.e., people who are capable of assessing the risks associated with the investment) or with a person who is hedging a particular commercial risk, </w:t>
      </w:r>
      <w:r>
        <w:fldChar w:fldCharType="begin"/>
      </w:r>
      <w:r>
        <w:rPr/>
        <w:instrText xml:space="preserve"> LISTNUM </w:instrText>
      </w:r>
      <w:r>
        <w:rPr/>
      </w:r>
      <w:r>
        <w:rPr/>
        <w:fldChar w:fldCharType="separate"/>
      </w:r>
      <w:r>
        <w:rPr/>
      </w:r>
      <w:r>
        <w:rPr/>
      </w:r>
      <w:r>
        <w:rPr/>
        <w:fldChar w:fldCharType="end"/>
      </w:r>
      <w:r>
        <w:rPr/>
        <w:t xml:space="preserve"> tailored to the individual requirements of the parties, </w:t>
      </w:r>
      <w:r>
        <w:fldChar w:fldCharType="begin"/>
      </w:r>
      <w:r>
        <w:rPr/>
        <w:instrText xml:space="preserve"> LISTNUM </w:instrText>
      </w:r>
      <w:r>
        <w:rPr/>
      </w:r>
      <w:r>
        <w:rPr/>
        <w:fldChar w:fldCharType="separate"/>
      </w:r>
      <w:r>
        <w:rPr/>
      </w:r>
      <w:r>
        <w:rPr/>
      </w:r>
      <w:r>
        <w:rPr/>
        <w:fldChar w:fldCharType="end"/>
      </w:r>
      <w:r>
        <w:rPr/>
        <w:t xml:space="preserve"> not assignable, </w:t>
      </w:r>
      <w:r>
        <w:fldChar w:fldCharType="begin"/>
      </w:r>
      <w:r>
        <w:rPr/>
        <w:instrText xml:space="preserve"> LISTNUM </w:instrText>
      </w:r>
      <w:r>
        <w:rPr/>
      </w:r>
      <w:r>
        <w:rPr/>
        <w:fldChar w:fldCharType="separate"/>
      </w:r>
      <w:r>
        <w:rPr/>
      </w:r>
      <w:r>
        <w:rPr/>
      </w:r>
      <w:r>
        <w:rPr/>
        <w:fldChar w:fldCharType="end"/>
      </w:r>
      <w:r>
        <w:rPr/>
        <w:t xml:space="preserve"> unique (i.e., not part of a fungible class of standardized contracts), </w:t>
      </w:r>
      <w:r>
        <w:fldChar w:fldCharType="begin"/>
      </w:r>
      <w:r>
        <w:rPr/>
        <w:instrText xml:space="preserve"> LISTNUM </w:instrText>
      </w:r>
      <w:r>
        <w:rPr/>
      </w:r>
      <w:r>
        <w:rPr/>
        <w:fldChar w:fldCharType="separate"/>
      </w:r>
      <w:r>
        <w:rPr/>
      </w:r>
      <w:r>
        <w:rPr/>
      </w:r>
      <w:r>
        <w:rPr/>
        <w:fldChar w:fldCharType="end"/>
      </w:r>
      <w:r>
        <w:rPr/>
        <w:t xml:space="preserve"> requires a credit analysis or otherwise takes into account the relative performance risk of the counterparty, </w:t>
      </w:r>
      <w:r>
        <w:fldChar w:fldCharType="begin"/>
      </w:r>
      <w:r>
        <w:rPr/>
        <w:instrText xml:space="preserve"> LISTNUM </w:instrText>
      </w:r>
      <w:r>
        <w:rPr/>
      </w:r>
      <w:r>
        <w:rPr/>
        <w:fldChar w:fldCharType="separate"/>
      </w:r>
      <w:r>
        <w:rPr/>
      </w:r>
      <w:r>
        <w:rPr/>
      </w:r>
      <w:r>
        <w:rPr/>
        <w:fldChar w:fldCharType="end"/>
      </w:r>
      <w:r>
        <w:rPr/>
        <w:t xml:space="preserve"> entered on a one-on-one basis, and </w:t>
      </w:r>
      <w:r>
        <w:fldChar w:fldCharType="begin"/>
      </w:r>
      <w:r>
        <w:rPr/>
        <w:instrText xml:space="preserve"> LISTNUM </w:instrText>
      </w:r>
      <w:r>
        <w:rPr/>
      </w:r>
      <w:r>
        <w:rPr/>
        <w:fldChar w:fldCharType="separate"/>
      </w:r>
      <w:r>
        <w:rPr/>
      </w:r>
      <w:r>
        <w:rPr/>
      </w:r>
      <w:r>
        <w:rPr/>
        <w:fldChar w:fldCharType="end"/>
      </w:r>
      <w:r>
        <w:rPr/>
        <w:t xml:space="preserve"> not marketed to the public.  Contracts with these characteristics do not satisfy any of the Howey test, the risk capital test or the substantial identity of interest test and do satisfy the </w:t>
      </w:r>
      <w:r>
        <w:rPr>
          <w:i/>
        </w:rPr>
        <w:t>Weaver</w:t>
      </w:r>
      <w:r>
        <w:rPr/>
        <w:t xml:space="preserve"> doctrine.  </w:t>
      </w:r>
    </w:p>
    <w:p>
      <w:pPr>
        <w:pStyle w:val="BodyText"/>
        <w:rPr/>
      </w:pPr>
      <w:r>
        <w:rPr/>
        <w:t>There is still some uncertainty in Canada on this point, however.  Provincial securities regulatory authorities in Canada have expressed the view that an OTC derivative with an equity security as its underlying interest nevertheless constitutes a security.</w:t>
      </w:r>
      <w:r>
        <w:rPr>
          <w:rStyle w:val="FootnoteCharacters"/>
          <w:rStyle w:val="FootnoteReference"/>
        </w:rPr>
        <w:footnoteReference w:id="40"/>
      </w:r>
      <w:r>
        <w:rPr/>
        <w:t xml:space="preserve">  This is a defensible view at least with respect to options on equity securities and there is certainly some attraction to this view from a policy perspective.  Also, it is not clear why this view should be limited to equity securities when the same policy concerns must exist for an OTC derivative with any sort of publicly traded security as its underlying interest.</w:t>
      </w:r>
    </w:p>
    <w:p>
      <w:pPr>
        <w:pStyle w:val="Heading7"/>
        <w:numPr>
          <w:ilvl w:val="6"/>
          <w:numId w:val="3"/>
        </w:numPr>
        <w:rPr/>
      </w:pPr>
      <w:bookmarkStart w:id="27" w:name="__RefHeading___Toc462542598"/>
      <w:bookmarkEnd w:id="27"/>
      <w:r>
        <w:rPr/>
        <w:t>OTC derivatives on the Online Trading System</w:t>
      </w:r>
    </w:p>
    <w:p>
      <w:pPr>
        <w:pStyle w:val="BodyText"/>
        <w:rPr/>
      </w:pPr>
      <w:r>
        <w:rPr/>
        <w:t>As is evident from the foregoing discussion regarding application of the legislation and related jurisprudence to OTC derivatives, it is difficult to reach a conclusion that OTC derivatives of any type, other than perhaps physically settled OTC equity derivatives, constitute "securities" as defined in the OSA.  As discussed above, the types of OTC derivatives that we understand ECT intends to offer through their Online Trading System are not:</w:t>
      </w:r>
    </w:p>
    <w:p>
      <w:pPr>
        <w:pStyle w:val="Bullet"/>
        <w:rPr/>
      </w:pPr>
      <w:r>
        <w:rPr>
          <w:rFonts w:eastAsia="Wingdings" w:cs="Wingdings" w:ascii="Wingdings" w:hAnsi="Wingdings"/>
        </w:rPr>
        <w:sym w:font="Wingdings" w:char="f06c"/>
      </w:r>
      <w:r>
        <w:rPr/>
        <w:tab/>
        <w:t>documents constituting evidence of an option, subscription or other interest in or to a security;</w:t>
      </w:r>
    </w:p>
    <w:p>
      <w:pPr>
        <w:pStyle w:val="Normal"/>
        <w:ind w:hanging="720" w:start="1440" w:end="0"/>
        <w:rPr/>
      </w:pPr>
      <w:r>
        <w:rPr>
          <w:rFonts w:eastAsia="Wingdings" w:cs="Wingdings" w:ascii="Wingdings" w:hAnsi="Wingdings"/>
        </w:rPr>
        <w:sym w:font="Wingdings" w:char="f06c"/>
      </w:r>
      <w:r>
        <w:rPr/>
        <w:tab/>
        <w:t>agreements under which the interest of the purchaser is valued .... by reference to the value of a proportionate interest in a specified portfolio of assets;</w:t>
      </w:r>
    </w:p>
    <w:p>
      <w:pPr>
        <w:pStyle w:val="Normal"/>
        <w:ind w:hanging="720" w:start="1440" w:end="0"/>
        <w:rPr/>
      </w:pPr>
      <w:r>
        <w:rPr>
          <w:rStyle w:val="Prompt"/>
          <w:rFonts w:eastAsia="Wingdings" w:cs="Wingdings" w:ascii="Wingdings" w:hAnsi="Wingdings"/>
          <w:color w:val="auto"/>
        </w:rPr>
        <w:sym w:font="Wingdings" w:char="f06c"/>
      </w:r>
      <w:r>
        <w:rPr/>
        <w:tab/>
        <w:t>documents constituting evidence of ... an interest in the capital, assets, property, profits, earnings or royalties of any person or company;</w:t>
      </w:r>
    </w:p>
    <w:p>
      <w:pPr>
        <w:pStyle w:val="Normal"/>
        <w:ind w:hanging="720" w:start="1440" w:end="0"/>
        <w:rPr/>
      </w:pPr>
      <w:r>
        <w:rPr>
          <w:rStyle w:val="Prompt"/>
          <w:rFonts w:eastAsia="Wingdings" w:cs="Wingdings" w:ascii="Wingdings" w:hAnsi="Wingdings"/>
          <w:color w:val="auto"/>
        </w:rPr>
        <w:sym w:font="Wingdings" w:char="f06c"/>
      </w:r>
      <w:r>
        <w:rPr/>
        <w:tab/>
        <w:t xml:space="preserve">an investment contract; or </w:t>
      </w:r>
    </w:p>
    <w:p>
      <w:pPr>
        <w:pStyle w:val="Normal"/>
        <w:ind w:hanging="720" w:start="1440" w:end="0"/>
        <w:rPr/>
      </w:pPr>
      <w:r>
        <w:rPr>
          <w:rStyle w:val="Prompt"/>
          <w:rFonts w:eastAsia="Wingdings" w:cs="Wingdings" w:ascii="Wingdings" w:hAnsi="Wingdings"/>
          <w:color w:val="auto"/>
        </w:rPr>
        <w:sym w:font="Wingdings" w:char="f06c"/>
      </w:r>
      <w:r>
        <w:rPr/>
        <w:tab/>
        <w:t>a commodity futures contract.</w:t>
      </w:r>
    </w:p>
    <w:p>
      <w:pPr>
        <w:pStyle w:val="Normal"/>
        <w:rPr/>
      </w:pPr>
      <w:r>
        <w:rPr/>
        <w:t xml:space="preserve">Nor do such OTC derivatives satisfy the requirements of the Howey test, the risk capital test or the principles enunciated in the </w:t>
      </w:r>
      <w:r>
        <w:rPr>
          <w:i/>
        </w:rPr>
        <w:t>Pacific Coin</w:t>
      </w:r>
      <w:r>
        <w:rPr/>
        <w:t xml:space="preserve"> case, which represent the tests and guiding principles that we believe would be applied by courts in determining whether an instrument is a security.</w:t>
      </w:r>
    </w:p>
    <w:p>
      <w:pPr>
        <w:pStyle w:val="BodyText"/>
        <w:rPr/>
      </w:pPr>
      <w:r>
        <w:rPr/>
        <w:t>The only head of the definition of "security" in the OSA that would appear to have any possible application in the present circumstances would be "any ... instrument ... commonly known as a security", and even this head seems awkward in its application.  We would be hard-pressed to suggest that OTC derivatives of the types to be offered by ECT through the Online Trading System would, of and by themselves, be "commonly known" as securities, particularly to participants in the OTC market.</w:t>
      </w:r>
    </w:p>
    <w:p>
      <w:pPr>
        <w:pStyle w:val="BodyText"/>
        <w:rPr/>
      </w:pPr>
      <w:r>
        <w:rPr/>
        <w:t>However, the various types of instruments and agreements expressly referenced in the definition of "security" are not exhaustive of what can constitute a security.  There are aspects of the OTC derivatives to be offered by ECT through the Online Trading System and the manner in which they are to be offered through the Online Trading System which have been addressed in the jurisprudence discussed above and that accordingly may make it somewhat easier for a court to characterize them as securities for the purpose of the OSA.   Relevant in this regard are the following:</w:t>
      </w:r>
    </w:p>
    <w:p>
      <w:pPr>
        <w:pStyle w:val="Normal"/>
        <w:ind w:hanging="720" w:start="1440" w:end="0"/>
        <w:rPr/>
      </w:pPr>
      <w:r>
        <w:rPr>
          <w:rStyle w:val="Prompt"/>
          <w:rFonts w:eastAsia="Wingdings" w:cs="Wingdings" w:ascii="Wingdings" w:hAnsi="Wingdings"/>
          <w:color w:val="auto"/>
        </w:rPr>
        <w:sym w:font="Wingdings" w:char="f06c"/>
      </w:r>
      <w:r>
        <w:rPr/>
        <w:tab/>
      </w:r>
      <w:r>
        <w:rPr>
          <w:i/>
        </w:rPr>
        <w:t>individually tailored</w:t>
      </w:r>
      <w:r>
        <w:rPr/>
        <w:t xml:space="preserve">  - OTC derivatives offered by ECT through the Online Trading System are arguably not individually tailored.  Individually tailored or structured Transactions would be difficult to offer through the Online Trading System;</w:t>
      </w:r>
    </w:p>
    <w:p>
      <w:pPr>
        <w:pStyle w:val="Normal"/>
        <w:ind w:hanging="720" w:start="1440" w:end="0"/>
        <w:rPr/>
      </w:pPr>
      <w:r>
        <w:rPr>
          <w:rStyle w:val="Prompt"/>
          <w:rFonts w:eastAsia="Wingdings" w:cs="Wingdings" w:ascii="Wingdings" w:hAnsi="Wingdings"/>
          <w:color w:val="auto"/>
        </w:rPr>
        <w:sym w:font="Wingdings" w:char="f06c"/>
      </w:r>
      <w:r>
        <w:rPr/>
        <w:tab/>
      </w:r>
      <w:r>
        <w:rPr>
          <w:i/>
        </w:rPr>
        <w:t xml:space="preserve">fungibility </w:t>
      </w:r>
      <w:r>
        <w:rPr/>
        <w:t>- the Transactions do not appear to be unique.  Although ECT and its counterparties may have entered into individually negotiated master agreements, the principal business terms of the Transactions to be offered through the Online Trading System will be largely standardized.  This aspect will be compounded in those cases where ECT and a particular counterparty have not manually executed a master agreement but have agreed to be bound by the general terms and conditions posted on the Online Trading System;</w:t>
      </w:r>
    </w:p>
    <w:p>
      <w:pPr>
        <w:pStyle w:val="Normal"/>
        <w:ind w:hanging="720" w:start="1440" w:end="0"/>
        <w:rPr/>
      </w:pPr>
      <w:r>
        <w:rPr>
          <w:rStyle w:val="Prompt"/>
          <w:rFonts w:eastAsia="Wingdings" w:cs="Wingdings" w:ascii="Wingdings" w:hAnsi="Wingdings"/>
          <w:color w:val="auto"/>
        </w:rPr>
        <w:sym w:font="Wingdings" w:char="f06c"/>
      </w:r>
      <w:r>
        <w:rPr/>
        <w:tab/>
      </w:r>
      <w:r>
        <w:rPr>
          <w:i/>
        </w:rPr>
        <w:t>publicly traded</w:t>
      </w:r>
      <w:r>
        <w:rPr/>
        <w:t xml:space="preserve"> - the general public will not have trading privileges on ECT's Online Trading System.  Only authorized counterparties and their traders will be given access.  However, within that set of authorized counterparties, anyone will be entitled to enter into Transactions with ECT  on the basis of the posted bid-ask prices for the various commodities and products;</w:t>
      </w:r>
    </w:p>
    <w:p>
      <w:pPr>
        <w:pStyle w:val="Normal"/>
        <w:ind w:hanging="720" w:start="1440" w:end="0"/>
        <w:rPr/>
      </w:pPr>
      <w:r>
        <w:rPr>
          <w:rStyle w:val="Prompt"/>
          <w:rFonts w:eastAsia="Wingdings" w:cs="Wingdings" w:ascii="Wingdings" w:hAnsi="Wingdings"/>
          <w:color w:val="auto"/>
        </w:rPr>
        <w:sym w:font="Wingdings" w:char="f06c"/>
      </w:r>
      <w:r>
        <w:rPr/>
        <w:tab/>
      </w:r>
      <w:r>
        <w:rPr>
          <w:i/>
        </w:rPr>
        <w:t>one-on-one basis</w:t>
      </w:r>
      <w:r>
        <w:rPr/>
        <w:t xml:space="preserve"> - it would be difficult to suggest that ECT is dealing with counterparties on a one-on-one basis in respect of its Online Trading System.  Anyone of the authorized counterparties is entitled to enter into a Transaction on the basis of the posted quotes.  The posted quotes are offered to all authorized counterparties.  No one-on-one negotiation is undertaken for individual transactions.</w:t>
      </w:r>
    </w:p>
    <w:p>
      <w:pPr>
        <w:pStyle w:val="BodyText"/>
        <w:rPr/>
      </w:pPr>
      <w:r>
        <w:rPr/>
        <w:t>In addition to the foregoing, the Online Trading System appears to have some of the look and feel of  an online system used to buy and sell traditional securities.</w:t>
      </w:r>
    </w:p>
    <w:p>
      <w:pPr>
        <w:pStyle w:val="BodyText"/>
        <w:rPr/>
      </w:pPr>
      <w:r>
        <w:rPr/>
        <w:t>All of these factors could be relied upon by a court to conclude that OTC derivatives offered by ECT through its Online Trading System are "securities" for the purposes of the OSA.   However, notwithstanding the presence of these factors, there remains other factors referenced above that would move the analysis away from such conclusion, including:</w:t>
      </w:r>
    </w:p>
    <w:p>
      <w:pPr>
        <w:pStyle w:val="Normal"/>
        <w:ind w:hanging="720" w:start="1440" w:end="0"/>
        <w:rPr/>
      </w:pPr>
      <w:r>
        <w:rPr>
          <w:rStyle w:val="Prompt"/>
          <w:rFonts w:eastAsia="Wingdings" w:cs="Wingdings" w:ascii="Wingdings" w:hAnsi="Wingdings"/>
          <w:color w:val="auto"/>
        </w:rPr>
        <w:sym w:font="Wingdings" w:char="f06c"/>
      </w:r>
      <w:r>
        <w:rPr/>
        <w:tab/>
      </w:r>
      <w:r>
        <w:rPr>
          <w:i/>
        </w:rPr>
        <w:t>creditworthiness</w:t>
      </w:r>
      <w:r>
        <w:rPr/>
        <w:t xml:space="preserve"> - the creditworthiness of the counterparties remains a material part of the Transaction.  Authorized counterparties will only be entitled to enter into Transactions that leave them within their pre-authorized credit exposure thresholds;</w:t>
      </w:r>
    </w:p>
    <w:p>
      <w:pPr>
        <w:pStyle w:val="Normal"/>
        <w:ind w:hanging="720" w:start="1440" w:end="0"/>
        <w:rPr/>
      </w:pPr>
      <w:r>
        <w:rPr>
          <w:rStyle w:val="Prompt"/>
          <w:rFonts w:eastAsia="Wingdings" w:cs="Wingdings" w:ascii="Wingdings" w:hAnsi="Wingdings"/>
          <w:color w:val="auto"/>
        </w:rPr>
        <w:sym w:font="Wingdings" w:char="f06c"/>
      </w:r>
      <w:r>
        <w:rPr/>
        <w:tab/>
      </w:r>
      <w:r>
        <w:rPr>
          <w:i/>
        </w:rPr>
        <w:t>assignability</w:t>
      </w:r>
      <w:r>
        <w:rPr/>
        <w:t xml:space="preserve"> - Transactions entered into through the Online Trading System would presumably not be assignable, except with the other counterparty's consent;</w:t>
      </w:r>
    </w:p>
    <w:p>
      <w:pPr>
        <w:pStyle w:val="Normal"/>
        <w:ind w:hanging="720" w:start="1440" w:end="0"/>
        <w:rPr/>
      </w:pPr>
      <w:r>
        <w:rPr>
          <w:rStyle w:val="Prompt"/>
          <w:rFonts w:eastAsia="Wingdings" w:cs="Wingdings" w:ascii="Wingdings" w:hAnsi="Wingdings"/>
          <w:color w:val="auto"/>
        </w:rPr>
        <w:sym w:font="Wingdings" w:char="f06c"/>
      </w:r>
      <w:r>
        <w:rPr>
          <w:rStyle w:val="Prompt"/>
          <w:color w:val="auto"/>
        </w:rPr>
        <w:tab/>
      </w:r>
      <w:r>
        <w:rPr>
          <w:i/>
        </w:rPr>
        <w:t xml:space="preserve">commercial users </w:t>
      </w:r>
      <w:r>
        <w:rPr/>
        <w:t>- ECT's counterparties are largely sophisticated parties or parties that are exposed to commodity or currency price fluctuations or are entering into the transactions for hedging purposes; and</w:t>
      </w:r>
    </w:p>
    <w:p>
      <w:pPr>
        <w:pStyle w:val="Normal"/>
        <w:ind w:hanging="720" w:start="1440" w:end="0"/>
        <w:rPr/>
      </w:pPr>
      <w:r>
        <w:rPr>
          <w:rStyle w:val="Prompt"/>
          <w:rFonts w:eastAsia="Wingdings" w:cs="Wingdings" w:ascii="Wingdings" w:hAnsi="Wingdings"/>
          <w:color w:val="auto"/>
        </w:rPr>
        <w:sym w:font="Wingdings" w:char="f06c"/>
      </w:r>
      <w:r>
        <w:rPr/>
        <w:tab/>
      </w:r>
      <w:r>
        <w:rPr>
          <w:i/>
        </w:rPr>
        <w:t>traditional tests</w:t>
      </w:r>
      <w:r>
        <w:rPr/>
        <w:t xml:space="preserve"> - the OTC derivatives offered by ECT do not satisfy most elements of any of the traditional "investment contract" tests (ie., no common enterprise and no expectation of profits arising from the efforts of others).</w:t>
      </w:r>
    </w:p>
    <w:p>
      <w:pPr>
        <w:pStyle w:val="BodyText"/>
        <w:rPr/>
      </w:pPr>
      <w:r>
        <w:rPr/>
        <w:t>On balance, we believe that the OTC derivatives products to be offered by ECT through the Online Trading System are not securities.  However, there is material uncertainty in this conclusion.</w:t>
      </w:r>
    </w:p>
    <w:p>
      <w:pPr>
        <w:pStyle w:val="Heading5"/>
        <w:ind w:hanging="0" w:start="0"/>
        <w:rPr/>
      </w:pPr>
      <w:bookmarkStart w:id="28" w:name="__RefHeading___Toc462542599"/>
      <w:bookmarkEnd w:id="28"/>
      <w:r>
        <w:rPr/>
        <w:t>Are the Online Products "OTC derivatives" for purposes of the Proposed Rule?</w:t>
      </w:r>
    </w:p>
    <w:p>
      <w:pPr>
        <w:pStyle w:val="BodyText"/>
        <w:rPr/>
      </w:pPr>
      <w:r>
        <w:rPr/>
        <w:t>Even if the Proposed Rule is made effective in its current or a similar form, an issue exists as to whether some or all of the products and instruments proposed to be offered by ECT through the Online Trading System constitute "OTC derivatives" as defined in the Proposed Rule.  If not, then ECT and its counterparties would not be entitled to avail themselves of the exemptions provided under the Proposed Rule and would be forced to turn back to the traditional analysis set forth above as to whether such products or instruments are "securities", and if so, whether any statutory exemptions from the prospectus and registration requirements of the OSA are applicable.</w:t>
      </w:r>
    </w:p>
    <w:p>
      <w:pPr>
        <w:pStyle w:val="BodyText"/>
        <w:rPr/>
      </w:pPr>
      <w:r>
        <w:rPr/>
        <w:t>The Proposed Rule defines "OTC derivative" as meaning:</w:t>
      </w:r>
    </w:p>
    <w:p>
      <w:pPr>
        <w:pStyle w:val="BodyText"/>
        <w:ind w:hanging="0" w:start="1440" w:end="0"/>
        <w:rPr/>
      </w:pPr>
      <w:r>
        <w:rPr/>
        <w:t>... an option, a forward contract, or a contract for differences of a type commonly considered to be a derivative, in which</w:t>
      </w:r>
    </w:p>
    <w:p>
      <w:pPr>
        <w:pStyle w:val="BodyText"/>
        <w:ind w:hanging="720" w:start="2160" w:end="0"/>
        <w:rPr/>
      </w:pPr>
      <w:r>
        <w:rPr/>
        <w:t>(a)</w:t>
        <w:tab/>
        <w:t>the agreement relating to, and the material economic terms of, the option, forward contract or contract for differences have been customized to the purposes of the parties to the agreement and the agreement is not part of a fungible class of agreements that are standardized as to their material economic terms,</w:t>
      </w:r>
    </w:p>
    <w:p>
      <w:pPr>
        <w:pStyle w:val="BodyText"/>
        <w:ind w:hanging="720" w:start="2160" w:end="0"/>
        <w:rPr/>
      </w:pPr>
      <w:r>
        <w:rPr/>
        <w:t>(b)</w:t>
        <w:tab/>
        <w:t xml:space="preserve">the creditworthiness of a party having an obligation under the agreement would be a material consideration in entering into or determining the terms of the agreement, and </w:t>
      </w:r>
    </w:p>
    <w:p>
      <w:pPr>
        <w:pStyle w:val="BodyText"/>
        <w:ind w:hanging="720" w:start="2160" w:end="0"/>
        <w:rPr/>
      </w:pPr>
      <w:r>
        <w:rPr/>
        <w:t>(c)</w:t>
        <w:tab/>
        <w:t>the agreement is not entered into or traded on or through an organized market, stock exchange or futures exchange and cleared by a clearing corporation;</w:t>
      </w:r>
    </w:p>
    <w:p>
      <w:pPr>
        <w:pStyle w:val="BodyText"/>
        <w:rPr/>
      </w:pPr>
      <w:r>
        <w:rPr/>
        <w:t>Based on our understanding of the nature of the products to be offered by ECT through the Online Trading System, an argument could be made that such products, while meeting the requirements set forth in sub-paragraph (c) of the definition, and perhaps sub-paragraph (b) of the definition, do not satisfy the requirements set forth in sub-paragraph (a) of the definition.</w:t>
      </w:r>
    </w:p>
    <w:p>
      <w:pPr>
        <w:pStyle w:val="BodyText"/>
        <w:rPr/>
      </w:pPr>
      <w:r>
        <w:rPr/>
        <w:t>In the Companion Policy issued by the Ontario Securities Commission in connection with the Proposed Rule (Companion Policy 91-504CP), the Commission, within the context of sub-paragraph (a) of the definition of "OTC derivative", expresses the view that "a master agreement, such as the ISDA form of agreement, and any supplements to the master agreement, should not be considered to be an agreement that is standardized as to its material economic terms", without providing any reasons for holding such view. This comment is not particularly helpful as a result.  The material economic terms of Transactions are typically not provided for in the master agreement or schedule thereto, but in the confirmation forms that are executed under the master agreement on a Transaction by Transaction basis.  Such confirmation forms could be viewed as "supplements to the master agreement", but if a party is offering to enter into Transactions with various counterparties having the same "material economic terms", it is not clear how such Transactions would be anything but "an agreement that is standardized as to its material economic terms".</w:t>
      </w:r>
    </w:p>
    <w:p>
      <w:pPr>
        <w:pStyle w:val="BodyText"/>
        <w:rPr/>
      </w:pPr>
      <w:r>
        <w:rPr/>
        <w:t>The provision of bid-ask information and other standardized terms and conditions for the products offered on the Online Trading System would at first blush give such products the appearance of being "... part of a fungible class of agreements that are standardized as to their material economic terms".  As noted above, the products to be offered by ECT through the Online Trading System are not particularly unique, will not be tailored to or customized for the purposes of a particular counterparty and are not negotiated on a one-on-one basis.  The basic bid-ask and other terms of Transactions that ECT is offering will be posted on the Online Trading System and will be available for any authorized counterparty to accept.   There will presumably be volume limitations on the number and size of the Transactions that ECT is prepared to enter into at any stipulated price, but within such limitations, we understand that the terms will be largely standardized from counterparty to counterparty.    This concern is emphasized in those instances where ECT and the counterparty have not manually entered into a master agreement but have agreed to be bound by the general terms and conditions posted on the Online Trading System.</w:t>
      </w:r>
    </w:p>
    <w:p>
      <w:pPr>
        <w:pStyle w:val="BodyText"/>
        <w:rPr/>
      </w:pPr>
      <w:r>
        <w:rPr/>
        <w:t xml:space="preserve">The issue of whether OTC products offered by ECT satisfy the first requirement of "OTC derivative" as defined in the Proposed Rule would seem to be less of a concern with respect to the current modes of entering into Transactions (ie., by phone or fax), where one-on-one communication takes place in order to complete a Transaction.  In such instances, one can more readily argue that the parties are negotiating or tailoring the Transaction to their specific needs.  However, where the same basic bid-ask and other terms are posted and made concurrently available to a class of persons, the degree of standardization, and attendant lack of customization, make the issue more tangible.  </w:t>
      </w:r>
    </w:p>
    <w:p>
      <w:pPr>
        <w:pStyle w:val="BodyText"/>
        <w:rPr/>
      </w:pPr>
      <w:r>
        <w:rPr/>
        <w:t>In light of this concern, and given that the Proposed Rule remains in draft form, it may be of some benefit to ECT to submit a written comment to the Ontario Securities Commission in an effort to soften up the first requirement of the definition of "OTC derivative".  Alternatively, we would be pleased to do so on your behalf.</w:t>
      </w:r>
    </w:p>
    <w:p>
      <w:pPr>
        <w:pStyle w:val="Heading3"/>
        <w:ind w:hanging="0" w:start="0"/>
        <w:rPr/>
      </w:pPr>
      <w:bookmarkStart w:id="29" w:name="__RefHeading___Toc462542600"/>
      <w:bookmarkEnd w:id="29"/>
      <w:r>
        <w:rPr/>
        <w:t>Does the Online Trading System Constitute an Exchange?</w:t>
      </w:r>
    </w:p>
    <w:p>
      <w:pPr>
        <w:pStyle w:val="BodyText"/>
        <w:rPr/>
      </w:pPr>
      <w:r>
        <w:rPr/>
        <w:t>Another issue to consider within the context of securities regulation is whether the Online Trading System would be characterized as an exchange and subject to regulation as such.  In this regard, the securities legislation in both provinces prohibits the operation of an exchange unless the operator is recognized by the applicable commission.</w:t>
      </w:r>
    </w:p>
    <w:p>
      <w:pPr>
        <w:pStyle w:val="Heading4"/>
        <w:ind w:hanging="0" w:start="0"/>
        <w:rPr/>
      </w:pPr>
      <w:bookmarkStart w:id="30" w:name="__RefHeading___Toc462542601"/>
      <w:bookmarkEnd w:id="30"/>
      <w:r>
        <w:rPr/>
        <w:t>Alberta Legislation</w:t>
      </w:r>
    </w:p>
    <w:p>
      <w:pPr>
        <w:pStyle w:val="BodyText"/>
        <w:rPr/>
      </w:pPr>
      <w:r>
        <w:rPr/>
        <w:t>Section 52(1) of the ASA states that "[n]o person or company shall carry on business as an exchange in Alberta unless the person or company is recognized by the Commission as an exchange".  The Alberta Stock Exchange is the only exchange recognized under Section 52(1) to carry on business as an exchange in Alberta.  Although the provision is very clear, the particular activities it is attempting to regulate are not, because the word "exchange" is not defined in the ASA.</w:t>
      </w:r>
    </w:p>
    <w:p>
      <w:pPr>
        <w:pStyle w:val="Normal"/>
        <w:ind w:firstLine="720" w:end="0"/>
        <w:rPr/>
      </w:pPr>
      <w:r>
        <w:rPr/>
        <w:t xml:space="preserve">However, given that the Commission does not generally have jurisdiction to regulate matters other than where securities are involved, the term "exchange", as used in the ASA and Section 52(1) in particular, would likely only refer to a "securities" exchange.  Other types of exchanges would not be caught.  During the currency of the Alberta Securities Commission blanket order discussed above, OTC derivative products entered into by ECT and its counterparties through the Online Trading System should not constitute securities, provided such counterparties are "qualified parties", and, accordingly, the Online Trading System should not, for that reason, constitute an "exchange" subject to regulation under the ASA.  </w:t>
      </w:r>
    </w:p>
    <w:p>
      <w:pPr>
        <w:pStyle w:val="Heading4"/>
        <w:ind w:hanging="0" w:start="0"/>
        <w:rPr/>
      </w:pPr>
      <w:bookmarkStart w:id="31" w:name="__RefHeading___Toc462542602"/>
      <w:bookmarkEnd w:id="31"/>
      <w:r>
        <w:rPr/>
        <w:t>Ontario Legislation</w:t>
      </w:r>
    </w:p>
    <w:p>
      <w:pPr>
        <w:pStyle w:val="BodyText"/>
        <w:rPr/>
      </w:pPr>
      <w:r>
        <w:rPr/>
        <w:t>The OSA similarly states that "[n]o person or company shall carry on business as a stock exchange in Ontario unless recognized by the Commission under this section".  As in Alberta, a definition of "stock exchange" is not contained within the OSA.  OSC Policy 3.1-Recognition by the Commission Of Stock Exchanges, etc. recognizes The Toronto Stock Exchange and the Toronto Futures Exchange as the only exchanges authorized to carry on business in Ontario.  This recognition is similar to that given by the Alberta Securities Commission and does not illuminate the meaning of "stock exchange" or "exchange" any more effectively.</w:t>
      </w:r>
    </w:p>
    <w:p>
      <w:pPr>
        <w:pStyle w:val="BodyText"/>
        <w:rPr/>
      </w:pPr>
      <w:r>
        <w:rPr/>
        <w:t>However, as noted above in respect of the ASA, given the regulatory mandate of the Ontario Securities Commission, the term "stock exchange" likely cannot extend beyond "securities" exchanges. If the Proposed Rule is made effective, this issue would only apply to those OTC derivatives that are not exempted entirely from the application of the OSA.  If the Proposed Rule is not made effective, this issue would only apply to OTC derivatives offered by ECT if such products, as offered by ECT through the Online Trading System, constitute securities as discussed in detail above.</w:t>
      </w:r>
    </w:p>
    <w:p>
      <w:pPr>
        <w:pStyle w:val="Heading4"/>
        <w:ind w:hanging="0" w:start="0"/>
        <w:rPr/>
      </w:pPr>
      <w:bookmarkStart w:id="32" w:name="__RefHeading___Toc462542603"/>
      <w:bookmarkEnd w:id="32"/>
      <w:r>
        <w:rPr/>
        <w:t>Canadian Judicial Consideration</w:t>
      </w:r>
    </w:p>
    <w:p>
      <w:pPr>
        <w:pStyle w:val="BodyText"/>
        <w:rPr/>
      </w:pPr>
      <w:r>
        <w:rPr/>
        <w:t xml:space="preserve">There is a paucity of judicial consideration regarding the term "exchange" in Canada.  The only case that we have been able to locate which discusses the term is that of </w:t>
      </w:r>
      <w:r>
        <w:rPr>
          <w:i/>
        </w:rPr>
        <w:t>Re Bluestein and the Quee</w:t>
      </w:r>
      <w:r>
        <w:rPr/>
        <w:t>n</w:t>
      </w:r>
      <w:r>
        <w:rPr>
          <w:rStyle w:val="FootnoteCharacters"/>
          <w:rStyle w:val="FootnoteReference"/>
          <w:i/>
        </w:rPr>
        <w:footnoteReference w:id="41"/>
      </w:r>
      <w:r>
        <w:rPr/>
        <w:t xml:space="preserve">.  In that decision, the Quebec Superior Court examined the meaning of the word "stock exchange" within the context of the </w:t>
      </w:r>
      <w:r>
        <w:rPr>
          <w:i/>
        </w:rPr>
        <w:t>Criminal Code</w:t>
      </w:r>
      <w:r>
        <w:rPr/>
        <w:t xml:space="preserve">.  Although the legislative objectives underlying the </w:t>
      </w:r>
      <w:r>
        <w:rPr>
          <w:i/>
        </w:rPr>
        <w:t xml:space="preserve">Criminal Code </w:t>
      </w:r>
      <w:r>
        <w:rPr/>
        <w:t>and securities legislation are not generally comparable, the discussion of "stock exchange" in this case, given the lack of Canadian jurisprudence directly on point, may provide some guidance.  In the decision, Malouf J. examined a variety of dictionary definitions and concluded that the "four essential elements appearing in each definition are, namely, a reunion of persons, a particular place, buying and selling, and finally buying and selling of a particular class of things, namely, securities"</w:t>
      </w:r>
      <w:r>
        <w:rPr>
          <w:rStyle w:val="FootnoteCharacters"/>
          <w:rStyle w:val="FootnoteReference"/>
        </w:rPr>
        <w:footnoteReference w:id="42"/>
      </w:r>
      <w:r>
        <w:rPr/>
        <w:t>.  The Online Trading System would, if the OTC derivatives products to be offered thereon constitute "securities", appear to satisfy three of those four requirements - namely, "a particular place", "buying and selling" and "buying and selling of a particular class of things, namely, securities".  The question to consider is whether the Online Trading System provides for a "reunion of persons", given that ECT, through the Online Trading System, is not bringing together multiple buyers and sellers, but rather, is on the other side of every Transaction entered into through the Online Trading System.</w:t>
      </w:r>
    </w:p>
    <w:p>
      <w:pPr>
        <w:pStyle w:val="BodyText"/>
        <w:rPr/>
      </w:pPr>
      <w:r>
        <w:rPr/>
        <w:t>This issue is examined in greater detail in the applicable U.S. jurisprudence discussed below.</w:t>
      </w:r>
    </w:p>
    <w:p>
      <w:pPr>
        <w:pStyle w:val="Heading4"/>
        <w:ind w:hanging="0" w:start="0"/>
        <w:rPr/>
      </w:pPr>
      <w:bookmarkStart w:id="33" w:name="__RefHeading___Toc462542604"/>
      <w:bookmarkEnd w:id="33"/>
      <w:r>
        <w:rPr/>
        <w:t>American Legislation and Jurisprudence</w:t>
      </w:r>
    </w:p>
    <w:p>
      <w:pPr>
        <w:pStyle w:val="BodyText"/>
        <w:rPr/>
      </w:pPr>
      <w:r>
        <w:rPr/>
        <w:t xml:space="preserve">Because of the lack of direction from Alberta and Ontario legislators and the applicable securities commissions, we have also examined the applicable American securities legislation and related jurisprudence relating to the term "exchange".  The </w:t>
      </w:r>
      <w:r>
        <w:rPr>
          <w:i/>
        </w:rPr>
        <w:t>Securities Exchange Act of 1934</w:t>
      </w:r>
      <w:r>
        <w:rPr/>
        <w:t xml:space="preserve"> (U.S.) (the "</w:t>
      </w:r>
      <w:r>
        <w:rPr>
          <w:b/>
        </w:rPr>
        <w:t>U.S. Act</w:t>
      </w:r>
      <w:r>
        <w:rPr/>
        <w:t>") defines "exchange" in Section 3(a) as follows:</w:t>
      </w:r>
    </w:p>
    <w:p>
      <w:pPr>
        <w:pStyle w:val="BodyText"/>
        <w:ind w:hanging="0" w:start="1440" w:end="720"/>
        <w:rPr/>
      </w:pPr>
      <w:r>
        <w:rPr/>
        <w:t>any organization, association, or group of persons, whether incorporated or unincorporated, which constitutes, maintains, or provides a marketplace or facilities for bringing together purchasers and sellers of securities or for otherwise performing with respect to securities the functions commonly performed by a stock exchange as that term is generally understood, and includes the marketplace and the market facilities maintained by such exchange.</w:t>
      </w:r>
    </w:p>
    <w:p>
      <w:pPr>
        <w:pStyle w:val="BodyText"/>
        <w:rPr/>
      </w:pPr>
      <w:r>
        <w:rPr/>
        <w:t>As in Alberta and Ontario, exchanges in the United States may be registered.  Under Section 5 of the U.S. Act, it is:</w:t>
      </w:r>
    </w:p>
    <w:p>
      <w:pPr>
        <w:pStyle w:val="BodyText"/>
        <w:ind w:hanging="0" w:start="1440" w:end="720"/>
        <w:rPr/>
      </w:pPr>
      <w:r>
        <w:rPr/>
        <w:t>unlawful for any broker, dealer, or exchange, directly or indirectly, to make use of the mails or any means of instrumentality of interstate commerce for the purpose of using any facility of an exchange within or subject to the jurisdiction of the United States to effect any transaction in a security or to report any such transaction, unless such exchange (1) is registered as a national securities exchange under Section 6 of this title.</w:t>
      </w:r>
    </w:p>
    <w:p>
      <w:pPr>
        <w:pStyle w:val="BodyText"/>
        <w:rPr/>
      </w:pPr>
      <w:r>
        <w:rPr/>
        <w:t>Section 6(a) then goes on to allow an exchange to be registered as a national securities exchange.  Although not all exchanges need to be registered, there are instances under Section 5 where such registration is required before an exchange is permitted to operate.  As such, judicial authority exists on the interpretation of what constitutes an "exchange" for U.S. securities laws.</w:t>
      </w:r>
    </w:p>
    <w:p>
      <w:pPr>
        <w:pStyle w:val="BodyText"/>
        <w:rPr/>
      </w:pPr>
      <w:r>
        <w:rPr/>
        <w:t xml:space="preserve">The first decision is that of </w:t>
      </w:r>
      <w:r>
        <w:rPr>
          <w:i/>
        </w:rPr>
        <w:t>LTV Federal Credit Union</w:t>
      </w:r>
      <w:r>
        <w:rPr/>
        <w:t xml:space="preserve"> v. </w:t>
      </w:r>
      <w:r>
        <w:rPr>
          <w:i/>
        </w:rPr>
        <w:t>UMIC Government Securities, Inc.</w:t>
      </w:r>
      <w:r>
        <w:rPr>
          <w:rStyle w:val="FootnoteCharacters"/>
          <w:rStyle w:val="FootnoteReference"/>
          <w:i/>
        </w:rPr>
        <w:footnoteReference w:id="43"/>
      </w:r>
      <w:r>
        <w:rPr>
          <w:i/>
        </w:rPr>
        <w:t xml:space="preserve"> </w:t>
      </w:r>
      <w:r>
        <w:rPr/>
        <w:t xml:space="preserve">decided in 1981.  In that decision, UMIC, a Tennessee corporation organized for the purpose of transacting business in government securities, was accused of operating an unregistered exchange and thereby violating the U.S. Act.  The Court examined the definition of "exchange" in the U.S. Act and determined that: </w:t>
      </w:r>
    </w:p>
    <w:p>
      <w:pPr>
        <w:pStyle w:val="BodyText"/>
        <w:ind w:hanging="0" w:start="1440" w:end="720"/>
        <w:rPr/>
      </w:pPr>
      <w:r>
        <w:rPr/>
        <w:t>[a]n "exchange" is a place where or means through which buyers and sellers, or their respective agents, meet to negotiate and consummate purchases.  Although a merchant (or dealer) may serve the same ultimate economic purpose by facilitating the efficient re-allocation of whatever is sold, there is a fundamental distinction. An "exchange" functions on the principle that if potential buyers and sellers can meet to exchange information, they may find a mutually acceptable sales price.  A merchant, to the extent that he operates as an arbitrageur, survives only as long as his profit (the difference between the purchase price and the sales price) is less than the cost to potential buyers and sellers of exchanging the information necessary for a direct sale.  Thus, an "exchange" functions by facilitating the direct transfer of information between seller and buyer; while a merchant functions by his ability to affect the same re-allocation without any direct transfer of information between seller and buyer.</w:t>
      </w:r>
      <w:r>
        <w:rPr>
          <w:rStyle w:val="FootnoteCharacters"/>
          <w:rStyle w:val="FootnoteReference"/>
        </w:rPr>
        <w:footnoteReference w:id="44"/>
      </w:r>
    </w:p>
    <w:p>
      <w:pPr>
        <w:pStyle w:val="BodyText"/>
        <w:rPr/>
      </w:pPr>
      <w:r>
        <w:rPr/>
        <w:t>The Court concluded that UMIC was not operating an exchange, despite the fact that UMIC matched sellers with buyers, because UMIC purchased and sold securities for its own account, albeit for eventual resale.  The Court also relied on the fact that UMIC did not owe its customers the fiduciary duties which would normally be associated with an agent operating an exchange.  Although this decision would not be binding on a Canadian court, a similar line of reasoning could be used in ECT's position.  Like UMIC, ECT would be selling products for its own account and ECT would not owe its counterparties any further fiduciary duties than would be present through their existing contractual relationship.  Although ECT is bringing itself (or its affiliates) and purchasers of its (or its affiliates) products together through the Online Trading System, it is doing so for its own account only and according to the U.S. Court's reasoning, would not constitute an "exchange".</w:t>
      </w:r>
    </w:p>
    <w:p>
      <w:pPr>
        <w:pStyle w:val="BodyText"/>
        <w:rPr/>
      </w:pPr>
      <w:r>
        <w:rPr/>
        <w:t>A similar conclusion was reached in the decision of B</w:t>
      </w:r>
      <w:r>
        <w:rPr>
          <w:i/>
        </w:rPr>
        <w:t>oard of Trade of the City of Chicago</w:t>
      </w:r>
      <w:r>
        <w:rPr/>
        <w:t xml:space="preserve"> v. </w:t>
      </w:r>
      <w:r>
        <w:rPr>
          <w:i/>
        </w:rPr>
        <w:t>Securities and Exchange Commission</w:t>
      </w:r>
      <w:r>
        <w:rPr>
          <w:rStyle w:val="FootnoteCharacters"/>
          <w:rStyle w:val="FootnoteReference"/>
          <w:i/>
        </w:rPr>
        <w:footnoteReference w:id="45"/>
      </w:r>
      <w:r>
        <w:rPr>
          <w:i/>
        </w:rPr>
        <w:t xml:space="preserve">.  </w:t>
      </w:r>
      <w:r>
        <w:rPr/>
        <w:t>The court in that case concluded that a certain system was not an "exchange" within the meaning of the U.S. Act.  In the majority decision, a system for trading options on federal government securities developed by a broker, a clearing agency and a bank was determined to not be an "exchange" within the definition of "exchange" in Section 3(a) of the U.S. Act and thus the system was not required to be registered with the Securities Exchange Commission (the "</w:t>
      </w:r>
      <w:r>
        <w:rPr>
          <w:b/>
        </w:rPr>
        <w:t>S.E.C.</w:t>
      </w:r>
      <w:r>
        <w:rPr/>
        <w:t>").  The Court concluded that the system created an electronic marketplace for securities traders, but that in itself was not enough to constitute an "exchange".  The Court agreed with the original finding of the S.E.C., which preferred to examine the issue from the perspective of maintaining regulatory control over the securities market.  Because the three entities that constituted the system were already comprehensively regulated, the S.E.C. preferred not to classify the system as an "exchange".</w:t>
      </w:r>
    </w:p>
    <w:p>
      <w:pPr>
        <w:pStyle w:val="BodyText"/>
        <w:rPr/>
      </w:pPr>
      <w:r>
        <w:rPr/>
        <w:t>A significant part of the judgment in this case focused on the words "generally understood" which are present in the definition of "exchange" in Section 3(a) of the U.S. Act.  The court concluded that the system could not be "generally understood" to be an "exchange" because:</w:t>
      </w:r>
    </w:p>
    <w:p>
      <w:pPr>
        <w:pStyle w:val="BodyText"/>
        <w:ind w:hanging="0" w:start="1440" w:end="1440"/>
        <w:rPr/>
      </w:pPr>
      <w:r>
        <w:rPr/>
        <w:t>[i]t lacks a trading floor.  It lacks specialists, who enhance the liquidity of an exchange by using their own capital to trade against the market when the trading is light, in order to buffer price swings due to the fewness of offers rather than to changes in underlying market values.  Not all conventional exchanges have specialists, but those that do not have brokers who trade for their own accounts as well as for their customers' accounts, and the additional trading enhances the market's liquidity.  It is fitting that such brokers are called "market makers".</w:t>
      </w:r>
      <w:r>
        <w:rPr>
          <w:rStyle w:val="FootnoteCharacters"/>
          <w:rStyle w:val="FootnoteReference"/>
        </w:rPr>
        <w:footnoteReference w:id="46"/>
      </w:r>
    </w:p>
    <w:p>
      <w:pPr>
        <w:pStyle w:val="BodyText"/>
        <w:rPr/>
      </w:pPr>
      <w:r>
        <w:rPr/>
        <w:t xml:space="preserve">As with the system in the </w:t>
      </w:r>
      <w:r>
        <w:rPr>
          <w:i/>
        </w:rPr>
        <w:t>Chicago</w:t>
      </w:r>
      <w:r>
        <w:rPr/>
        <w:t xml:space="preserve"> decision, ECT's system presumably will not have specialists to "trade against the market when the trading is light" or brokers to "trade for their own account as well as for their customers' accounts".  Once again, using the American approach to the interpretation of the definition of "exchange", ECT's trading system would most likely not be classified as an "exchange".</w:t>
      </w:r>
    </w:p>
    <w:p>
      <w:pPr>
        <w:pStyle w:val="Heading4"/>
        <w:ind w:hanging="0" w:start="0"/>
        <w:rPr/>
      </w:pPr>
      <w:bookmarkStart w:id="34" w:name="__RefHeading___Toc462542605"/>
      <w:bookmarkEnd w:id="34"/>
      <w:r>
        <w:rPr/>
        <w:t>Would the Online Trading System Constitute an Exchange?</w:t>
      </w:r>
    </w:p>
    <w:p>
      <w:pPr>
        <w:pStyle w:val="BodyText"/>
        <w:rPr/>
      </w:pPr>
      <w:r>
        <w:rPr/>
        <w:t>Even if the products that ECT offers through the Online Trading System constitute securities that are not otherwise exempted from the ASA or OSA, as applicable, it would seem difficult, based on the American jurisprudence referenced above, given the absence of a statutory definition or Canadian jurisprudence on point, to conclude that ECT's Online Trading System would be characterized as an exchange under either the ASA or the OSA.  The Online Trading System does not create a centralized marketplace where multiple buyers and sellers are put together to effect sales of securities.  ECT (or its affiliates) is the only party with whom an authorized user of the Online Trading System could effect a trade in such products.</w:t>
      </w:r>
    </w:p>
    <w:p>
      <w:pPr>
        <w:pStyle w:val="Heading2"/>
        <w:ind w:hanging="0" w:start="0"/>
        <w:rPr/>
      </w:pPr>
      <w:bookmarkStart w:id="35" w:name="__RefHeading___Toc462542606"/>
      <w:bookmarkEnd w:id="35"/>
      <w:r>
        <w:rPr/>
        <w:t>Doing Business in a Foreign Jurisdiction</w:t>
      </w:r>
    </w:p>
    <w:p>
      <w:pPr>
        <w:pStyle w:val="BodyText"/>
        <w:rPr/>
      </w:pPr>
      <w:r>
        <w:rPr/>
        <w:t xml:space="preserve">The entering into of Transactions online through the internet raises a question as to which jurisdiction such Transactions are being entered into. </w:t>
      </w:r>
    </w:p>
    <w:p>
      <w:pPr>
        <w:pStyle w:val="BodyText"/>
        <w:rPr/>
      </w:pPr>
      <w:r>
        <w:rPr/>
        <w:t>Presumably the Online Trading System will be set up such that the authorized counterparty is contracting with the ECT entity in respect of which the counterparty has entered into a Master Agreement.  For instance, Canadian counterparties would enter into Transactions online with ECT Canada.</w:t>
      </w:r>
    </w:p>
    <w:p>
      <w:pPr>
        <w:pStyle w:val="BodyText"/>
        <w:rPr/>
      </w:pPr>
      <w:r>
        <w:rPr/>
        <w:t>However, if the ECT server on which the Online Trading System is resident is located outside Canada (ie., Houston or London), it may be that Transactions concluded through the Online Trading System are made in that foreign jurisdiction.  According to basic contract law principles, a contract is not complete until there has been an offer, acceptance of that offer and communication of that acceptance.  Presumably, the posting of the bid-ask information and other terms and conditions by ECT on the Online Trading System constitute an offer to authorized counterparties to enter into Transactions with ECT on such basis, although it may be a conditional offer if a double click system, as discussed above, is instituted</w:t>
      </w:r>
      <w:r>
        <w:rPr>
          <w:rStyle w:val="FootnoteCharacters"/>
          <w:rStyle w:val="FootnoteReference"/>
        </w:rPr>
        <w:footnoteReference w:id="47"/>
      </w:r>
      <w:r>
        <w:rPr/>
        <w:t>.   In any event, whether single click or double click, the contract is not formed until the electronic pulse sent by the counterparty's click or second click is received by ECT, which would presumably be at the location of its server.  Accordingly, the contract respecting the Transaction would be concluded at the location of ECT's server.</w:t>
      </w:r>
    </w:p>
    <w:p>
      <w:pPr>
        <w:pStyle w:val="BodyText"/>
        <w:rPr/>
      </w:pPr>
      <w:r>
        <w:rPr/>
        <w:t>Does this mean that either ECT Canada or the Canadian counterparty is transacting business in that jurisdiction?  If so, such determination could potentially have significant tax, registration and other legal ramifications.</w:t>
      </w:r>
    </w:p>
    <w:p>
      <w:pPr>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720" w:top="1728" w:footer="576" w:bottom="1440"/>
          <w:pgNumType w:fmt="decimal"/>
          <w:formProt w:val="false"/>
          <w:titlePg/>
          <w:textDirection w:val="lrTb"/>
          <w:docGrid w:type="default" w:linePitch="360" w:charSpace="0"/>
        </w:sectPr>
        <w:pStyle w:val="BodyText"/>
        <w:rPr/>
      </w:pPr>
      <w:r>
        <w:rPr/>
        <w:t>This question would be determined by the laws of the jurisdiction where the server is located.  Accordingly, we have not at this juncture considered any tax, registration or other ramifications that may arise within this context.</w:t>
      </w:r>
    </w:p>
    <w:p>
      <w:pPr>
        <w:pStyle w:val="Heading8"/>
        <w:rPr/>
      </w:pPr>
      <w:r>
        <w:rPr/>
        <w:t>TABLE OF CONTENTS</w:t>
      </w:r>
    </w:p>
    <w:p>
      <w:pPr>
        <w:pStyle w:val="Normal"/>
        <w:rPr/>
      </w:pPr>
      <w:r>
        <w:rPr/>
      </w:r>
    </w:p>
    <w:sdt>
      <w:sdtPr>
        <w:docPartObj>
          <w:docPartGallery w:val="Table of Contents"/>
          <w:docPartUnique w:val="true"/>
        </w:docPartObj>
      </w:sdtPr>
      <w:sdtContent>
        <w:p>
          <w:pPr>
            <w:pStyle w:val="TOC1"/>
            <w:rPr/>
          </w:pPr>
          <w:r>
            <w:fldChar w:fldCharType="begin"/>
          </w:r>
          <w:r>
            <w:rPr/>
            <w:instrText xml:space="preserve"> TOC \o "7-9" \t "Heading 1,1,Heading 2,2,Heading 3,3,Heading 4,4,Heading 5,5,Heading 6,6" </w:instrText>
          </w:r>
          <w:r>
            <w:rPr/>
            <w:fldChar w:fldCharType="separate"/>
          </w:r>
          <w:r>
            <w:rPr/>
            <w:t>A.</w:t>
            <w:tab/>
            <w:t>Background</w:t>
            <w:tab/>
          </w:r>
          <w:hyperlink w:anchor="__RefHeading___Toc462542578">
            <w:r>
              <w:rPr>
                <w:rStyle w:val="IndexLink"/>
              </w:rPr>
              <w:t>1</w:t>
            </w:r>
          </w:hyperlink>
        </w:p>
        <w:p>
          <w:pPr>
            <w:pStyle w:val="TOC1"/>
            <w:rPr/>
          </w:pPr>
          <w:r>
            <w:rPr/>
            <w:t>B.</w:t>
            <w:tab/>
            <w:t>Summary of Issues and Conclusions</w:t>
            <w:tab/>
          </w:r>
          <w:hyperlink w:anchor="__RefHeading___Toc462542579">
            <w:r>
              <w:rPr>
                <w:rStyle w:val="IndexLink"/>
              </w:rPr>
              <w:t>3</w:t>
            </w:r>
          </w:hyperlink>
        </w:p>
        <w:p>
          <w:pPr>
            <w:pStyle w:val="TOC1"/>
            <w:rPr/>
          </w:pPr>
          <w:r>
            <w:rPr/>
            <w:t>C.</w:t>
            <w:tab/>
            <w:t>Qualifications</w:t>
            <w:tab/>
          </w:r>
          <w:hyperlink w:anchor="__RefHeading___Toc462542580">
            <w:r>
              <w:rPr>
                <w:rStyle w:val="IndexLink"/>
              </w:rPr>
              <w:t>6</w:t>
            </w:r>
          </w:hyperlink>
        </w:p>
        <w:p>
          <w:pPr>
            <w:pStyle w:val="TOC1"/>
            <w:rPr/>
          </w:pPr>
          <w:r>
            <w:rPr/>
            <w:t>D.</w:t>
            <w:tab/>
            <w:t>Analysis</w:t>
            <w:tab/>
          </w:r>
          <w:hyperlink w:anchor="__RefHeading___Toc462542581">
            <w:r>
              <w:rPr>
                <w:rStyle w:val="IndexLink"/>
              </w:rPr>
              <w:t>7</w:t>
            </w:r>
          </w:hyperlink>
        </w:p>
        <w:p>
          <w:pPr>
            <w:pStyle w:val="TOC2"/>
            <w:tabs>
              <w:tab w:val="left" w:pos="540" w:leader="none"/>
              <w:tab w:val="left" w:pos="720" w:leader="none"/>
              <w:tab w:val="right" w:pos="8630" w:leader="dot"/>
            </w:tabs>
            <w:rPr/>
          </w:pPr>
          <w:r>
            <w:rPr/>
            <w:t>1.</w:t>
            <w:tab/>
            <w:t>Contract Enforcement/Statute of Frauds</w:t>
            <w:tab/>
          </w:r>
          <w:hyperlink w:anchor="__RefHeading___Toc462542582">
            <w:r>
              <w:rPr>
                <w:rStyle w:val="IndexLink"/>
              </w:rPr>
              <w:t>7</w:t>
            </w:r>
          </w:hyperlink>
        </w:p>
        <w:p>
          <w:pPr>
            <w:pStyle w:val="TOC3"/>
            <w:tabs>
              <w:tab w:val="left" w:pos="1080" w:leader="none"/>
              <w:tab w:val="left" w:pos="1440" w:leader="none"/>
              <w:tab w:val="right" w:pos="8630" w:leader="dot"/>
            </w:tabs>
            <w:rPr/>
          </w:pPr>
          <w:r>
            <w:rPr/>
            <w:t>(a)</w:t>
            <w:tab/>
            <w:t>Contract Enforcement</w:t>
            <w:tab/>
          </w:r>
          <w:hyperlink w:anchor="__RefHeading___Toc462542583">
            <w:r>
              <w:rPr>
                <w:rStyle w:val="IndexLink"/>
              </w:rPr>
              <w:t>7</w:t>
            </w:r>
          </w:hyperlink>
        </w:p>
        <w:p>
          <w:pPr>
            <w:pStyle w:val="TOC4"/>
            <w:tabs>
              <w:tab w:val="left" w:pos="1260" w:leader="none"/>
              <w:tab w:val="left" w:pos="1440" w:leader="none"/>
              <w:tab w:val="right" w:pos="8630" w:leader="dot"/>
            </w:tabs>
            <w:rPr/>
          </w:pPr>
          <w:r>
            <w:rPr/>
            <w:t>(i)</w:t>
            <w:tab/>
            <w:t>Legislation</w:t>
            <w:tab/>
          </w:r>
          <w:hyperlink w:anchor="__RefHeading___Toc462542584">
            <w:r>
              <w:rPr>
                <w:rStyle w:val="IndexLink"/>
              </w:rPr>
              <w:t>8</w:t>
            </w:r>
          </w:hyperlink>
        </w:p>
        <w:p>
          <w:pPr>
            <w:pStyle w:val="TOC4"/>
            <w:tabs>
              <w:tab w:val="left" w:pos="1260" w:leader="none"/>
              <w:tab w:val="left" w:pos="1440" w:leader="none"/>
              <w:tab w:val="right" w:pos="8630" w:leader="dot"/>
            </w:tabs>
            <w:rPr/>
          </w:pPr>
          <w:r>
            <w:rPr/>
            <w:t>(ii)</w:t>
            <w:tab/>
            <w:t>Judicial Consideration</w:t>
            <w:tab/>
          </w:r>
          <w:hyperlink w:anchor="__RefHeading___Toc462542585">
            <w:r>
              <w:rPr>
                <w:rStyle w:val="IndexLink"/>
              </w:rPr>
              <w:t>8</w:t>
            </w:r>
          </w:hyperlink>
        </w:p>
        <w:p>
          <w:pPr>
            <w:pStyle w:val="TOC3"/>
            <w:tabs>
              <w:tab w:val="left" w:pos="1080" w:leader="none"/>
              <w:tab w:val="left" w:pos="1440" w:leader="none"/>
              <w:tab w:val="right" w:pos="8630" w:leader="dot"/>
            </w:tabs>
            <w:rPr/>
          </w:pPr>
          <w:r>
            <w:rPr/>
            <w:t>(b)</w:t>
            <w:tab/>
            <w:t>Statute of Frauds</w:t>
            <w:tab/>
          </w:r>
          <w:hyperlink w:anchor="__RefHeading___Toc462542586">
            <w:r>
              <w:rPr>
                <w:rStyle w:val="IndexLink"/>
              </w:rPr>
              <w:t>11</w:t>
            </w:r>
          </w:hyperlink>
        </w:p>
        <w:p>
          <w:pPr>
            <w:pStyle w:val="TOC4"/>
            <w:tabs>
              <w:tab w:val="left" w:pos="1260" w:leader="none"/>
              <w:tab w:val="left" w:pos="1440" w:leader="none"/>
              <w:tab w:val="right" w:pos="8630" w:leader="dot"/>
            </w:tabs>
            <w:rPr/>
          </w:pPr>
          <w:r>
            <w:rPr/>
            <w:t>(i)</w:t>
            <w:tab/>
            <w:t>Writing Requirements</w:t>
            <w:tab/>
          </w:r>
          <w:hyperlink w:anchor="__RefHeading___Toc462542587">
            <w:r>
              <w:rPr>
                <w:rStyle w:val="IndexLink"/>
              </w:rPr>
              <w:t>12</w:t>
            </w:r>
          </w:hyperlink>
        </w:p>
        <w:p>
          <w:pPr>
            <w:pStyle w:val="TOC4"/>
            <w:tabs>
              <w:tab w:val="left" w:pos="1260" w:leader="none"/>
              <w:tab w:val="left" w:pos="1440" w:leader="none"/>
              <w:tab w:val="right" w:pos="8630" w:leader="dot"/>
            </w:tabs>
            <w:rPr/>
          </w:pPr>
          <w:r>
            <w:rPr/>
            <w:t>(ii)</w:t>
            <w:tab/>
            <w:t>Contracting Out of the Statute</w:t>
            <w:tab/>
          </w:r>
          <w:hyperlink w:anchor="__RefHeading___Toc462542588">
            <w:r>
              <w:rPr>
                <w:rStyle w:val="IndexLink"/>
              </w:rPr>
              <w:t>13</w:t>
            </w:r>
          </w:hyperlink>
        </w:p>
        <w:p>
          <w:pPr>
            <w:pStyle w:val="TOC4"/>
            <w:tabs>
              <w:tab w:val="left" w:pos="1260" w:leader="none"/>
              <w:tab w:val="left" w:pos="1440" w:leader="none"/>
              <w:tab w:val="right" w:pos="8630" w:leader="dot"/>
            </w:tabs>
            <w:rPr/>
          </w:pPr>
          <w:r>
            <w:rPr/>
            <w:t>(iii)</w:t>
            <w:tab/>
            <w:t>Choice of Law</w:t>
            <w:tab/>
          </w:r>
          <w:hyperlink w:anchor="__RefHeading___Toc462542589">
            <w:r>
              <w:rPr>
                <w:rStyle w:val="IndexLink"/>
              </w:rPr>
              <w:t>16</w:t>
            </w:r>
          </w:hyperlink>
        </w:p>
        <w:p>
          <w:pPr>
            <w:pStyle w:val="TOC2"/>
            <w:tabs>
              <w:tab w:val="left" w:pos="540" w:leader="none"/>
              <w:tab w:val="left" w:pos="720" w:leader="none"/>
              <w:tab w:val="right" w:pos="8630" w:leader="dot"/>
            </w:tabs>
            <w:rPr/>
          </w:pPr>
          <w:r>
            <w:rPr/>
            <w:t>2.</w:t>
            <w:tab/>
            <w:t>Securities Regulation</w:t>
            <w:tab/>
          </w:r>
          <w:hyperlink w:anchor="__RefHeading___Toc462542590">
            <w:r>
              <w:rPr>
                <w:rStyle w:val="IndexLink"/>
              </w:rPr>
              <w:t>17</w:t>
            </w:r>
          </w:hyperlink>
        </w:p>
        <w:p>
          <w:pPr>
            <w:pStyle w:val="TOC3"/>
            <w:tabs>
              <w:tab w:val="left" w:pos="1080" w:leader="none"/>
              <w:tab w:val="left" w:pos="1440" w:leader="none"/>
              <w:tab w:val="right" w:pos="8630" w:leader="dot"/>
            </w:tabs>
            <w:rPr/>
          </w:pPr>
          <w:r>
            <w:rPr/>
            <w:t>(a)</w:t>
            <w:tab/>
            <w:t>OTC derivatives as Securities</w:t>
            <w:tab/>
          </w:r>
          <w:hyperlink w:anchor="__RefHeading___Toc462542591">
            <w:r>
              <w:rPr>
                <w:rStyle w:val="IndexLink"/>
              </w:rPr>
              <w:t>18</w:t>
            </w:r>
          </w:hyperlink>
        </w:p>
        <w:p>
          <w:pPr>
            <w:pStyle w:val="TOC4"/>
            <w:tabs>
              <w:tab w:val="left" w:pos="1260" w:leader="none"/>
              <w:tab w:val="left" w:pos="1440" w:leader="none"/>
              <w:tab w:val="right" w:pos="8630" w:leader="dot"/>
            </w:tabs>
            <w:rPr/>
          </w:pPr>
          <w:r>
            <w:rPr/>
            <w:t>(i)</w:t>
            <w:tab/>
            <w:t>Alberta</w:t>
            <w:tab/>
          </w:r>
          <w:hyperlink w:anchor="__RefHeading___Toc462542592">
            <w:r>
              <w:rPr>
                <w:rStyle w:val="IndexLink"/>
              </w:rPr>
              <w:t>18</w:t>
            </w:r>
          </w:hyperlink>
        </w:p>
        <w:p>
          <w:pPr>
            <w:pStyle w:val="TOC4"/>
            <w:tabs>
              <w:tab w:val="left" w:pos="1260" w:leader="none"/>
              <w:tab w:val="left" w:pos="1440" w:leader="none"/>
              <w:tab w:val="right" w:pos="8630" w:leader="dot"/>
            </w:tabs>
            <w:rPr/>
          </w:pPr>
          <w:r>
            <w:rPr/>
            <w:t>(ii)</w:t>
            <w:tab/>
            <w:t>Ontario</w:t>
            <w:tab/>
          </w:r>
          <w:hyperlink w:anchor="__RefHeading___Toc462542593">
            <w:r>
              <w:rPr>
                <w:rStyle w:val="IndexLink"/>
              </w:rPr>
              <w:t>20</w:t>
            </w:r>
          </w:hyperlink>
        </w:p>
        <w:p>
          <w:pPr>
            <w:pStyle w:val="TOC5"/>
            <w:rPr/>
          </w:pPr>
          <w:r>
            <w:rPr/>
            <w:t>(A)</w:t>
            <w:tab/>
            <w:t>What If Proposed Rule Not Made Effective?</w:t>
            <w:tab/>
          </w:r>
          <w:hyperlink w:anchor="__RefHeading___Toc462542594">
            <w:r>
              <w:rPr>
                <w:rStyle w:val="IndexLink"/>
              </w:rPr>
              <w:t>22</w:t>
            </w:r>
          </w:hyperlink>
        </w:p>
        <w:p>
          <w:pPr>
            <w:pStyle w:val="TOC7"/>
            <w:tabs>
              <w:tab w:val="left" w:pos="1680" w:leader="none"/>
              <w:tab w:val="left" w:pos="1980" w:leader="none"/>
              <w:tab w:val="right" w:pos="8630" w:leader="dot"/>
            </w:tabs>
            <w:rPr/>
          </w:pPr>
          <w:r>
            <w:rPr/>
            <w:t>(1)</w:t>
            <w:tab/>
            <w:t>What is a "security"?</w:t>
            <w:tab/>
          </w:r>
          <w:hyperlink w:anchor="__RefHeading___Toc462542595">
            <w:r>
              <w:rPr>
                <w:rStyle w:val="IndexLink"/>
              </w:rPr>
              <w:t>23</w:t>
            </w:r>
          </w:hyperlink>
        </w:p>
        <w:p>
          <w:pPr>
            <w:pStyle w:val="TOC7"/>
            <w:tabs>
              <w:tab w:val="left" w:pos="1680" w:leader="none"/>
              <w:tab w:val="left" w:pos="1980" w:leader="none"/>
              <w:tab w:val="right" w:pos="8630" w:leader="dot"/>
            </w:tabs>
            <w:rPr/>
          </w:pPr>
          <w:r>
            <w:rPr/>
            <w:t>(2)</w:t>
            <w:tab/>
            <w:t>Additional U.S. Jurisprudence</w:t>
            <w:tab/>
          </w:r>
          <w:hyperlink w:anchor="__RefHeading___Toc462542596">
            <w:r>
              <w:rPr>
                <w:rStyle w:val="IndexLink"/>
              </w:rPr>
              <w:t>29</w:t>
            </w:r>
          </w:hyperlink>
        </w:p>
        <w:p>
          <w:pPr>
            <w:pStyle w:val="TOC7"/>
            <w:tabs>
              <w:tab w:val="left" w:pos="1680" w:leader="none"/>
              <w:tab w:val="left" w:pos="1980" w:leader="none"/>
              <w:tab w:val="right" w:pos="8630" w:leader="dot"/>
            </w:tabs>
            <w:rPr/>
          </w:pPr>
          <w:r>
            <w:rPr/>
            <w:t>(3)</w:t>
            <w:tab/>
            <w:t>When is a "derivative" a security?</w:t>
            <w:tab/>
          </w:r>
          <w:hyperlink w:anchor="__RefHeading___Toc462542597">
            <w:r>
              <w:rPr>
                <w:rStyle w:val="IndexLink"/>
              </w:rPr>
              <w:t>30</w:t>
            </w:r>
          </w:hyperlink>
        </w:p>
        <w:p>
          <w:pPr>
            <w:pStyle w:val="TOC7"/>
            <w:tabs>
              <w:tab w:val="left" w:pos="1680" w:leader="none"/>
              <w:tab w:val="left" w:pos="1980" w:leader="none"/>
              <w:tab w:val="right" w:pos="8630" w:leader="dot"/>
            </w:tabs>
            <w:rPr/>
          </w:pPr>
          <w:r>
            <w:rPr/>
            <w:t>(4)</w:t>
            <w:tab/>
            <w:t>OTC derivatives on the Online Trading System</w:t>
            <w:tab/>
          </w:r>
          <w:hyperlink w:anchor="__RefHeading___Toc462542598">
            <w:r>
              <w:rPr>
                <w:rStyle w:val="IndexLink"/>
              </w:rPr>
              <w:t>31</w:t>
            </w:r>
          </w:hyperlink>
        </w:p>
        <w:p>
          <w:pPr>
            <w:pStyle w:val="TOC5"/>
            <w:rPr/>
          </w:pPr>
          <w:r>
            <w:rPr/>
            <w:t>(B)</w:t>
            <w:tab/>
            <w:t>Are the Online Products "OTC derivatives" for purposes of the Proposed Rule?</w:t>
            <w:tab/>
          </w:r>
          <w:hyperlink w:anchor="__RefHeading___Toc462542599">
            <w:r>
              <w:rPr>
                <w:rStyle w:val="IndexLink"/>
              </w:rPr>
              <w:t>33</w:t>
            </w:r>
          </w:hyperlink>
        </w:p>
        <w:p>
          <w:pPr>
            <w:pStyle w:val="TOC3"/>
            <w:tabs>
              <w:tab w:val="left" w:pos="1080" w:leader="none"/>
              <w:tab w:val="left" w:pos="1440" w:leader="none"/>
              <w:tab w:val="right" w:pos="8630" w:leader="dot"/>
            </w:tabs>
            <w:rPr/>
          </w:pPr>
          <w:r>
            <w:rPr/>
            <w:t>(b)</w:t>
            <w:tab/>
            <w:t>Does the Online Trading System Constitute an Exchange?</w:t>
            <w:tab/>
          </w:r>
          <w:hyperlink w:anchor="__RefHeading___Toc462542600">
            <w:r>
              <w:rPr>
                <w:rStyle w:val="IndexLink"/>
              </w:rPr>
              <w:t>35</w:t>
            </w:r>
          </w:hyperlink>
        </w:p>
        <w:p>
          <w:pPr>
            <w:pStyle w:val="TOC4"/>
            <w:tabs>
              <w:tab w:val="left" w:pos="1260" w:leader="none"/>
              <w:tab w:val="left" w:pos="1440" w:leader="none"/>
              <w:tab w:val="right" w:pos="8630" w:leader="dot"/>
            </w:tabs>
            <w:rPr/>
          </w:pPr>
          <w:r>
            <w:rPr/>
            <w:t>(i)</w:t>
            <w:tab/>
            <w:t>Alberta Legislation</w:t>
            <w:tab/>
          </w:r>
          <w:hyperlink w:anchor="__RefHeading___Toc462542601">
            <w:r>
              <w:rPr>
                <w:rStyle w:val="IndexLink"/>
              </w:rPr>
              <w:t>36</w:t>
            </w:r>
          </w:hyperlink>
        </w:p>
        <w:p>
          <w:pPr>
            <w:pStyle w:val="TOC4"/>
            <w:tabs>
              <w:tab w:val="left" w:pos="1260" w:leader="none"/>
              <w:tab w:val="left" w:pos="1440" w:leader="none"/>
              <w:tab w:val="right" w:pos="8630" w:leader="dot"/>
            </w:tabs>
            <w:rPr/>
          </w:pPr>
          <w:r>
            <w:rPr/>
            <w:t>(ii)</w:t>
            <w:tab/>
            <w:t>Ontario Legislation</w:t>
            <w:tab/>
          </w:r>
          <w:hyperlink w:anchor="__RefHeading___Toc462542602">
            <w:r>
              <w:rPr>
                <w:rStyle w:val="IndexLink"/>
              </w:rPr>
              <w:t>36</w:t>
            </w:r>
          </w:hyperlink>
        </w:p>
        <w:p>
          <w:pPr>
            <w:pStyle w:val="TOC4"/>
            <w:tabs>
              <w:tab w:val="left" w:pos="1260" w:leader="none"/>
              <w:tab w:val="left" w:pos="1440" w:leader="none"/>
              <w:tab w:val="right" w:pos="8630" w:leader="dot"/>
            </w:tabs>
            <w:rPr/>
          </w:pPr>
          <w:r>
            <w:rPr/>
            <w:t>(iii)</w:t>
            <w:tab/>
            <w:t>Canadian Judicial Consideration</w:t>
            <w:tab/>
          </w:r>
          <w:hyperlink w:anchor="__RefHeading___Toc462542603">
            <w:r>
              <w:rPr>
                <w:rStyle w:val="IndexLink"/>
              </w:rPr>
              <w:t>37</w:t>
            </w:r>
          </w:hyperlink>
        </w:p>
        <w:p>
          <w:pPr>
            <w:pStyle w:val="TOC4"/>
            <w:tabs>
              <w:tab w:val="left" w:pos="1260" w:leader="none"/>
              <w:tab w:val="left" w:pos="1440" w:leader="none"/>
              <w:tab w:val="right" w:pos="8630" w:leader="dot"/>
            </w:tabs>
            <w:rPr/>
          </w:pPr>
          <w:r>
            <w:rPr/>
            <w:t>(iv)</w:t>
            <w:tab/>
            <w:t>American Legislation and Jurisprudence</w:t>
            <w:tab/>
          </w:r>
          <w:hyperlink w:anchor="__RefHeading___Toc462542604">
            <w:r>
              <w:rPr>
                <w:rStyle w:val="IndexLink"/>
              </w:rPr>
              <w:t>37</w:t>
            </w:r>
          </w:hyperlink>
        </w:p>
        <w:p>
          <w:pPr>
            <w:pStyle w:val="TOC4"/>
            <w:tabs>
              <w:tab w:val="left" w:pos="1260" w:leader="none"/>
              <w:tab w:val="left" w:pos="1440" w:leader="none"/>
              <w:tab w:val="right" w:pos="8630" w:leader="dot"/>
            </w:tabs>
            <w:rPr/>
          </w:pPr>
          <w:r>
            <w:rPr/>
            <w:t>(v)</w:t>
            <w:tab/>
            <w:t>Would the Online Trading System Constitute an Exchange?</w:t>
            <w:tab/>
          </w:r>
          <w:hyperlink w:anchor="__RefHeading___Toc462542605">
            <w:r>
              <w:rPr>
                <w:rStyle w:val="IndexLink"/>
              </w:rPr>
              <w:t>40</w:t>
            </w:r>
          </w:hyperlink>
        </w:p>
        <w:p>
          <w:pPr>
            <w:pStyle w:val="TOC2"/>
            <w:tabs>
              <w:tab w:val="left" w:pos="540" w:leader="none"/>
              <w:tab w:val="left" w:pos="720" w:leader="none"/>
              <w:tab w:val="right" w:pos="8630" w:leader="dot"/>
            </w:tabs>
            <w:rPr/>
          </w:pPr>
          <w:r>
            <w:rPr/>
            <w:t>3.</w:t>
            <w:tab/>
            <w:t>Doing Business in a Foreign Jurisdiction</w:t>
            <w:tab/>
          </w:r>
          <w:hyperlink w:anchor="__RefHeading___Toc462542606">
            <w:r>
              <w:rPr>
                <w:rStyle w:val="IndexLink"/>
              </w:rPr>
              <w:t>40</w:t>
            </w:r>
          </w:hyperlink>
        </w:p>
        <w:p>
          <w:pPr>
            <w:pStyle w:val="TOC8"/>
            <w:tabs>
              <w:tab w:val="clear" w:pos="720"/>
              <w:tab w:val="right" w:pos="8630" w:leader="dot"/>
            </w:tabs>
            <w:rPr>
              <w:lang w:val="en-CA"/>
            </w:rPr>
          </w:pPr>
          <w:r>
            <w:rPr>
              <w:lang w:val="en-CA"/>
            </w:rPr>
          </w:r>
          <w:r>
            <w:rPr>
              <w:lang w:val="en-CA"/>
            </w:rPr>
            <w:fldChar w:fldCharType="end"/>
          </w:r>
        </w:p>
      </w:sdtContent>
    </w:sdt>
    <w:p>
      <w:pPr>
        <w:sectPr>
          <w:headerReference w:type="default" r:id="rId6"/>
          <w:headerReference w:type="first" r:id="rId7"/>
          <w:footerReference w:type="default" r:id="rId8"/>
          <w:footerReference w:type="first" r:id="rId9"/>
          <w:footnotePr>
            <w:numFmt w:val="decimal"/>
          </w:footnotePr>
          <w:type w:val="nextPage"/>
          <w:pgSz w:w="12240" w:h="15840"/>
          <w:pgMar w:left="2160" w:right="1440" w:gutter="0" w:header="720" w:top="1728" w:footer="576" w:bottom="1440"/>
          <w:pgNumType w:fmt="decimal"/>
          <w:formProt w:val="false"/>
          <w:titlePg/>
          <w:textDirection w:val="lrTb"/>
          <w:docGrid w:type="default" w:linePitch="360" w:charSpace="0"/>
        </w:sectPr>
        <w:pStyle w:val="BodyText"/>
        <w:tabs>
          <w:tab w:val="clear" w:pos="720"/>
          <w:tab w:val="left" w:pos="1260" w:leader="none"/>
          <w:tab w:val="left" w:pos="2160" w:leader="none"/>
        </w:tabs>
        <w:spacing w:before="60" w:after="0"/>
        <w:jc w:val="start"/>
        <w:rPr>
          <w:lang w:val="en-CA"/>
        </w:rPr>
      </w:pPr>
      <w:r>
        <w:rPr>
          <w:lang w:val="en-CA"/>
        </w:rPr>
      </w:r>
    </w:p>
    <w:p>
      <w:pPr>
        <w:pStyle w:val="BodyText"/>
        <w:tabs>
          <w:tab w:val="clear" w:pos="720"/>
          <w:tab w:val="left" w:pos="1260" w:leader="none"/>
          <w:tab w:val="left" w:pos="2160" w:leader="none"/>
        </w:tabs>
        <w:spacing w:before="60" w:after="0"/>
        <w:jc w:val="center"/>
        <w:rPr>
          <w:b/>
        </w:rPr>
      </w:pPr>
      <w:r>
        <w:rPr>
          <w:b/>
        </w:rPr>
        <w:t>ENRON CAPITAL &amp; TRADE RESOURCES CORP.</w:t>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t>ELECTRONIC TRADING</w:t>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t>CANADIAN ANALYSIS</w:t>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r>
    </w:p>
    <w:p>
      <w:pPr>
        <w:pStyle w:val="BodyText"/>
        <w:tabs>
          <w:tab w:val="clear" w:pos="720"/>
          <w:tab w:val="left" w:pos="1260" w:leader="none"/>
          <w:tab w:val="left" w:pos="2160" w:leader="none"/>
        </w:tabs>
        <w:spacing w:before="60" w:after="0"/>
        <w:jc w:val="center"/>
        <w:rPr>
          <w:b/>
        </w:rPr>
      </w:pPr>
      <w:r>
        <w:rPr>
          <w:b/>
        </w:rPr>
        <w:t>STIKEMAN, ELLIOTT</w:t>
      </w:r>
    </w:p>
    <w:p>
      <w:pPr>
        <w:pStyle w:val="BodyText"/>
        <w:tabs>
          <w:tab w:val="clear" w:pos="720"/>
          <w:tab w:val="left" w:pos="1260" w:leader="none"/>
          <w:tab w:val="left" w:pos="2160" w:leader="none"/>
        </w:tabs>
        <w:spacing w:before="60" w:after="0"/>
        <w:jc w:val="center"/>
        <w:rPr/>
      </w:pPr>
      <w:r>
        <w:rPr>
          <w:b/>
        </w:rPr>
        <w:t>SEPTEMBER 20</w:t>
      </w:r>
      <w:r>
        <w:rPr/>
        <w:t xml:space="preserve">, </w:t>
      </w:r>
      <w:r>
        <w:rPr>
          <w:b/>
        </w:rPr>
        <w:t>1999</w:t>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06" w:top="5040" w:footer="57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pperplate Gothic Bold">
    <w:charset w:val="00" w:characterSet="windows-1252"/>
    <w:family w:val="auto"/>
    <w:pitch w:val="variable"/>
  </w:font>
  <w:font w:name="Copperplate Gothic Light">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rPr>
    </w:pPr>
    <w:r>
      <w:rPr>
        <w:lang w:val="en-CA"/>
      </w:rPr>
    </w:r>
    <w:r>
      <mc:AlternateContent>
        <mc:Choice Requires="wps">
          <w:drawing>
            <wp:anchor behindDoc="1" distT="0" distB="0" distL="114935" distR="114935" simplePos="0" locked="0" layoutInCell="0" allowOverlap="1" relativeHeight="37">
              <wp:simplePos x="0" y="0"/>
              <wp:positionH relativeFrom="margin">
                <wp:posOffset>0</wp:posOffset>
              </wp:positionH>
              <wp:positionV relativeFrom="paragraph">
                <wp:posOffset>274320</wp:posOffset>
              </wp:positionV>
              <wp:extent cx="1828800" cy="228600"/>
              <wp:effectExtent l="0" t="0" r="0" b="0"/>
              <wp:wrapNone/>
              <wp:docPr id="1" name="Frame12"/>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83">
              <wp:simplePos x="0" y="0"/>
              <wp:positionH relativeFrom="margin">
                <wp:posOffset>0</wp:posOffset>
              </wp:positionH>
              <wp:positionV relativeFrom="paragraph">
                <wp:posOffset>274320</wp:posOffset>
              </wp:positionV>
              <wp:extent cx="1828800" cy="228600"/>
              <wp:effectExtent l="0" t="0" r="0" b="0"/>
              <wp:wrapNone/>
              <wp:docPr id="2" name="Frame11"/>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119">
              <wp:simplePos x="0" y="0"/>
              <wp:positionH relativeFrom="margin">
                <wp:posOffset>0</wp:posOffset>
              </wp:positionH>
              <wp:positionV relativeFrom="paragraph">
                <wp:posOffset>274320</wp:posOffset>
              </wp:positionV>
              <wp:extent cx="1828800" cy="228600"/>
              <wp:effectExtent l="0" t="0" r="0" b="0"/>
              <wp:wrapNone/>
              <wp:docPr id="3" name="Frame10"/>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155">
              <wp:simplePos x="0" y="0"/>
              <wp:positionH relativeFrom="margin">
                <wp:posOffset>0</wp:posOffset>
              </wp:positionH>
              <wp:positionV relativeFrom="paragraph">
                <wp:posOffset>274320</wp:posOffset>
              </wp:positionV>
              <wp:extent cx="1828800" cy="228600"/>
              <wp:effectExtent l="0" t="0" r="0" b="0"/>
              <wp:wrapNone/>
              <wp:docPr id="4" name="Frame9"/>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181">
              <wp:simplePos x="0" y="0"/>
              <wp:positionH relativeFrom="margin">
                <wp:posOffset>0</wp:posOffset>
              </wp:positionH>
              <wp:positionV relativeFrom="paragraph">
                <wp:posOffset>274320</wp:posOffset>
              </wp:positionV>
              <wp:extent cx="1828800" cy="228600"/>
              <wp:effectExtent l="0" t="0" r="0" b="0"/>
              <wp:wrapNone/>
              <wp:docPr id="5" name="Frame8"/>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07">
              <wp:simplePos x="0" y="0"/>
              <wp:positionH relativeFrom="margin">
                <wp:posOffset>0</wp:posOffset>
              </wp:positionH>
              <wp:positionV relativeFrom="paragraph">
                <wp:posOffset>274320</wp:posOffset>
              </wp:positionV>
              <wp:extent cx="1828800" cy="228600"/>
              <wp:effectExtent l="0" t="0" r="0" b="0"/>
              <wp:wrapNone/>
              <wp:docPr id="6" name="Frame5"/>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33">
              <wp:simplePos x="0" y="0"/>
              <wp:positionH relativeFrom="margin">
                <wp:posOffset>0</wp:posOffset>
              </wp:positionH>
              <wp:positionV relativeFrom="paragraph">
                <wp:posOffset>274320</wp:posOffset>
              </wp:positionV>
              <wp:extent cx="1828800" cy="228600"/>
              <wp:effectExtent l="0" t="0" r="0" b="0"/>
              <wp:wrapNone/>
              <wp:docPr id="7" name="Frame6"/>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59">
              <wp:simplePos x="0" y="0"/>
              <wp:positionH relativeFrom="margin">
                <wp:posOffset>0</wp:posOffset>
              </wp:positionH>
              <wp:positionV relativeFrom="paragraph">
                <wp:posOffset>274320</wp:posOffset>
              </wp:positionV>
              <wp:extent cx="1828800" cy="228600"/>
              <wp:effectExtent l="0" t="0" r="0" b="0"/>
              <wp:wrapNone/>
              <wp:docPr id="8" name="Frame7"/>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rPr>
    </w:pPr>
    <w:r>
      <w:rPr>
        <w:lang w:val="en-CA"/>
      </w:rPr>
    </w:r>
    <w:r>
      <mc:AlternateContent>
        <mc:Choice Requires="wps">
          <w:drawing>
            <wp:anchor behindDoc="1" distT="0" distB="0" distL="114935" distR="114935" simplePos="0" locked="0" layoutInCell="0" allowOverlap="1" relativeHeight="47">
              <wp:simplePos x="0" y="0"/>
              <wp:positionH relativeFrom="margin">
                <wp:posOffset>0</wp:posOffset>
              </wp:positionH>
              <wp:positionV relativeFrom="paragraph">
                <wp:posOffset>274320</wp:posOffset>
              </wp:positionV>
              <wp:extent cx="1828800" cy="228600"/>
              <wp:effectExtent l="0" t="0" r="0" b="0"/>
              <wp:wrapNone/>
              <wp:docPr id="9" name="Frame4"/>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57">
              <wp:simplePos x="0" y="0"/>
              <wp:positionH relativeFrom="margin">
                <wp:posOffset>0</wp:posOffset>
              </wp:positionH>
              <wp:positionV relativeFrom="paragraph">
                <wp:posOffset>274320</wp:posOffset>
              </wp:positionV>
              <wp:extent cx="1828800" cy="228600"/>
              <wp:effectExtent l="0" t="0" r="0" b="0"/>
              <wp:wrapNone/>
              <wp:docPr id="10" name="Frame3"/>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93">
              <wp:simplePos x="0" y="0"/>
              <wp:positionH relativeFrom="margin">
                <wp:posOffset>0</wp:posOffset>
              </wp:positionH>
              <wp:positionV relativeFrom="paragraph">
                <wp:posOffset>274320</wp:posOffset>
              </wp:positionV>
              <wp:extent cx="1828800" cy="228600"/>
              <wp:effectExtent l="0" t="0" r="0" b="0"/>
              <wp:wrapNone/>
              <wp:docPr id="11" name="Frame2"/>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129">
              <wp:simplePos x="0" y="0"/>
              <wp:positionH relativeFrom="margin">
                <wp:posOffset>0</wp:posOffset>
              </wp:positionH>
              <wp:positionV relativeFrom="paragraph">
                <wp:posOffset>274320</wp:posOffset>
              </wp:positionV>
              <wp:extent cx="1828800" cy="228600"/>
              <wp:effectExtent l="0" t="0" r="0" b="0"/>
              <wp:wrapNone/>
              <wp:docPr id="12" name="Frame1"/>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rPr>
    </w:pPr>
    <w:r>
      <w:rPr>
        <w:lang w:val="en-CA"/>
      </w:rPr>
    </w:r>
    <w:r>
      <mc:AlternateContent>
        <mc:Choice Requires="wps">
          <w:drawing>
            <wp:anchor behindDoc="1" distT="0" distB="0" distL="114935" distR="114935" simplePos="0" locked="0" layoutInCell="0" allowOverlap="1" relativeHeight="21">
              <wp:simplePos x="0" y="0"/>
              <wp:positionH relativeFrom="margin">
                <wp:posOffset>0</wp:posOffset>
              </wp:positionH>
              <wp:positionV relativeFrom="paragraph">
                <wp:posOffset>274320</wp:posOffset>
              </wp:positionV>
              <wp:extent cx="1828800" cy="228600"/>
              <wp:effectExtent l="0" t="0" r="0" b="0"/>
              <wp:wrapNone/>
              <wp:docPr id="13" name="Frame17"/>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274320</wp:posOffset>
              </wp:positionV>
              <wp:extent cx="1828800" cy="228600"/>
              <wp:effectExtent l="0" t="0" r="0" b="0"/>
              <wp:wrapNone/>
              <wp:docPr id="14" name="Frame18"/>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4">
              <wp:simplePos x="0" y="0"/>
              <wp:positionH relativeFrom="margin">
                <wp:posOffset>0</wp:posOffset>
              </wp:positionH>
              <wp:positionV relativeFrom="paragraph">
                <wp:posOffset>274320</wp:posOffset>
              </wp:positionV>
              <wp:extent cx="1828800" cy="228600"/>
              <wp:effectExtent l="0" t="0" r="0" b="0"/>
              <wp:wrapNone/>
              <wp:docPr id="15" name="Frame19"/>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5">
              <wp:simplePos x="0" y="0"/>
              <wp:positionH relativeFrom="margin">
                <wp:posOffset>0</wp:posOffset>
              </wp:positionH>
              <wp:positionV relativeFrom="paragraph">
                <wp:posOffset>274320</wp:posOffset>
              </wp:positionV>
              <wp:extent cx="1828800" cy="228600"/>
              <wp:effectExtent l="0" t="0" r="0" b="0"/>
              <wp:wrapNone/>
              <wp:docPr id="16" name="Frame20"/>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7">
              <wp:simplePos x="0" y="0"/>
              <wp:positionH relativeFrom="margin">
                <wp:posOffset>0</wp:posOffset>
              </wp:positionH>
              <wp:positionV relativeFrom="paragraph">
                <wp:posOffset>274320</wp:posOffset>
              </wp:positionV>
              <wp:extent cx="1828800" cy="228600"/>
              <wp:effectExtent l="0" t="0" r="0" b="0"/>
              <wp:wrapNone/>
              <wp:docPr id="17" name="Frame21"/>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274320</wp:posOffset>
              </wp:positionV>
              <wp:extent cx="1828800" cy="228600"/>
              <wp:effectExtent l="0" t="0" r="0" b="0"/>
              <wp:wrapNone/>
              <wp:docPr id="18" name="Frame22"/>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9">
              <wp:simplePos x="0" y="0"/>
              <wp:positionH relativeFrom="margin">
                <wp:posOffset>0</wp:posOffset>
              </wp:positionH>
              <wp:positionV relativeFrom="paragraph">
                <wp:posOffset>274320</wp:posOffset>
              </wp:positionV>
              <wp:extent cx="1828800" cy="228600"/>
              <wp:effectExtent l="0" t="0" r="0" b="0"/>
              <wp:wrapNone/>
              <wp:docPr id="19" name="Frame23"/>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30">
              <wp:simplePos x="0" y="0"/>
              <wp:positionH relativeFrom="margin">
                <wp:posOffset>0</wp:posOffset>
              </wp:positionH>
              <wp:positionV relativeFrom="paragraph">
                <wp:posOffset>274320</wp:posOffset>
              </wp:positionV>
              <wp:extent cx="1828800" cy="228600"/>
              <wp:effectExtent l="0" t="0" r="0" b="0"/>
              <wp:wrapNone/>
              <wp:docPr id="20" name="Frame24"/>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t>(i)</w: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21" name="Frame13"/>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22" name="Frame14"/>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23" name="Frame15"/>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24" name="Frame16"/>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25" name="Frame29"/>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26" name="Frame30"/>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27" name="Frame31"/>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28" name="Frame32"/>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29" name="Frame33"/>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30" name="Frame34"/>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31" name="Frame35"/>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274320</wp:posOffset>
              </wp:positionV>
              <wp:extent cx="1828800" cy="228600"/>
              <wp:effectExtent l="0" t="0" r="0" b="0"/>
              <wp:wrapNone/>
              <wp:docPr id="32" name="Frame36"/>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lang w:val="en-CA"/>
      </w:rPr>
    </w:pPr>
    <w:r>
      <w:rPr>
        <w:lang w:val="en-CA"/>
      </w:rPr>
    </w:r>
    <w:r>
      <mc:AlternateContent>
        <mc:Choice Requires="wps">
          <w:drawing>
            <wp:anchor behindDoc="1" distT="0" distB="0" distL="114935" distR="114935" simplePos="0" locked="0" layoutInCell="0" allowOverlap="1" relativeHeight="23">
              <wp:simplePos x="0" y="0"/>
              <wp:positionH relativeFrom="margin">
                <wp:posOffset>0</wp:posOffset>
              </wp:positionH>
              <wp:positionV relativeFrom="paragraph">
                <wp:posOffset>274320</wp:posOffset>
              </wp:positionV>
              <wp:extent cx="1828800" cy="228600"/>
              <wp:effectExtent l="0" t="0" r="0" b="0"/>
              <wp:wrapNone/>
              <wp:docPr id="33" name="Frame28"/>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274320</wp:posOffset>
              </wp:positionV>
              <wp:extent cx="1828800" cy="228600"/>
              <wp:effectExtent l="0" t="0" r="0" b="0"/>
              <wp:wrapNone/>
              <wp:docPr id="34" name="Frame27"/>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60">
              <wp:simplePos x="0" y="0"/>
              <wp:positionH relativeFrom="margin">
                <wp:posOffset>0</wp:posOffset>
              </wp:positionH>
              <wp:positionV relativeFrom="paragraph">
                <wp:posOffset>274320</wp:posOffset>
              </wp:positionV>
              <wp:extent cx="1828800" cy="228600"/>
              <wp:effectExtent l="0" t="0" r="0" b="0"/>
              <wp:wrapNone/>
              <wp:docPr id="35" name="Frame25"/>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61">
              <wp:simplePos x="0" y="0"/>
              <wp:positionH relativeFrom="margin">
                <wp:posOffset>0</wp:posOffset>
              </wp:positionH>
              <wp:positionV relativeFrom="paragraph">
                <wp:posOffset>274320</wp:posOffset>
              </wp:positionV>
              <wp:extent cx="1828800" cy="228600"/>
              <wp:effectExtent l="0" t="0" r="0" b="0"/>
              <wp:wrapNone/>
              <wp:docPr id="36" name="Frame26"/>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24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GFE\129359\5</w:t>
                    </w:r>
                    <w:r>
                      <w:rPr>
                        <w:sz w:val="12"/>
                        <w:lang w:val="en-US"/>
                      </w:rPr>
                      <w:fldChar w:fldCharType="end"/>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720"/>
          <w:tab w:val="left" w:pos="360" w:leader="none"/>
        </w:tabs>
        <w:rPr/>
      </w:pPr>
      <w:r>
        <w:rPr>
          <w:rStyle w:val="FootnoteCharacters"/>
        </w:rPr>
        <w:footnoteRef/>
      </w:r>
      <w:r>
        <w:rPr/>
        <w:t xml:space="preserve"> </w:t>
      </w:r>
      <w:r>
        <w:rPr/>
        <w:tab/>
        <w:t>(1988), 25 B.C.L.R. (2d) 377 at p. 6.</w:t>
      </w:r>
    </w:p>
  </w:footnote>
  <w:footnote w:id="3">
    <w:p>
      <w:pPr>
        <w:pStyle w:val="FootnoteText"/>
        <w:tabs>
          <w:tab w:val="clear" w:pos="720"/>
          <w:tab w:val="left" w:pos="360" w:leader="none"/>
        </w:tabs>
        <w:rPr/>
      </w:pPr>
      <w:r>
        <w:rPr>
          <w:rStyle w:val="FootnoteCharacters"/>
        </w:rPr>
        <w:footnoteRef/>
      </w:r>
      <w:r>
        <w:rPr/>
        <w:t xml:space="preserve"> </w:t>
      </w:r>
      <w:r>
        <w:rPr/>
        <w:tab/>
        <w:t>Vol. I, 27</w:t>
      </w:r>
      <w:r>
        <w:rPr>
          <w:vertAlign w:val="superscript"/>
        </w:rPr>
        <w:t>th</w:t>
      </w:r>
      <w:r>
        <w:rPr/>
        <w:t xml:space="preserve"> Ed. (London: Sweet &amp; Maxwell) 1994 at 582.</w:t>
      </w:r>
    </w:p>
  </w:footnote>
  <w:footnote w:id="4">
    <w:p>
      <w:pPr>
        <w:pStyle w:val="FootnoteText"/>
        <w:tabs>
          <w:tab w:val="clear" w:pos="720"/>
          <w:tab w:val="left" w:pos="360" w:leader="none"/>
        </w:tabs>
        <w:rPr/>
      </w:pPr>
      <w:r>
        <w:rPr>
          <w:rStyle w:val="FootnoteCharacters"/>
        </w:rPr>
        <w:footnoteRef/>
      </w:r>
      <w:r>
        <w:rPr/>
        <w:tab/>
      </w:r>
      <w:r>
        <w:rPr>
          <w:i/>
        </w:rPr>
        <w:t>Derby &amp; Co. Ltd.</w:t>
      </w:r>
      <w:r>
        <w:rPr/>
        <w:t xml:space="preserve"> v.</w:t>
      </w:r>
      <w:r>
        <w:rPr>
          <w:i/>
        </w:rPr>
        <w:t xml:space="preserve"> Weldon (No. 9)</w:t>
      </w:r>
      <w:r>
        <w:rPr/>
        <w:t>, [1991] 1 W.L.R. 652.</w:t>
      </w:r>
    </w:p>
  </w:footnote>
  <w:footnote w:id="5">
    <w:p>
      <w:pPr>
        <w:pStyle w:val="FootnoteText"/>
        <w:tabs>
          <w:tab w:val="clear" w:pos="720"/>
          <w:tab w:val="left" w:pos="360" w:leader="none"/>
        </w:tabs>
        <w:ind w:hanging="360" w:start="360" w:end="0"/>
        <w:rPr/>
      </w:pPr>
      <w:r>
        <w:rPr>
          <w:rStyle w:val="FootnoteCharacters"/>
        </w:rPr>
        <w:footnoteRef/>
      </w:r>
      <w:r>
        <w:rPr/>
        <w:tab/>
        <w:t xml:space="preserve">J. Sopinka, S.N. Lederman and A.W. Bryant, </w:t>
      </w:r>
      <w:r>
        <w:rPr>
          <w:i/>
        </w:rPr>
        <w:t>The Law of Evidence in Canada</w:t>
      </w:r>
      <w:r>
        <w:rPr/>
        <w:t xml:space="preserve"> (Toronto: Butterworths, 1992) at 939 to 940 ("Sopinka").</w:t>
      </w:r>
    </w:p>
  </w:footnote>
  <w:footnote w:id="6">
    <w:p>
      <w:pPr>
        <w:pStyle w:val="FootnoteText"/>
        <w:tabs>
          <w:tab w:val="clear" w:pos="720"/>
          <w:tab w:val="left" w:pos="360" w:leader="none"/>
        </w:tabs>
        <w:rPr/>
      </w:pPr>
      <w:r>
        <w:rPr>
          <w:rStyle w:val="FootnoteCharacters"/>
        </w:rPr>
        <w:footnoteRef/>
      </w:r>
      <w:r>
        <w:rPr/>
        <w:tab/>
        <w:t>(1990), 90 Cr. App. R.281 (Q.B. Div. Ct.), at 308 – 09, quoted in Sopinka at 940.</w:t>
      </w:r>
    </w:p>
  </w:footnote>
  <w:footnote w:id="7">
    <w:p>
      <w:pPr>
        <w:pStyle w:val="FootnoteText"/>
        <w:tabs>
          <w:tab w:val="clear" w:pos="720"/>
          <w:tab w:val="left" w:pos="360" w:leader="none"/>
        </w:tabs>
        <w:ind w:hanging="360" w:start="360" w:end="0"/>
        <w:rPr/>
      </w:pPr>
      <w:r>
        <w:rPr>
          <w:rStyle w:val="FootnoteCharacters"/>
        </w:rPr>
        <w:footnoteRef/>
      </w:r>
      <w:r>
        <w:rPr/>
        <w:tab/>
        <w:t xml:space="preserve">See for example, </w:t>
      </w:r>
      <w:r>
        <w:rPr>
          <w:i/>
        </w:rPr>
        <w:t>R.</w:t>
      </w:r>
      <w:r>
        <w:rPr/>
        <w:t xml:space="preserve"> v. </w:t>
      </w:r>
      <w:r>
        <w:rPr>
          <w:i/>
        </w:rPr>
        <w:t>McMullen</w:t>
      </w:r>
      <w:r>
        <w:rPr/>
        <w:t xml:space="preserve"> (1978), 47 C.C.C. (2d) 499 (Ont. C.A.), which held that computer printouts of information stored electronically fit within Section 29 of the </w:t>
      </w:r>
      <w:r>
        <w:rPr>
          <w:i/>
        </w:rPr>
        <w:t xml:space="preserve">Canada Evidence Act </w:t>
      </w:r>
      <w:r>
        <w:rPr/>
        <w:t xml:space="preserve">(allows the admissibility of books and records kept by financial institutions); </w:t>
      </w:r>
      <w:r>
        <w:rPr>
          <w:i/>
        </w:rPr>
        <w:t xml:space="preserve">R. </w:t>
      </w:r>
      <w:r>
        <w:rPr/>
        <w:t xml:space="preserve">v. </w:t>
      </w:r>
      <w:r>
        <w:rPr>
          <w:i/>
        </w:rPr>
        <w:t xml:space="preserve">Vanlerberghe </w:t>
      </w:r>
      <w:r>
        <w:rPr/>
        <w:t xml:space="preserve">(1976), 6 C.R. (3d) 222 (B.C.C.A.) which held that computer records were admissible as records kept in the course of business under Section 30 of the </w:t>
      </w:r>
      <w:r>
        <w:rPr>
          <w:i/>
        </w:rPr>
        <w:t>Canada Evidence Act;</w:t>
      </w:r>
      <w:r>
        <w:rPr/>
        <w:t xml:space="preserve"> and </w:t>
      </w:r>
      <w:r>
        <w:rPr>
          <w:i/>
        </w:rPr>
        <w:t>Riechmann</w:t>
      </w:r>
      <w:r>
        <w:rPr/>
        <w:t xml:space="preserve"> v.</w:t>
      </w:r>
      <w:r>
        <w:rPr>
          <w:i/>
        </w:rPr>
        <w:t xml:space="preserve"> Toronto Life Publishing Co.</w:t>
      </w:r>
      <w:r>
        <w:rPr/>
        <w:t xml:space="preserve"> (1988), 66  O.R. (2d) 65 (Ont. H.C.J.), which held that a disk is included within the common law definition of "document" required to be produced in court.</w:t>
      </w:r>
    </w:p>
  </w:footnote>
  <w:footnote w:id="8">
    <w:p>
      <w:pPr>
        <w:pStyle w:val="FootnoteText"/>
        <w:tabs>
          <w:tab w:val="clear" w:pos="720"/>
          <w:tab w:val="left" w:pos="360" w:leader="none"/>
        </w:tabs>
        <w:rPr/>
      </w:pPr>
      <w:r>
        <w:rPr>
          <w:rStyle w:val="FootnoteCharacters"/>
        </w:rPr>
        <w:footnoteRef/>
      </w:r>
      <w:r>
        <w:rPr/>
        <w:tab/>
        <w:t>G.S. Takach, C</w:t>
      </w:r>
      <w:r>
        <w:rPr>
          <w:i/>
        </w:rPr>
        <w:t>omputer Law</w:t>
      </w:r>
      <w:r>
        <w:rPr/>
        <w:t xml:space="preserve"> </w:t>
      </w:r>
      <w:r>
        <w:rPr>
          <w:i/>
        </w:rPr>
        <w:t xml:space="preserve"> </w:t>
      </w:r>
      <w:r>
        <w:rPr/>
        <w:t>(Toronto: Irwin Law, 1998) at 343.</w:t>
      </w:r>
    </w:p>
  </w:footnote>
  <w:footnote w:id="9">
    <w:p>
      <w:pPr>
        <w:pStyle w:val="FootnoteText"/>
        <w:tabs>
          <w:tab w:val="clear" w:pos="720"/>
          <w:tab w:val="left" w:pos="360" w:leader="none"/>
        </w:tabs>
        <w:ind w:hanging="360" w:start="360" w:end="0"/>
        <w:rPr/>
      </w:pPr>
      <w:r>
        <w:rPr>
          <w:rStyle w:val="FootnoteCharacters"/>
        </w:rPr>
        <w:footnoteRef/>
      </w:r>
      <w:r>
        <w:rPr/>
        <w:tab/>
        <w:t xml:space="preserve">In this regard, we note in passing the disclaimers set forth in the ETA confirming no representations from ECT as to fitness for the purpose, that the counterparty uses the Online Trading System at its sole risk and that ECT is to have no liability for the "accuracy, timeliness, completeness, reliability, performance … of the Website".  </w:t>
      </w:r>
      <w:r>
        <w:rPr>
          <w:i/>
        </w:rPr>
        <w:t>Quare</w:t>
      </w:r>
      <w:r>
        <w:rPr/>
        <w:t xml:space="preserve"> whether these types of provisions are consistent with a reliable system.</w:t>
      </w:r>
    </w:p>
  </w:footnote>
  <w:footnote w:id="10">
    <w:p>
      <w:pPr>
        <w:pStyle w:val="FootnoteText"/>
        <w:tabs>
          <w:tab w:val="clear" w:pos="720"/>
          <w:tab w:val="left" w:pos="360" w:leader="none"/>
        </w:tabs>
        <w:ind w:hanging="360" w:start="360" w:end="0"/>
        <w:rPr/>
      </w:pPr>
      <w:r>
        <w:rPr>
          <w:rStyle w:val="FootnoteCharacters"/>
        </w:rPr>
        <w:footnoteRef/>
      </w:r>
      <w:r>
        <w:rPr/>
        <w:tab/>
        <w:t xml:space="preserve">In this regard, the position in Canada appears to diverge from that applicable in New York, as indicated in the S&amp;C Memorandum which states that where a contract could potentially be performed in less than a year, the contract does not fall within the </w:t>
      </w:r>
      <w:r>
        <w:rPr>
          <w:i/>
        </w:rPr>
        <w:t>Statute</w:t>
      </w:r>
      <w:r>
        <w:rPr/>
        <w:t>.</w:t>
      </w:r>
    </w:p>
  </w:footnote>
  <w:footnote w:id="11">
    <w:p>
      <w:pPr>
        <w:pStyle w:val="FootnoteText"/>
        <w:tabs>
          <w:tab w:val="clear" w:pos="720"/>
          <w:tab w:val="left" w:pos="360" w:leader="none"/>
        </w:tabs>
        <w:rPr/>
      </w:pPr>
      <w:r>
        <w:rPr>
          <w:rStyle w:val="FootnoteCharacters"/>
        </w:rPr>
        <w:footnoteRef/>
      </w:r>
      <w:r>
        <w:rPr/>
        <w:tab/>
        <w:t>S</w:t>
      </w:r>
      <w:r>
        <w:rPr>
          <w:i/>
        </w:rPr>
        <w:t>upra,</w:t>
      </w:r>
      <w:r>
        <w:rPr/>
        <w:t xml:space="preserve"> note 1.</w:t>
      </w:r>
    </w:p>
  </w:footnote>
  <w:footnote w:id="12">
    <w:p>
      <w:pPr>
        <w:pStyle w:val="FootnoteText"/>
        <w:tabs>
          <w:tab w:val="clear" w:pos="720"/>
          <w:tab w:val="left" w:pos="360" w:leader="none"/>
        </w:tabs>
        <w:ind w:hanging="360" w:start="360" w:end="0"/>
        <w:rPr/>
      </w:pPr>
      <w:r>
        <w:rPr>
          <w:rStyle w:val="FootnoteCharacters"/>
        </w:rPr>
        <w:footnoteRef/>
      </w:r>
      <w:r>
        <w:rPr/>
        <w:t xml:space="preserve"> </w:t>
      </w:r>
      <w:r>
        <w:rPr/>
        <w:tab/>
        <w:t>In this regard, see Gregory, J.D., "</w:t>
      </w:r>
      <w:r>
        <w:rPr>
          <w:i/>
        </w:rPr>
        <w:t>Solving Legal Issues in Electronic Commerce</w:t>
      </w:r>
      <w:r>
        <w:rPr/>
        <w:t>" (1999), 32 CBLJ 84, for a discussion of the various legislative initiatives being undertaken, both in Canada and internationally.</w:t>
      </w:r>
    </w:p>
  </w:footnote>
  <w:footnote w:id="13">
    <w:p>
      <w:pPr>
        <w:pStyle w:val="FootnoteText"/>
        <w:tabs>
          <w:tab w:val="clear" w:pos="720"/>
          <w:tab w:val="left" w:pos="360" w:leader="none"/>
        </w:tabs>
        <w:rPr/>
      </w:pPr>
      <w:r>
        <w:rPr>
          <w:rStyle w:val="FootnoteCharacters"/>
        </w:rPr>
        <w:footnoteRef/>
      </w:r>
      <w:r>
        <w:rPr/>
        <w:t xml:space="preserve"> </w:t>
      </w:r>
      <w:r>
        <w:rPr/>
        <w:tab/>
        <w:t xml:space="preserve">For purposes of this analysis, we have assumed that the PA would be construed under the laws of New </w:t>
        <w:tab/>
        <w:t>Yo</w:t>
      </w:r>
      <w:bookmarkStart w:id="38" w:name="_FF_"/>
      <w:bookmarkEnd w:id="38"/>
      <w:r>
        <w:rPr/>
        <w:t>rk in the same manner as the document would be construed under the laws of Alberta.</w:t>
      </w:r>
    </w:p>
  </w:footnote>
  <w:footnote w:id="14">
    <w:p>
      <w:pPr>
        <w:pStyle w:val="FootnoteText"/>
        <w:tabs>
          <w:tab w:val="clear" w:pos="720"/>
          <w:tab w:val="left" w:pos="360" w:leader="none"/>
        </w:tabs>
        <w:rPr/>
      </w:pPr>
      <w:r>
        <w:rPr>
          <w:rStyle w:val="FootnoteCharacters"/>
        </w:rPr>
        <w:footnoteRef/>
      </w:r>
      <w:r>
        <w:rPr/>
        <w:tab/>
        <w:t>(1982), 40 N.R. 159 (S.C.C.).</w:t>
      </w:r>
    </w:p>
  </w:footnote>
  <w:footnote w:id="15">
    <w:p>
      <w:pPr>
        <w:pStyle w:val="FootnoteText"/>
        <w:tabs>
          <w:tab w:val="clear" w:pos="720"/>
          <w:tab w:val="left" w:pos="360" w:leader="none"/>
        </w:tabs>
        <w:rPr/>
      </w:pPr>
      <w:r>
        <w:rPr>
          <w:rStyle w:val="FootnoteCharacters"/>
        </w:rPr>
        <w:footnoteRef/>
      </w:r>
      <w:r>
        <w:rPr/>
        <w:tab/>
        <w:t>[1908] A.C. 493.</w:t>
      </w:r>
    </w:p>
  </w:footnote>
  <w:footnote w:id="16">
    <w:p>
      <w:pPr>
        <w:pStyle w:val="FootnoteText"/>
        <w:tabs>
          <w:tab w:val="clear" w:pos="720"/>
          <w:tab w:val="left" w:pos="360" w:leader="none"/>
        </w:tabs>
        <w:ind w:hanging="360" w:start="360" w:end="0"/>
        <w:jc w:val="start"/>
        <w:rPr/>
      </w:pPr>
      <w:r>
        <w:rPr>
          <w:rStyle w:val="FootnoteCharacters"/>
        </w:rPr>
        <w:footnoteRef/>
      </w:r>
      <w:r>
        <w:rPr/>
        <w:tab/>
        <w:t xml:space="preserve">T.M. Hughes, "What Constitutes a Gas Sales Contract in the Evolving Marketplace?", </w:t>
      </w:r>
      <w:r>
        <w:rPr>
          <w:i/>
        </w:rPr>
        <w:t>Insight Conference</w:t>
      </w:r>
      <w:r>
        <w:rPr/>
        <w:t xml:space="preserve"> paper dated May 23, 1996.</w:t>
      </w:r>
    </w:p>
  </w:footnote>
  <w:footnote w:id="17">
    <w:p>
      <w:pPr>
        <w:pStyle w:val="FootnoteText"/>
        <w:tabs>
          <w:tab w:val="clear" w:pos="720"/>
          <w:tab w:val="left" w:pos="360" w:leader="none"/>
        </w:tabs>
        <w:rPr/>
      </w:pPr>
      <w:r>
        <w:rPr>
          <w:rStyle w:val="FootnoteCharacters"/>
        </w:rPr>
        <w:footnoteRef/>
      </w:r>
      <w:r>
        <w:rPr/>
        <w:tab/>
      </w:r>
      <w:r>
        <w:rPr>
          <w:i/>
        </w:rPr>
        <w:t>Leroux</w:t>
      </w:r>
      <w:r>
        <w:rPr/>
        <w:t xml:space="preserve"> v. </w:t>
      </w:r>
      <w:r>
        <w:rPr>
          <w:i/>
        </w:rPr>
        <w:t>Brown</w:t>
      </w:r>
      <w:r>
        <w:rPr/>
        <w:t xml:space="preserve"> (1852) 12 C.B. 801</w:t>
      </w:r>
    </w:p>
  </w:footnote>
  <w:footnote w:id="18">
    <w:p>
      <w:pPr>
        <w:pStyle w:val="FootnoteText"/>
        <w:tabs>
          <w:tab w:val="clear" w:pos="720"/>
          <w:tab w:val="left" w:pos="360" w:leader="none"/>
        </w:tabs>
        <w:rPr/>
      </w:pPr>
      <w:r>
        <w:rPr>
          <w:rStyle w:val="FootnoteCharacters"/>
        </w:rPr>
        <w:footnoteRef/>
      </w:r>
      <w:r>
        <w:rPr/>
        <w:tab/>
        <w:t>(1994), [1995] 1 W.W.R. 609 (S.C.C.)</w:t>
      </w:r>
    </w:p>
  </w:footnote>
  <w:footnote w:id="19">
    <w:p>
      <w:pPr>
        <w:pStyle w:val="FootnoteText"/>
        <w:tabs>
          <w:tab w:val="clear" w:pos="720"/>
          <w:tab w:val="left" w:pos="360" w:leader="none"/>
        </w:tabs>
        <w:rPr/>
      </w:pPr>
      <w:r>
        <w:rPr>
          <w:rStyle w:val="FootnoteCharacters"/>
        </w:rPr>
        <w:footnoteRef/>
      </w:r>
      <w:r>
        <w:rPr>
          <w:i/>
        </w:rPr>
        <w:tab/>
        <w:t>Securities Amendment Act, 1999</w:t>
      </w:r>
      <w:r>
        <w:rPr/>
        <w:t>, S.A. 1999, c. 15.</w:t>
      </w:r>
    </w:p>
  </w:footnote>
  <w:footnote w:id="20">
    <w:p>
      <w:pPr>
        <w:pStyle w:val="FootnoteText"/>
        <w:tabs>
          <w:tab w:val="clear" w:pos="720"/>
          <w:tab w:val="left" w:pos="360" w:leader="none"/>
        </w:tabs>
        <w:rPr/>
      </w:pPr>
      <w:r>
        <w:rPr>
          <w:rStyle w:val="FootnoteCharacters"/>
        </w:rPr>
        <w:footnoteRef/>
      </w:r>
      <w:r>
        <w:rPr/>
        <w:tab/>
        <w:t>The prior definition for "futures contract" provided as follows:</w:t>
      </w:r>
    </w:p>
    <w:p>
      <w:pPr>
        <w:pStyle w:val="FootnoteText"/>
        <w:tabs>
          <w:tab w:val="clear" w:pos="720"/>
          <w:tab w:val="left" w:pos="360" w:leader="none"/>
        </w:tabs>
        <w:ind w:start="720" w:end="0"/>
        <w:rPr/>
      </w:pPr>
      <w:r>
        <w:rPr/>
      </w:r>
    </w:p>
    <w:p>
      <w:pPr>
        <w:pStyle w:val="FootnoteText"/>
        <w:tabs>
          <w:tab w:val="clear" w:pos="720"/>
          <w:tab w:val="left" w:pos="360" w:leader="none"/>
        </w:tabs>
        <w:ind w:start="720" w:end="0"/>
        <w:rPr/>
      </w:pPr>
      <w:r>
        <w:rPr/>
        <w:t>"futures contract" means a contract to make delivery or take delivery on a specified date or during a specified period</w:t>
      </w:r>
    </w:p>
    <w:p>
      <w:pPr>
        <w:pStyle w:val="FootnoteText"/>
        <w:ind w:firstLine="720" w:start="720" w:end="0"/>
        <w:rPr/>
      </w:pPr>
      <w:r>
        <w:rPr/>
      </w:r>
    </w:p>
    <w:p>
      <w:pPr>
        <w:pStyle w:val="FootnoteText"/>
        <w:ind w:start="1440" w:end="0"/>
        <w:rPr/>
      </w:pPr>
      <w:r>
        <w:rPr/>
        <w:t>(i)</w:t>
        <w:tab/>
        <w:t>of a specified asset, or</w:t>
      </w:r>
    </w:p>
    <w:p>
      <w:pPr>
        <w:pStyle w:val="FootnoteText"/>
        <w:ind w:start="1440" w:end="0"/>
        <w:rPr/>
      </w:pPr>
      <w:r>
        <w:rPr/>
      </w:r>
    </w:p>
    <w:p>
      <w:pPr>
        <w:pStyle w:val="FootnoteText"/>
        <w:ind w:start="1440" w:end="0"/>
        <w:rPr/>
      </w:pPr>
      <w:r>
        <w:rPr/>
        <w:t>(ii)</w:t>
        <w:tab/>
        <w:t>of a specified cash equivalent of the subject matter of the contract;</w:t>
      </w:r>
    </w:p>
    <w:p>
      <w:pPr>
        <w:pStyle w:val="FootnoteText"/>
        <w:rPr/>
      </w:pPr>
      <w:r>
        <w:rPr/>
      </w:r>
    </w:p>
  </w:footnote>
  <w:footnote w:id="21">
    <w:p>
      <w:pPr>
        <w:pStyle w:val="FootnoteText"/>
        <w:tabs>
          <w:tab w:val="clear" w:pos="720"/>
          <w:tab w:val="left" w:pos="360" w:leader="none"/>
        </w:tabs>
        <w:ind w:hanging="360" w:start="360" w:end="0"/>
        <w:rPr/>
      </w:pPr>
      <w:r>
        <w:rPr>
          <w:rStyle w:val="FootnoteCharacters"/>
        </w:rPr>
        <w:footnoteRef/>
      </w:r>
      <w:r>
        <w:rPr/>
        <w:t xml:space="preserve"> </w:t>
      </w:r>
      <w:r>
        <w:rPr/>
        <w:tab/>
        <w:t>It is still possible that such products could constitute securities in accordance with the more general analysis discussed below in respect of the Ontario position in this regard.  The general analysis, however, would have to be modified to reflect the fact that in Alberta, unlike Ontario, OTC derivatives have specifically been addressed, firstly through the specific inclusion of derivatives within the definition of "futures contract" and secondly through the subsequent order declaring OTC derivative transactions between qualified parties not to be "futures contracts".  This, it would seem, would make it much less likely that a court would characterize such products as securities under the general analysis.</w:t>
      </w:r>
    </w:p>
  </w:footnote>
  <w:footnote w:id="22">
    <w:p>
      <w:pPr>
        <w:pStyle w:val="FootnoteText"/>
        <w:tabs>
          <w:tab w:val="clear" w:pos="720"/>
          <w:tab w:val="left" w:pos="360" w:leader="none"/>
        </w:tabs>
        <w:ind w:hanging="360" w:start="360" w:end="0"/>
        <w:rPr/>
      </w:pPr>
      <w:r>
        <w:rPr>
          <w:rStyle w:val="FootnoteCharacters"/>
        </w:rPr>
        <w:footnoteRef/>
      </w:r>
      <w:r>
        <w:rPr/>
        <w:tab/>
        <w:t>Much of the following discussion regarding the question of whether OTC derivatives generally may be characterized as "securities" is taken from the text entitled "The Law of Financial Derivatives in Canada" (1999), written by Margaret Grottenthaler and Philip Henderson, both partners in Stikeman, Elliott.</w:t>
      </w:r>
    </w:p>
  </w:footnote>
  <w:footnote w:id="23">
    <w:p>
      <w:pPr>
        <w:pStyle w:val="FootnoteText"/>
        <w:tabs>
          <w:tab w:val="clear" w:pos="720"/>
          <w:tab w:val="left" w:pos="360" w:leader="none"/>
        </w:tabs>
        <w:ind w:hanging="360" w:start="360" w:end="0"/>
        <w:rPr/>
      </w:pPr>
      <w:r>
        <w:rPr>
          <w:rStyle w:val="FootnoteCharacters"/>
        </w:rPr>
        <w:footnoteRef/>
      </w:r>
      <w:r>
        <w:rPr/>
        <w:tab/>
        <w:t>OSA, section 1(1).</w:t>
      </w:r>
    </w:p>
  </w:footnote>
  <w:footnote w:id="24">
    <w:p>
      <w:pPr>
        <w:pStyle w:val="FootnoteText"/>
        <w:tabs>
          <w:tab w:val="clear" w:pos="720"/>
          <w:tab w:val="left" w:pos="360" w:leader="none"/>
        </w:tabs>
        <w:ind w:hanging="360" w:start="360" w:end="0"/>
        <w:rPr/>
      </w:pPr>
      <w:r>
        <w:rPr>
          <w:rStyle w:val="FootnoteCharacters"/>
        </w:rPr>
        <w:footnoteRef/>
      </w:r>
      <w:r>
        <w:rPr/>
        <w:t xml:space="preserve"> </w:t>
      </w:r>
      <w:r>
        <w:rPr/>
        <w:tab/>
        <w:t xml:space="preserve">See </w:t>
      </w:r>
      <w:r>
        <w:rPr>
          <w:i/>
        </w:rPr>
        <w:t xml:space="preserve">Securities Exchange Commission </w:t>
      </w:r>
      <w:r>
        <w:rPr/>
        <w:t>v</w:t>
      </w:r>
      <w:r>
        <w:rPr>
          <w:i/>
        </w:rPr>
        <w:t>. C.M. Joiner Leasing Corp.</w:t>
      </w:r>
      <w:r>
        <w:rPr/>
        <w:t xml:space="preserve"> (1981), 320 U.S. 344 (1943) at pp. 352-53, relied on by the Quebec Securities Commission in </w:t>
      </w:r>
      <w:r>
        <w:rPr>
          <w:i/>
        </w:rPr>
        <w:t>Re:  John T. Gelderman &amp; Co. Inc.,</w:t>
      </w:r>
      <w:r>
        <w:rPr/>
        <w:t xml:space="preserve"> July 1972, 3 Q.S.C.W.S. No. 65.</w:t>
      </w:r>
    </w:p>
  </w:footnote>
  <w:footnote w:id="25">
    <w:p>
      <w:pPr>
        <w:pStyle w:val="FootnoteText"/>
        <w:ind w:hanging="360" w:start="360" w:end="0"/>
        <w:rPr/>
      </w:pPr>
      <w:r>
        <w:rPr>
          <w:rStyle w:val="FootnoteCharacters"/>
        </w:rPr>
        <w:footnoteRef/>
      </w:r>
      <w:r>
        <w:rPr/>
        <w:t xml:space="preserve"> </w:t>
      </w:r>
      <w:r>
        <w:rPr/>
        <w:tab/>
        <w:t xml:space="preserve">In the matter of </w:t>
      </w:r>
      <w:r>
        <w:rPr>
          <w:i/>
        </w:rPr>
        <w:t>Lewinco (Canada) Securities Inc., et al</w:t>
      </w:r>
      <w:r>
        <w:rPr/>
        <w:t xml:space="preserve"> (1991), 14 OSCB 4761.</w:t>
      </w:r>
    </w:p>
  </w:footnote>
  <w:footnote w:id="26">
    <w:p>
      <w:pPr>
        <w:pStyle w:val="FootnoteText"/>
        <w:ind w:hanging="360" w:start="360" w:end="0"/>
        <w:rPr/>
      </w:pPr>
      <w:r>
        <w:rPr>
          <w:rStyle w:val="FootnoteCharacters"/>
        </w:rPr>
        <w:footnoteRef/>
      </w:r>
      <w:r>
        <w:rPr/>
        <w:t xml:space="preserve"> </w:t>
      </w:r>
      <w:r>
        <w:rPr/>
        <w:tab/>
        <w:t>Application for relief from the requirements of the OSA pertaining to physically settled government bond option OTC derivatives was made to the OSC by BT Bank of Canada in 1989.  Exemptive relief was neither granted nor refused by the OSC and the issues raised by that application spawned the review by the OSC of the application of securities laws to OTC derivatives generally.</w:t>
      </w:r>
    </w:p>
  </w:footnote>
  <w:footnote w:id="27">
    <w:p>
      <w:pPr>
        <w:pStyle w:val="FootnoteText"/>
        <w:ind w:hanging="360" w:start="360" w:end="0"/>
        <w:rPr/>
      </w:pPr>
      <w:r>
        <w:rPr>
          <w:rStyle w:val="FootnoteCharacters"/>
        </w:rPr>
        <w:footnoteRef/>
      </w:r>
      <w:r>
        <w:rPr/>
        <w:t xml:space="preserve"> </w:t>
      </w:r>
      <w:r>
        <w:rPr/>
        <w:tab/>
        <w:t>[1970] 3 O.R. 714 (Ont. H.C.).</w:t>
      </w:r>
    </w:p>
  </w:footnote>
  <w:footnote w:id="28">
    <w:p>
      <w:pPr>
        <w:pStyle w:val="FootnoteText"/>
        <w:ind w:hanging="360" w:start="360" w:end="0"/>
        <w:rPr/>
      </w:pPr>
      <w:r>
        <w:rPr>
          <w:rStyle w:val="FootnoteCharacters"/>
        </w:rPr>
        <w:footnoteRef/>
      </w:r>
      <w:r>
        <w:rPr/>
        <w:t xml:space="preserve"> </w:t>
      </w:r>
      <w:r>
        <w:rPr/>
        <w:tab/>
        <w:t>[1978] 2 S.C.R. 112 (S.C.C.).</w:t>
      </w:r>
    </w:p>
  </w:footnote>
  <w:footnote w:id="29">
    <w:p>
      <w:pPr>
        <w:pStyle w:val="FootnoteText"/>
        <w:ind w:hanging="360" w:start="360" w:end="0"/>
        <w:rPr/>
      </w:pPr>
      <w:r>
        <w:rPr>
          <w:rStyle w:val="FootnoteCharacters"/>
        </w:rPr>
        <w:footnoteRef/>
      </w:r>
      <w:r>
        <w:rPr/>
        <w:t xml:space="preserve"> </w:t>
      </w:r>
      <w:r>
        <w:rPr/>
        <w:tab/>
        <w:t>(1945) 328 U.S. 293 (U.S. S.C.).</w:t>
      </w:r>
    </w:p>
  </w:footnote>
  <w:footnote w:id="30">
    <w:p>
      <w:pPr>
        <w:pStyle w:val="FootnoteText"/>
        <w:ind w:hanging="360" w:start="360" w:end="0"/>
        <w:rPr/>
      </w:pPr>
      <w:r>
        <w:rPr>
          <w:rStyle w:val="FootnoteCharacters"/>
        </w:rPr>
        <w:footnoteRef/>
      </w:r>
      <w:r>
        <w:rPr/>
        <w:t xml:space="preserve"> </w:t>
      </w:r>
      <w:r>
        <w:rPr/>
        <w:tab/>
        <w:t>485 P. 2d 105 (1971).</w:t>
      </w:r>
    </w:p>
  </w:footnote>
  <w:footnote w:id="31">
    <w:p>
      <w:pPr>
        <w:pStyle w:val="FootnoteText"/>
        <w:ind w:hanging="360" w:start="360" w:end="0"/>
        <w:rPr/>
      </w:pPr>
      <w:r>
        <w:rPr>
          <w:rStyle w:val="FootnoteCharacters"/>
        </w:rPr>
        <w:footnoteRef/>
      </w:r>
      <w:r>
        <w:rPr/>
        <w:t xml:space="preserve"> </w:t>
      </w:r>
      <w:r>
        <w:rPr/>
        <w:tab/>
        <w:t xml:space="preserve">See </w:t>
      </w:r>
      <w:r>
        <w:rPr>
          <w:i/>
        </w:rPr>
        <w:t xml:space="preserve">Securities Exchange Commission </w:t>
      </w:r>
      <w:r>
        <w:rPr/>
        <w:t>v.</w:t>
      </w:r>
      <w:r>
        <w:rPr>
          <w:i/>
        </w:rPr>
        <w:t xml:space="preserve"> Glenn W. Turner Enterprises Inc.</w:t>
      </w:r>
      <w:r>
        <w:rPr/>
        <w:t xml:space="preserve"> 348 F. Supp. 766 (D. Ore. 1972), affirmed, 474 F.2d 476 (9</w:t>
      </w:r>
      <w:r>
        <w:rPr>
          <w:vertAlign w:val="superscript"/>
        </w:rPr>
        <w:t>th</w:t>
      </w:r>
      <w:r>
        <w:rPr/>
        <w:t xml:space="preserve"> Cir. 1973).</w:t>
      </w:r>
    </w:p>
  </w:footnote>
  <w:footnote w:id="32">
    <w:p>
      <w:pPr>
        <w:pStyle w:val="FootnoteText"/>
        <w:ind w:hanging="360" w:start="360" w:end="0"/>
        <w:rPr/>
      </w:pPr>
      <w:r>
        <w:rPr>
          <w:rStyle w:val="FootnoteCharacters"/>
        </w:rPr>
        <w:footnoteRef/>
      </w:r>
      <w:r>
        <w:rPr/>
        <w:t xml:space="preserve"> </w:t>
      </w:r>
      <w:r>
        <w:rPr/>
        <w:tab/>
        <w:t xml:space="preserve">The principles of Chief Justice Laskin's dissenting opinion were relied upon in at least one subsequent case, </w:t>
      </w:r>
      <w:r>
        <w:rPr>
          <w:i/>
        </w:rPr>
        <w:t xml:space="preserve">British Columbia (Superintendent of Brokers) </w:t>
      </w:r>
      <w:r>
        <w:rPr/>
        <w:t>v.</w:t>
      </w:r>
      <w:r>
        <w:rPr>
          <w:i/>
        </w:rPr>
        <w:t xml:space="preserve"> Lazerman Investment Metals International Inc.</w:t>
      </w:r>
      <w:r>
        <w:rPr/>
        <w:t xml:space="preserve"> (1985), 66 B.C.L.R. 376 (B.C. C.A.)</w:t>
      </w:r>
    </w:p>
  </w:footnote>
  <w:footnote w:id="33">
    <w:p>
      <w:pPr>
        <w:pStyle w:val="FootnoteText"/>
        <w:ind w:hanging="360" w:start="360" w:end="0"/>
        <w:rPr/>
      </w:pPr>
      <w:r>
        <w:rPr>
          <w:rStyle w:val="FootnoteCharacters"/>
        </w:rPr>
        <w:footnoteRef/>
      </w:r>
      <w:r>
        <w:rPr/>
        <w:t xml:space="preserve"> </w:t>
      </w:r>
      <w:r>
        <w:rPr/>
        <w:tab/>
        <w:t xml:space="preserve">See </w:t>
      </w:r>
      <w:r>
        <w:rPr>
          <w:i/>
        </w:rPr>
        <w:t xml:space="preserve">United Housing Foundation Inc. </w:t>
      </w:r>
      <w:r>
        <w:rPr/>
        <w:t>v.</w:t>
      </w:r>
      <w:r>
        <w:rPr>
          <w:i/>
        </w:rPr>
        <w:t xml:space="preserve"> Forman</w:t>
      </w:r>
      <w:r>
        <w:rPr/>
        <w:t xml:space="preserve">, 421 U.S. 837 (1975), and also </w:t>
      </w:r>
      <w:r>
        <w:rPr>
          <w:i/>
        </w:rPr>
        <w:t xml:space="preserve">Landreth Timber Co. </w:t>
      </w:r>
      <w:r>
        <w:rPr/>
        <w:t>v.</w:t>
      </w:r>
      <w:r>
        <w:rPr>
          <w:i/>
        </w:rPr>
        <w:t xml:space="preserve"> Landreth</w:t>
      </w:r>
      <w:r>
        <w:rPr/>
        <w:t>, 105 S.Ct. 2297 (1985).</w:t>
      </w:r>
    </w:p>
  </w:footnote>
  <w:footnote w:id="34">
    <w:p>
      <w:pPr>
        <w:pStyle w:val="FootnoteText"/>
        <w:ind w:hanging="360" w:start="360" w:end="0"/>
        <w:rPr/>
      </w:pPr>
      <w:r>
        <w:rPr>
          <w:rStyle w:val="FootnoteCharacters"/>
        </w:rPr>
        <w:footnoteRef/>
      </w:r>
      <w:r>
        <w:rPr/>
        <w:t xml:space="preserve"> </w:t>
      </w:r>
      <w:r>
        <w:rPr/>
        <w:tab/>
      </w:r>
      <w:r>
        <w:rPr>
          <w:i/>
        </w:rPr>
        <w:t>United Housing</w:t>
      </w:r>
      <w:r>
        <w:rPr/>
        <w:t>, above note 32.</w:t>
      </w:r>
    </w:p>
  </w:footnote>
  <w:footnote w:id="35">
    <w:p>
      <w:pPr>
        <w:pStyle w:val="FootnoteText"/>
        <w:ind w:hanging="360" w:start="360" w:end="0"/>
        <w:rPr/>
      </w:pPr>
      <w:r>
        <w:rPr>
          <w:rStyle w:val="FootnoteCharacters"/>
        </w:rPr>
        <w:footnoteRef/>
      </w:r>
      <w:r>
        <w:rPr/>
        <w:t xml:space="preserve"> </w:t>
      </w:r>
      <w:r>
        <w:rPr/>
        <w:tab/>
      </w:r>
      <w:r>
        <w:rPr>
          <w:i/>
        </w:rPr>
        <w:t>Landreth Timber</w:t>
      </w:r>
      <w:r>
        <w:rPr/>
        <w:t>, above note 32.</w:t>
      </w:r>
    </w:p>
  </w:footnote>
  <w:footnote w:id="36">
    <w:p>
      <w:pPr>
        <w:pStyle w:val="FootnoteText"/>
        <w:ind w:hanging="360" w:start="360" w:end="0"/>
        <w:rPr/>
      </w:pPr>
      <w:r>
        <w:rPr>
          <w:rStyle w:val="FootnoteCharacters"/>
        </w:rPr>
        <w:footnoteRef/>
      </w:r>
      <w:r>
        <w:rPr/>
        <w:t xml:space="preserve"> </w:t>
      </w:r>
      <w:r>
        <w:rPr/>
        <w:tab/>
        <w:t>471 U.S. 701 (1985).</w:t>
      </w:r>
    </w:p>
  </w:footnote>
  <w:footnote w:id="37">
    <w:p>
      <w:pPr>
        <w:pStyle w:val="FootnoteText"/>
        <w:ind w:hanging="360" w:start="360" w:end="0"/>
        <w:rPr/>
      </w:pPr>
      <w:r>
        <w:rPr>
          <w:rStyle w:val="FootnoteCharacters"/>
        </w:rPr>
        <w:footnoteRef/>
      </w:r>
      <w:r>
        <w:rPr/>
        <w:t xml:space="preserve"> </w:t>
      </w:r>
      <w:r>
        <w:rPr/>
        <w:tab/>
        <w:t xml:space="preserve">See </w:t>
      </w:r>
      <w:r>
        <w:rPr>
          <w:i/>
        </w:rPr>
        <w:t xml:space="preserve">One-O-One Enterprises, Inc. </w:t>
      </w:r>
      <w:r>
        <w:rPr/>
        <w:t>v.</w:t>
      </w:r>
      <w:r>
        <w:rPr>
          <w:i/>
        </w:rPr>
        <w:t xml:space="preserve"> Caruso</w:t>
      </w:r>
      <w:r>
        <w:rPr/>
        <w:t>, [1988] Fed. Sec. L. Rep., 793.</w:t>
      </w:r>
    </w:p>
  </w:footnote>
  <w:footnote w:id="38">
    <w:p>
      <w:pPr>
        <w:pStyle w:val="FootnoteText"/>
        <w:ind w:hanging="360" w:start="360" w:end="0"/>
        <w:rPr/>
      </w:pPr>
      <w:r>
        <w:rPr>
          <w:rStyle w:val="FootnoteCharacters"/>
        </w:rPr>
        <w:footnoteRef/>
      </w:r>
      <w:r>
        <w:rPr/>
        <w:t xml:space="preserve"> </w:t>
      </w:r>
      <w:r>
        <w:rPr/>
        <w:tab/>
        <w:t>455 U.S. 551 (1982).</w:t>
      </w:r>
    </w:p>
  </w:footnote>
  <w:footnote w:id="39">
    <w:p>
      <w:pPr>
        <w:pStyle w:val="FootnoteText"/>
        <w:ind w:hanging="360" w:start="360" w:end="0"/>
        <w:rPr/>
      </w:pPr>
      <w:r>
        <w:rPr>
          <w:rStyle w:val="FootnoteCharacters"/>
        </w:rPr>
        <w:footnoteRef/>
      </w:r>
      <w:r>
        <w:rPr/>
        <w:t xml:space="preserve"> </w:t>
      </w:r>
      <w:r>
        <w:rPr/>
        <w:tab/>
        <w:t xml:space="preserve">See also </w:t>
      </w:r>
      <w:r>
        <w:rPr>
          <w:i/>
        </w:rPr>
        <w:t xml:space="preserve">Mace Neufeld Productions </w:t>
      </w:r>
      <w:r>
        <w:rPr/>
        <w:t>v.</w:t>
      </w:r>
      <w:r>
        <w:rPr>
          <w:i/>
        </w:rPr>
        <w:t xml:space="preserve"> Orion Pictures Corp.</w:t>
      </w:r>
      <w:r>
        <w:rPr/>
        <w:t xml:space="preserve"> (860 F.2d 944 (9</w:t>
      </w:r>
      <w:r>
        <w:rPr>
          <w:vertAlign w:val="superscript"/>
        </w:rPr>
        <w:t>th</w:t>
      </w:r>
      <w:r>
        <w:rPr/>
        <w:t xml:space="preserve"> Cir. 1988)).</w:t>
      </w:r>
    </w:p>
  </w:footnote>
  <w:footnote w:id="40">
    <w:p>
      <w:pPr>
        <w:pStyle w:val="FootnoteText"/>
        <w:ind w:hanging="360" w:start="360" w:end="0"/>
        <w:rPr/>
      </w:pPr>
      <w:r>
        <w:rPr>
          <w:rStyle w:val="FootnoteCharacters"/>
        </w:rPr>
        <w:footnoteRef/>
      </w:r>
      <w:r>
        <w:rPr/>
        <w:t xml:space="preserve"> </w:t>
      </w:r>
      <w:r>
        <w:rPr/>
        <w:tab/>
        <w:t>See "Request for Comments, Draft Interpretation and Drafting Ruling, Over-the-Counter Derivatives," January 28, 1994, published in (1994), 17 OSCB 341 at 371.</w:t>
      </w:r>
    </w:p>
  </w:footnote>
  <w:footnote w:id="41">
    <w:p>
      <w:pPr>
        <w:pStyle w:val="FootnoteText"/>
        <w:tabs>
          <w:tab w:val="clear" w:pos="720"/>
          <w:tab w:val="left" w:pos="360" w:leader="none"/>
        </w:tabs>
        <w:rPr/>
      </w:pPr>
      <w:r>
        <w:rPr>
          <w:rStyle w:val="FootnoteCharacters"/>
        </w:rPr>
        <w:footnoteRef/>
      </w:r>
      <w:r>
        <w:rPr/>
        <w:tab/>
        <w:t>[1981] 121 D.L.R. (3d) 345 (Q.S.C.).</w:t>
      </w:r>
    </w:p>
  </w:footnote>
  <w:footnote w:id="42">
    <w:p>
      <w:pPr>
        <w:pStyle w:val="FootnoteText"/>
        <w:tabs>
          <w:tab w:val="clear" w:pos="720"/>
          <w:tab w:val="left" w:pos="360" w:leader="none"/>
        </w:tabs>
        <w:rPr/>
      </w:pPr>
      <w:r>
        <w:rPr>
          <w:rStyle w:val="FootnoteCharacters"/>
        </w:rPr>
        <w:footnoteRef/>
      </w:r>
      <w:r>
        <w:rPr>
          <w:i/>
        </w:rPr>
        <w:tab/>
        <w:t xml:space="preserve">Ibid. </w:t>
      </w:r>
      <w:r>
        <w:rPr/>
        <w:t>p. 349.</w:t>
      </w:r>
    </w:p>
  </w:footnote>
  <w:footnote w:id="43">
    <w:p>
      <w:pPr>
        <w:pStyle w:val="FootnoteText"/>
        <w:tabs>
          <w:tab w:val="clear" w:pos="720"/>
          <w:tab w:val="left" w:pos="360" w:leader="none"/>
        </w:tabs>
        <w:rPr/>
      </w:pPr>
      <w:r>
        <w:rPr>
          <w:rStyle w:val="FootnoteCharacters"/>
        </w:rPr>
        <w:footnoteRef/>
      </w:r>
      <w:r>
        <w:rPr/>
        <w:tab/>
        <w:t>D.C. Tex. 523 F.Supp. 819, 834.</w:t>
      </w:r>
    </w:p>
  </w:footnote>
  <w:footnote w:id="44">
    <w:p>
      <w:pPr>
        <w:pStyle w:val="FootnoteText"/>
        <w:tabs>
          <w:tab w:val="clear" w:pos="720"/>
          <w:tab w:val="left" w:pos="360" w:leader="none"/>
        </w:tabs>
        <w:rPr/>
      </w:pPr>
      <w:r>
        <w:rPr>
          <w:rStyle w:val="FootnoteCharacters"/>
        </w:rPr>
        <w:footnoteRef/>
      </w:r>
      <w:r>
        <w:rPr>
          <w:i/>
        </w:rPr>
        <w:tab/>
        <w:t xml:space="preserve">Ibid. </w:t>
      </w:r>
      <w:r>
        <w:rPr/>
        <w:t>pp. 834-835</w:t>
      </w:r>
    </w:p>
  </w:footnote>
  <w:footnote w:id="45">
    <w:p>
      <w:pPr>
        <w:pStyle w:val="FootnoteText"/>
        <w:tabs>
          <w:tab w:val="clear" w:pos="720"/>
          <w:tab w:val="left" w:pos="360" w:leader="none"/>
        </w:tabs>
        <w:rPr/>
      </w:pPr>
      <w:r>
        <w:rPr>
          <w:rStyle w:val="FootnoteCharacters"/>
        </w:rPr>
        <w:footnoteRef/>
      </w:r>
      <w:r>
        <w:rPr/>
        <w:tab/>
        <w:t>C.A. 7, 923 F.2d 1270, 1271 ("Chicago").</w:t>
      </w:r>
    </w:p>
  </w:footnote>
  <w:footnote w:id="46">
    <w:p>
      <w:pPr>
        <w:pStyle w:val="FootnoteText"/>
        <w:tabs>
          <w:tab w:val="clear" w:pos="720"/>
          <w:tab w:val="left" w:pos="360" w:leader="none"/>
        </w:tabs>
        <w:rPr/>
      </w:pPr>
      <w:r>
        <w:rPr>
          <w:rStyle w:val="FootnoteCharacters"/>
        </w:rPr>
        <w:footnoteRef/>
      </w:r>
      <w:r>
        <w:rPr>
          <w:i/>
        </w:rPr>
        <w:tab/>
        <w:t>Ibid</w:t>
      </w:r>
      <w:r>
        <w:rPr/>
        <w:t>. p. 1272.</w:t>
      </w:r>
    </w:p>
  </w:footnote>
  <w:footnote w:id="47">
    <w:p>
      <w:pPr>
        <w:pStyle w:val="FootnoteText"/>
        <w:tabs>
          <w:tab w:val="clear" w:pos="720"/>
          <w:tab w:val="left" w:pos="360" w:leader="none"/>
        </w:tabs>
        <w:ind w:hanging="360" w:start="360" w:end="0"/>
        <w:rPr/>
      </w:pPr>
      <w:r>
        <w:rPr>
          <w:rStyle w:val="FootnoteCharacters"/>
        </w:rPr>
        <w:footnoteRef/>
      </w:r>
      <w:r>
        <w:rPr/>
        <w:t xml:space="preserve"> </w:t>
      </w:r>
      <w:r>
        <w:rPr/>
        <w:tab/>
        <w:t>The ETA provides in effect that the posted information does not constitute an offer, but that it is the counterparty who makes the offer on the basis of the posted information.  The posted information would therefor constitute an invitation to treat only.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30" w:leader="none"/>
        <w:tab w:val="right" w:pos="8640" w:leader="none"/>
      </w:tabs>
      <w:spacing w:before="0" w:after="240"/>
      <w:jc w:val="center"/>
      <w:rPr/>
    </w:pPr>
    <w:r>
      <w:rPr>
        <w:rFonts w:cs="Arial" w:ascii="Arial" w:hAnsi="Arial"/>
      </w:rPr>
      <w:tab/>
    </w:r>
    <w:r>
      <w:rPr>
        <w:sz w:val="22"/>
      </w:rPr>
      <w:t xml:space="preserve">– </w:t>
    </w:r>
    <w:r>
      <w:rPr>
        <w:sz w:val="22"/>
      </w:rPr>
      <w:fldChar w:fldCharType="begin"/>
    </w:r>
    <w:r>
      <w:rPr>
        <w:sz w:val="22"/>
      </w:rPr>
      <w:instrText xml:space="preserve"> PAGE </w:instrText>
    </w:r>
    <w:r>
      <w:rPr>
        <w:sz w:val="22"/>
      </w:rPr>
      <w:fldChar w:fldCharType="separate"/>
    </w:r>
    <w:r>
      <w:rPr>
        <w:sz w:val="22"/>
      </w:rPr>
      <w:t>36</w:t>
    </w:r>
    <w:r>
      <w:rPr>
        <w:sz w:val="22"/>
      </w:rPr>
      <w:fldChar w:fldCharType="end"/>
    </w:r>
    <w:r>
      <w:rPr>
        <w:sz w:val="22"/>
      </w:rPr>
      <w:t xml:space="preserve"> –</w:t>
    </w:r>
    <w:r>
      <w:rPr>
        <w:rFonts w:cs="Arial" w:ascii="Arial" w:hAnsi="Arial"/>
      </w:rPr>
      <w:tab/>
    </w:r>
    <w:r>
      <w:rPr>
        <w:rFonts w:cs="Copperplate Gothic Bold" w:ascii="Copperplate Gothic Bold" w:hAnsi="Copperplate Gothic Bold"/>
        <w:smallCaps/>
        <w:spacing w:val="10"/>
        <w:position w:val="-1"/>
        <w:sz w:val="22"/>
        <w:lang w:val="en-CA"/>
      </w:rPr>
      <w:t>Stikeman, Elliott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20"/>
      <w:jc w:val="center"/>
      <w:rPr>
        <w:rFonts w:ascii="Copperplate Gothic Bold" w:hAnsi="Copperplate Gothic Bold" w:cs="Copperplate Gothic Bold"/>
        <w:smallCaps/>
        <w:spacing w:val="20"/>
        <w:sz w:val="32"/>
        <w:lang w:val="en-CA"/>
      </w:rPr>
    </w:pPr>
    <w:r>
      <w:rPr>
        <w:rFonts w:cs="Copperplate Gothic Bold" w:ascii="Copperplate Gothic Bold" w:hAnsi="Copperplate Gothic Bold"/>
        <w:smallCaps/>
        <w:spacing w:val="20"/>
        <w:sz w:val="32"/>
        <w:lang w:val="en-CA"/>
      </w:rPr>
      <w:t>Stikeman, Elliott</w:t>
    </w:r>
  </w:p>
  <w:p>
    <w:pPr>
      <w:pStyle w:val="Normal"/>
      <w:pBdr>
        <w:bottom w:val="single" w:sz="6" w:space="6" w:color="000000"/>
      </w:pBdr>
      <w:jc w:val="center"/>
      <w:rPr>
        <w:rFonts w:ascii="Copperplate Gothic Light" w:hAnsi="Copperplate Gothic Light" w:cs="Copperplate Gothic Light"/>
        <w:smallCaps/>
        <w:spacing w:val="-2"/>
        <w:sz w:val="10"/>
        <w:lang w:val="en-CA"/>
      </w:rPr>
    </w:pPr>
    <w:bookmarkStart w:id="36" w:name="offices"/>
    <w:bookmarkEnd w:id="36"/>
    <w:r>
      <w:rPr>
        <w:rFonts w:cs="Copperplate Gothic Light" w:ascii="Copperplate Gothic Light" w:hAnsi="Copperplate Gothic Light"/>
        <w:smallCaps/>
        <w:spacing w:val="-2"/>
        <w:sz w:val="10"/>
        <w:lang w:val="en-CA"/>
      </w:rPr>
      <w:t>Montreal • Toronto • Ottawa • Calgary • Vancouver • New York • Washington • London • Hong Kong • Singapore • Sydney</w:t>
    </w:r>
  </w:p>
  <w:p>
    <w:pPr>
      <w:pStyle w:val="Normal"/>
      <w:spacing w:before="0" w:after="120"/>
      <w:jc w:val="center"/>
      <w:rPr>
        <w:b/>
        <w:smallCaps/>
        <w:spacing w:val="20"/>
      </w:rPr>
    </w:pPr>
    <w:bookmarkStart w:id="37" w:name="offices"/>
    <w:bookmarkEnd w:id="37"/>
    <w:r>
      <w:rPr>
        <w:b/>
        <w:smallCaps/>
        <w:spacing w:val="20"/>
      </w:rPr>
      <w:t>CALGARY</w:t>
    </w:r>
  </w:p>
  <w:p>
    <w:pPr>
      <w:pStyle w:val="Normal"/>
      <w:spacing w:before="0" w:after="360"/>
      <w:jc w:val="center"/>
      <w:rPr>
        <w:b/>
        <w:smallCaps/>
        <w:spacing w:val="20"/>
      </w:rPr>
    </w:pPr>
    <w:r>
      <w:rPr>
        <w:b/>
        <w:smallCaps/>
        <w:spacing w:val="20"/>
      </w:rPr>
      <w:t>MEMORANDUM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30" w:leader="none"/>
        <w:tab w:val="right" w:pos="8640" w:leader="none"/>
      </w:tabs>
      <w:spacing w:before="0" w:after="240"/>
      <w:jc w:val="center"/>
      <w:rPr/>
    </w:pPr>
    <w:r>
      <w:rPr>
        <w:rFonts w:cs="Arial" w:ascii="Arial" w:hAnsi="Arial"/>
      </w:rPr>
      <w:tab/>
    </w:r>
    <w:r>
      <w:rPr>
        <w:sz w:val="22"/>
      </w:rPr>
      <w:t xml:space="preserve">– </w:t>
    </w:r>
    <w:r>
      <w:rPr>
        <w:sz w:val="22"/>
      </w:rPr>
      <w:fldChar w:fldCharType="begin"/>
    </w:r>
    <w:r>
      <w:rPr>
        <w:sz w:val="22"/>
      </w:rPr>
      <w:instrText xml:space="preserve"> PAGE </w:instrText>
    </w:r>
    <w:r>
      <w:rPr>
        <w:sz w:val="22"/>
      </w:rPr>
      <w:fldChar w:fldCharType="separate"/>
    </w:r>
    <w:r>
      <w:rPr>
        <w:sz w:val="22"/>
      </w:rPr>
      <w:t>37</w:t>
    </w:r>
    <w:r>
      <w:rPr>
        <w:sz w:val="22"/>
      </w:rPr>
      <w:fldChar w:fldCharType="end"/>
    </w:r>
    <w:r>
      <w:rPr>
        <w:sz w:val="22"/>
      </w:rPr>
      <w:t xml:space="preserve"> –</w:t>
    </w:r>
    <w:r>
      <w:rPr>
        <w:rFonts w:cs="Arial" w:ascii="Arial" w:hAnsi="Arial"/>
      </w:rPr>
      <w:tab/>
    </w:r>
    <w:r>
      <w:rPr>
        <w:rFonts w:cs="Copperplate Gothic Bold" w:ascii="Copperplate Gothic Bold" w:hAnsi="Copperplate Gothic Bold"/>
        <w:smallCaps/>
        <w:spacing w:val="10"/>
        <w:position w:val="-1"/>
        <w:sz w:val="22"/>
        <w:lang w:val="en-CA"/>
      </w:rPr>
      <w:t>Stikeman, Elliott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30" w:leader="none"/>
        <w:tab w:val="right" w:pos="8640" w:leader="none"/>
      </w:tabs>
      <w:spacing w:before="0" w:after="240"/>
      <w:jc w:val="center"/>
      <w:rPr/>
    </w:pPr>
    <w:r>
      <w:rPr>
        <w:rFonts w:cs="Arial" w:ascii="Arial" w:hAnsi="Arial"/>
      </w:rPr>
      <w:tab/>
    </w:r>
    <w:r>
      <w:rPr>
        <w:sz w:val="22"/>
      </w:rPr>
      <w:t xml:space="preserve">– </w:t>
    </w:r>
    <w:r>
      <w:rPr>
        <w:sz w:val="22"/>
      </w:rPr>
      <w:fldChar w:fldCharType="begin"/>
    </w:r>
    <w:r>
      <w:rPr>
        <w:sz w:val="22"/>
      </w:rPr>
      <w:instrText xml:space="preserve"> PAGE </w:instrText>
    </w:r>
    <w:r>
      <w:rPr>
        <w:sz w:val="22"/>
      </w:rPr>
      <w:fldChar w:fldCharType="separate"/>
    </w:r>
    <w:r>
      <w:rPr>
        <w:sz w:val="22"/>
      </w:rPr>
      <w:t>0</w:t>
    </w:r>
    <w:r>
      <w:rPr>
        <w:sz w:val="22"/>
      </w:rPr>
      <w:fldChar w:fldCharType="end"/>
    </w:r>
    <w:r>
      <w:rPr>
        <w:sz w:val="22"/>
      </w:rPr>
      <w:t xml:space="preserve"> –</w:t>
    </w:r>
    <w:r>
      <w:rPr>
        <w:rFonts w:cs="Arial" w:ascii="Arial" w:hAnsi="Arial"/>
      </w:rPr>
      <w:tab/>
    </w:r>
    <w:r>
      <w:rPr>
        <w:rFonts w:cs="Copperplate Gothic Bold" w:ascii="Copperplate Gothic Bold" w:hAnsi="Copperplate Gothic Bold"/>
        <w:smallCaps/>
        <w:spacing w:val="10"/>
        <w:position w:val="-1"/>
        <w:sz w:val="22"/>
        <w:lang w:val="en-CA"/>
      </w:rPr>
      <w:t>Stikeman, Elliott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lvl>
    <w:lvl w:ilvl="1">
      <w:start w:val="1"/>
      <w:pStyle w:val="Heading2"/>
      <w:numFmt w:val="decimal"/>
      <w:lvlText w:val="%2."/>
      <w:lvlJc w:val="start"/>
      <w:pPr>
        <w:tabs>
          <w:tab w:val="num" w:pos="720"/>
        </w:tabs>
        <w:ind w:start="720" w:hanging="720"/>
      </w:pPr>
    </w:lvl>
    <w:lvl w:ilvl="2">
      <w:start w:val="1"/>
      <w:pStyle w:val="Heading3"/>
      <w:numFmt w:val="lowerLetter"/>
      <w:lvlText w:val="(%3)"/>
      <w:lvlJc w:val="start"/>
      <w:pPr>
        <w:tabs>
          <w:tab w:val="num" w:pos="1080"/>
        </w:tabs>
        <w:ind w:start="720" w:hanging="0"/>
      </w:pPr>
    </w:lvl>
    <w:lvl w:ilvl="3">
      <w:start w:val="1"/>
      <w:pStyle w:val="Heading4"/>
      <w:numFmt w:val="lowerRoman"/>
      <w:lvlText w:val="(%4)"/>
      <w:lvlJc w:val="start"/>
      <w:pPr>
        <w:tabs>
          <w:tab w:val="num" w:pos="2160"/>
        </w:tabs>
        <w:ind w:start="720" w:firstLine="720"/>
      </w:pPr>
    </w:lvl>
    <w:lvl w:ilvl="4">
      <w:start w:val="1"/>
      <w:pStyle w:val="Heading5"/>
      <w:numFmt w:val="upperLetter"/>
      <w:lvlText w:val="(%5)"/>
      <w:lvlJc w:val="start"/>
      <w:pPr>
        <w:tabs>
          <w:tab w:val="num" w:pos="1080"/>
        </w:tabs>
        <w:ind w:start="0" w:firstLine="720"/>
      </w:pPr>
    </w:lvl>
    <w:lvl w:ilvl="5">
      <w:start w:val="1"/>
      <w:pStyle w:val="Heading6"/>
      <w:numFmt w:val="decimal"/>
      <w:lvlText w:val="(%6)"/>
      <w:lvlJc w:val="start"/>
      <w:pPr>
        <w:tabs>
          <w:tab w:val="num" w:pos="1800"/>
        </w:tabs>
        <w:ind w:start="720" w:firstLine="720"/>
      </w:pPr>
    </w:lvl>
    <w:lvl w:ilvl="6">
      <w:start w:val="1"/>
      <w:numFmt w:val="decimal"/>
      <w:lvlText w:val="(%7)"/>
      <w:lvlJc w:val="start"/>
      <w:pPr>
        <w:tabs>
          <w:tab w:val="num" w:pos="1440"/>
        </w:tabs>
        <w:ind w:start="1440" w:hanging="720"/>
      </w:pPr>
    </w:lvl>
    <w:lvl w:ilvl="7">
      <w:start w:val="1"/>
      <w:numFmt w:val="upperLetter"/>
      <w:lvlText w:val="(%8)"/>
      <w:lvlJc w:val="start"/>
      <w:pPr>
        <w:tabs>
          <w:tab w:val="num" w:pos="5760"/>
        </w:tabs>
        <w:ind w:start="5760" w:hanging="720"/>
      </w:pPr>
    </w:lvl>
    <w:lvl w:ilvl="8">
      <w:start w:val="1"/>
      <w:numFmt w:val="upperRoman"/>
      <w:lvlText w:val="(%9)"/>
      <w:lvlJc w:val="start"/>
      <w:pPr>
        <w:tabs>
          <w:tab w:val="num" w:pos="0"/>
        </w:tabs>
        <w:ind w:start="6480" w:hanging="720"/>
      </w:pPr>
    </w:lvl>
  </w:abstractNum>
  <w:abstractNum w:abstractNumId="2">
    <w:lvl w:ilvl="0">
      <w:start w:val="3"/>
      <w:numFmt w:val="lowerRoman"/>
      <w:lvlText w:val="(%1)"/>
      <w:lvlJc w:val="start"/>
      <w:pPr>
        <w:tabs>
          <w:tab w:val="num" w:pos="1440"/>
        </w:tabs>
        <w:ind w:start="1440" w:hanging="720"/>
      </w:pPr>
      <w:rPr/>
    </w:lvl>
  </w:abstractNum>
  <w:abstractNum w:abstractNumId="3">
    <w:lvl w:ilvl="0">
      <w:start w:val="1"/>
      <w:numFmt w:val="upperLetter"/>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lowerRoman"/>
      <w:lvlText w:val="(%4)"/>
      <w:lvlJc w:val="start"/>
      <w:pPr>
        <w:tabs>
          <w:tab w:val="num" w:pos="1440"/>
        </w:tabs>
        <w:ind w:start="0" w:firstLine="720"/>
      </w:pPr>
    </w:lvl>
    <w:lvl w:ilvl="4">
      <w:start w:val="1"/>
      <w:numFmt w:val="upperRoman"/>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decimal"/>
      <w:lvlText w:val="(%7)"/>
      <w:lvlJc w:val="start"/>
      <w:pPr>
        <w:tabs>
          <w:tab w:val="num" w:pos="1440"/>
        </w:tabs>
        <w:ind w:start="1440" w:hanging="720"/>
      </w:pPr>
    </w:lvl>
    <w:lvl w:ilvl="7">
      <w:start w:val="1"/>
      <w:numFmt w:val="upperLetter"/>
      <w:lvlText w:val="(%8)"/>
      <w:lvlJc w:val="start"/>
      <w:pPr>
        <w:tabs>
          <w:tab w:val="num" w:pos="0"/>
        </w:tabs>
        <w:ind w:start="5760" w:hanging="720"/>
      </w:pPr>
    </w:lvl>
    <w:lvl w:ilvl="8">
      <w:start w:val="1"/>
      <w:numFmt w:val="upperRoman"/>
      <w:lvlText w:val="(%9)"/>
      <w:lvlJc w:val="start"/>
      <w:pPr>
        <w:tabs>
          <w:tab w:val="num" w:pos="0"/>
        </w:tabs>
        <w:ind w:start="6480" w:hanging="720"/>
      </w:pPr>
    </w:lvl>
  </w:abstractNum>
  <w:abstractNum w:abstractNumId="4">
    <w:lvl w:ilvl="0">
      <w:start w:val="1"/>
      <w:numFmt w:val="decimal"/>
      <w:lvlText w:val="%1."/>
      <w:lvlJc w:val="start"/>
      <w:pPr>
        <w:tabs>
          <w:tab w:val="num" w:pos="0"/>
        </w:tabs>
        <w:ind w:start="720" w:hanging="720"/>
      </w:pPr>
    </w:lvl>
    <w:lvl w:ilvl="1">
      <w:start w:val="1"/>
      <w:numFmt w:val="lowerLetter"/>
      <w:lvlText w:val="(%2)"/>
      <w:lvlJc w:val="start"/>
      <w:pPr>
        <w:tabs>
          <w:tab w:val="num" w:pos="0"/>
        </w:tabs>
        <w:ind w:start="1440" w:hanging="720"/>
      </w:pPr>
    </w:lvl>
    <w:lvl w:ilvl="2">
      <w:start w:val="1"/>
      <w:numFmt w:val="lowerRoman"/>
      <w:lvlText w:val="(%3)"/>
      <w:lvlJc w:val="start"/>
      <w:pPr>
        <w:tabs>
          <w:tab w:val="num" w:pos="0"/>
        </w:tabs>
        <w:ind w:start="2160" w:hanging="720"/>
      </w:pPr>
    </w:lvl>
    <w:lvl w:ilvl="3">
      <w:start w:val="1"/>
      <w:numFmt w:val="upperLetter"/>
      <w:lvlText w:val="(%4)"/>
      <w:lvlJc w:val="start"/>
      <w:pPr>
        <w:tabs>
          <w:tab w:val="num" w:pos="0"/>
        </w:tabs>
        <w:ind w:start="2880" w:hanging="720"/>
      </w:pPr>
    </w:lvl>
    <w:lvl w:ilvl="4">
      <w:start w:val="1"/>
      <w:numFmt w:val="upperRoman"/>
      <w:lvlText w:val="(%5)"/>
      <w:lvlJc w:val="start"/>
      <w:pPr>
        <w:tabs>
          <w:tab w:val="num" w:pos="0"/>
        </w:tabs>
        <w:ind w:start="3600" w:hanging="720"/>
      </w:pPr>
    </w:lvl>
    <w:lvl w:ilvl="5">
      <w:start w:val="1"/>
      <w:numFmt w:val="decimal"/>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upperLetter"/>
      <w:lvlText w:val="(%8)"/>
      <w:lvlJc w:val="start"/>
      <w:pPr>
        <w:tabs>
          <w:tab w:val="num" w:pos="0"/>
        </w:tabs>
        <w:ind w:start="5760" w:hanging="720"/>
      </w:pPr>
    </w:lvl>
    <w:lvl w:ilvl="8">
      <w:start w:val="1"/>
      <w:numFmt w:val="upperRoman"/>
      <w:lvlText w:val="(%9)"/>
      <w:lvlJc w:val="start"/>
      <w:pPr>
        <w:tabs>
          <w:tab w:val="num" w:pos="0"/>
        </w:tabs>
        <w:ind w:start="648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PaperType" w:val="graybon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Book Antiqua" w:hAnsi="Book Antiqua" w:eastAsia="Times New Roman" w:cs="Book Antiqua"/>
      <w:color w:val="auto"/>
      <w:sz w:val="24"/>
      <w:szCs w:val="20"/>
      <w:lang w:val="en-CA" w:eastAsia="zh-CN" w:bidi="hi-IN"/>
    </w:rPr>
  </w:style>
  <w:style w:type="paragraph" w:styleId="Heading1">
    <w:name w:val="heading 1"/>
    <w:basedOn w:val="Normal"/>
    <w:next w:val="Normal"/>
    <w:qFormat/>
    <w:pPr>
      <w:keepNext w:val="true"/>
      <w:numPr>
        <w:ilvl w:val="0"/>
        <w:numId w:val="1"/>
      </w:numPr>
      <w:spacing w:before="240" w:after="60"/>
      <w:jc w:val="start"/>
      <w:outlineLvl w:val="0"/>
    </w:pPr>
    <w:rPr>
      <w:b/>
      <w:i/>
      <w:sz w:val="28"/>
    </w:rPr>
  </w:style>
  <w:style w:type="paragraph" w:styleId="Heading2">
    <w:name w:val="heading 2"/>
    <w:basedOn w:val="Normal"/>
    <w:next w:val="Normal"/>
    <w:qFormat/>
    <w:pPr>
      <w:keepNext w:val="true"/>
      <w:numPr>
        <w:ilvl w:val="1"/>
        <w:numId w:val="1"/>
      </w:numPr>
      <w:spacing w:before="60" w:after="240"/>
      <w:jc w:val="start"/>
      <w:outlineLvl w:val="1"/>
    </w:pPr>
    <w:rPr>
      <w:b/>
      <w:i/>
    </w:rPr>
  </w:style>
  <w:style w:type="paragraph" w:styleId="Heading3">
    <w:name w:val="heading 3"/>
    <w:basedOn w:val="Normal"/>
    <w:next w:val="Normal"/>
    <w:qFormat/>
    <w:pPr>
      <w:keepNext w:val="true"/>
      <w:numPr>
        <w:ilvl w:val="2"/>
        <w:numId w:val="1"/>
      </w:numPr>
      <w:tabs>
        <w:tab w:val="clear" w:pos="720"/>
        <w:tab w:val="left" w:pos="1440" w:leader="none"/>
      </w:tabs>
      <w:spacing w:before="120" w:after="240"/>
      <w:jc w:val="start"/>
      <w:outlineLvl w:val="2"/>
    </w:pPr>
    <w:rPr>
      <w:b/>
      <w:i/>
    </w:rPr>
  </w:style>
  <w:style w:type="paragraph" w:styleId="Heading4">
    <w:name w:val="heading 4"/>
    <w:basedOn w:val="Normal"/>
    <w:next w:val="Normal"/>
    <w:qFormat/>
    <w:pPr>
      <w:keepNext w:val="true"/>
      <w:numPr>
        <w:ilvl w:val="3"/>
        <w:numId w:val="1"/>
      </w:numPr>
      <w:outlineLvl w:val="3"/>
    </w:pPr>
    <w:rPr>
      <w:b/>
      <w:i/>
    </w:rPr>
  </w:style>
  <w:style w:type="paragraph" w:styleId="Heading5">
    <w:name w:val="heading 5"/>
    <w:basedOn w:val="Normal"/>
    <w:next w:val="BodyText"/>
    <w:qFormat/>
    <w:pPr>
      <w:keepNext w:val="true"/>
      <w:keepLines/>
      <w:numPr>
        <w:ilvl w:val="4"/>
        <w:numId w:val="1"/>
      </w:numPr>
      <w:tabs>
        <w:tab w:val="clear" w:pos="720"/>
        <w:tab w:val="left" w:pos="1440" w:leader="none"/>
      </w:tabs>
      <w:outlineLvl w:val="4"/>
    </w:pPr>
    <w:rPr>
      <w:b/>
      <w:i/>
    </w:rPr>
  </w:style>
  <w:style w:type="paragraph" w:styleId="Heading6">
    <w:name w:val="heading 6"/>
    <w:basedOn w:val="Normal"/>
    <w:next w:val="BodyText"/>
    <w:qFormat/>
    <w:pPr>
      <w:numPr>
        <w:ilvl w:val="5"/>
        <w:numId w:val="1"/>
      </w:numPr>
      <w:outlineLvl w:val="5"/>
    </w:pPr>
    <w:rPr/>
  </w:style>
  <w:style w:type="paragraph" w:styleId="Heading7">
    <w:name w:val="heading 7"/>
    <w:basedOn w:val="Normal"/>
    <w:next w:val="Normal"/>
    <w:qFormat/>
    <w:pPr>
      <w:numPr>
        <w:ilvl w:val="0"/>
        <w:numId w:val="3"/>
      </w:numPr>
      <w:tabs>
        <w:tab w:val="clear" w:pos="720"/>
        <w:tab w:val="left" w:pos="2160" w:leader="none"/>
      </w:tabs>
      <w:spacing w:before="120" w:after="240"/>
      <w:ind w:hanging="0" w:start="2160" w:end="0"/>
      <w:outlineLvl w:val="6"/>
    </w:pPr>
    <w:rPr>
      <w:b/>
      <w:i/>
    </w:rPr>
  </w:style>
  <w:style w:type="paragraph" w:styleId="Heading8">
    <w:name w:val="heading 8"/>
    <w:basedOn w:val="Normal"/>
    <w:next w:val="Normal"/>
    <w:qFormat/>
    <w:pPr>
      <w:keepNext w:val="true"/>
      <w:jc w:val="center"/>
      <w:outlineLvl w:val="7"/>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Book Antiqua" w:hAnsi="Book Antiqua" w:cs="Book Antiqua"/>
      <w:b w:val="false"/>
      <w:i w:val="false"/>
      <w:sz w:val="24"/>
    </w:rPr>
  </w:style>
  <w:style w:type="character" w:styleId="WW8Num14z0">
    <w:name w:val="WW8Num14z0"/>
    <w:qFormat/>
    <w:rPr/>
  </w:style>
  <w:style w:type="character" w:styleId="WW8Num17z0">
    <w:name w:val="WW8Num17z0"/>
    <w:qFormat/>
    <w:rPr>
      <w:rFonts w:ascii="Book Antiqua" w:hAnsi="Book Antiqua" w:cs="Book Antiqua"/>
      <w:b w:val="false"/>
      <w:i w:val="false"/>
      <w:sz w:val="24"/>
    </w:rPr>
  </w:style>
  <w:style w:type="character" w:styleId="WW8Num19z0">
    <w:name w:val="WW8Num19z0"/>
    <w:qFormat/>
    <w:rPr/>
  </w:style>
  <w:style w:type="character" w:styleId="WW8Num20z0">
    <w:name w:val="WW8Num20z0"/>
    <w:qFormat/>
    <w:rPr>
      <w:rFonts w:ascii="Wingdings" w:hAnsi="Wingdings" w:cs="Wingdings"/>
      <w:color w:val="0000FF"/>
    </w:rPr>
  </w:style>
  <w:style w:type="character" w:styleId="WW8Num21z0">
    <w:name w:val="WW8Num21z0"/>
    <w:qFormat/>
    <w:rPr>
      <w:rFonts w:ascii="Symbol" w:hAnsi="Symbol" w:cs="Symbol"/>
    </w:rPr>
  </w:style>
  <w:style w:type="character" w:styleId="WW8Num24z0">
    <w:name w:val="WW8Num24z0"/>
    <w:qFormat/>
    <w:rPr/>
  </w:style>
  <w:style w:type="character" w:styleId="WW8Num25z0">
    <w:name w:val="WW8Num25z0"/>
    <w:qFormat/>
    <w:rPr>
      <w:rFonts w:ascii="Book Antiqua" w:hAnsi="Book Antiqua" w:cs="Book Antiqua"/>
      <w:b/>
      <w:i w:val="false"/>
      <w:sz w:val="24"/>
    </w:rPr>
  </w:style>
  <w:style w:type="character" w:styleId="WW8Num27z0">
    <w:name w:val="WW8Num27z0"/>
    <w:qFormat/>
    <w:rPr>
      <w:b/>
      <w:i w:val="false"/>
      <w:u w:val="none"/>
    </w:rPr>
  </w:style>
  <w:style w:type="character" w:styleId="DefaultParagraphFont">
    <w:name w:val="Default Paragraph Font"/>
    <w:qFormat/>
    <w:rPr/>
  </w:style>
  <w:style w:type="character" w:styleId="Prompt">
    <w:name w:val="Prompt"/>
    <w:qFormat/>
    <w:rPr>
      <w:color w:val="0000FF"/>
      <w:lang w:val="en-CA"/>
    </w:rPr>
  </w:style>
  <w:style w:type="character" w:styleId="PageNumber">
    <w:name w:val="page number"/>
    <w:basedOn w:val="DefaultParagraphFont"/>
    <w:rPr>
      <w:rFonts w:ascii="Book Antiqua" w:hAnsi="Book Antiqua" w:cs="Book Antiqua"/>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60"/>
      <w:jc w:val="start"/>
      <w:outlineLvl w:val="0"/>
    </w:pPr>
    <w:rPr>
      <w:b/>
      <w:kern w:val="2"/>
    </w:rPr>
  </w:style>
  <w:style w:type="paragraph" w:styleId="BodyText">
    <w:name w:val="Body Text"/>
    <w:basedOn w:val="Normal"/>
    <w:pPr>
      <w:widowControl/>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start"/>
    </w:pPr>
    <w:rPr/>
  </w:style>
  <w:style w:type="paragraph" w:styleId="FootnoteText">
    <w:name w:val="footnote text"/>
    <w:basedOn w:val="Normal"/>
    <w:pPr>
      <w:widowControl w:val="false"/>
      <w:spacing w:before="0" w:after="0"/>
    </w:pPr>
    <w:rPr>
      <w:sz w:val="18"/>
    </w:rPr>
  </w:style>
  <w:style w:type="paragraph" w:styleId="Comment">
    <w:name w:val="Comment"/>
    <w:basedOn w:val="Normal"/>
    <w:next w:val="Normal"/>
    <w:qFormat/>
    <w:pPr>
      <w:jc w:val="start"/>
    </w:pPr>
    <w:rPr>
      <w:rFonts w:ascii="Arial" w:hAnsi="Arial" w:cs="Arial"/>
      <w:vanish/>
      <w:color w:val="FF00FF"/>
    </w:rPr>
  </w:style>
  <w:style w:type="paragraph" w:styleId="Plain">
    <w:name w:val="Plain"/>
    <w:basedOn w:val="Normal"/>
    <w:qFormat/>
    <w:pPr>
      <w:spacing w:before="0" w:after="0"/>
      <w:jc w:val="start"/>
    </w:pPr>
    <w:rPr/>
  </w:style>
  <w:style w:type="paragraph" w:styleId="ReLine">
    <w:name w:val="Re: Line"/>
    <w:basedOn w:val="Normal"/>
    <w:next w:val="Normal"/>
    <w:qFormat/>
    <w:pPr>
      <w:ind w:hanging="720" w:start="2880" w:end="1440"/>
      <w:jc w:val="start"/>
    </w:pPr>
    <w:rPr>
      <w:b/>
    </w:rPr>
  </w:style>
  <w:style w:type="paragraph" w:styleId="Footer">
    <w:name w:val="footer"/>
    <w:basedOn w:val="Normal"/>
    <w:pPr>
      <w:tabs>
        <w:tab w:val="clear" w:pos="720"/>
        <w:tab w:val="center" w:pos="4320" w:leader="none"/>
        <w:tab w:val="right" w:pos="8640" w:leader="none"/>
      </w:tabs>
      <w:jc w:val="start"/>
    </w:pPr>
    <w:rPr>
      <w:sz w:val="18"/>
    </w:rPr>
  </w:style>
  <w:style w:type="paragraph" w:styleId="Outline1">
    <w:name w:val="Outline1"/>
    <w:basedOn w:val="Normal"/>
    <w:qFormat/>
    <w:pPr>
      <w:numPr>
        <w:ilvl w:val="0"/>
        <w:numId w:val="4"/>
      </w:numPr>
      <w:outlineLvl w:val="0"/>
    </w:pPr>
    <w:rPr/>
  </w:style>
  <w:style w:type="paragraph" w:styleId="LawyersComments">
    <w:name w:val="Lawyers Comments"/>
    <w:basedOn w:val="Normal"/>
    <w:qFormat/>
    <w:pPr>
      <w:spacing w:before="0" w:after="120"/>
      <w:ind w:hanging="0" w:start="720" w:end="720"/>
    </w:pPr>
    <w:rPr>
      <w:i/>
      <w:vanish/>
      <w:color w:val="800000"/>
      <w:sz w:val="20"/>
    </w:rPr>
  </w:style>
  <w:style w:type="paragraph" w:styleId="Definitions">
    <w:name w:val="Definitions"/>
    <w:basedOn w:val="Normal"/>
    <w:qFormat/>
    <w:pPr>
      <w:ind w:hanging="0" w:start="720" w:end="0"/>
      <w:jc w:val="both"/>
    </w:pPr>
    <w:rPr/>
  </w:style>
  <w:style w:type="paragraph" w:styleId="Outline2">
    <w:name w:val="Outline2"/>
    <w:basedOn w:val="Normal"/>
    <w:qFormat/>
    <w:pPr>
      <w:ind w:hanging="720" w:start="1440" w:end="0"/>
    </w:pPr>
    <w:rPr/>
  </w:style>
  <w:style w:type="paragraph" w:styleId="Outline3">
    <w:name w:val="Outline3"/>
    <w:basedOn w:val="Normal"/>
    <w:qFormat/>
    <w:pPr>
      <w:outlineLvl w:val="2"/>
    </w:pPr>
    <w:rPr>
      <w:b/>
      <w:i/>
    </w:rPr>
  </w:style>
  <w:style w:type="paragraph" w:styleId="Outline4">
    <w:name w:val="Outline4"/>
    <w:basedOn w:val="Normal"/>
    <w:qFormat/>
    <w:pPr>
      <w:outlineLvl w:val="3"/>
    </w:pPr>
    <w:rPr/>
  </w:style>
  <w:style w:type="paragraph" w:styleId="Outline5">
    <w:name w:val="Outline5"/>
    <w:basedOn w:val="Normal"/>
    <w:qFormat/>
    <w:pPr>
      <w:numPr>
        <w:ilvl w:val="0"/>
        <w:numId w:val="3"/>
      </w:numPr>
      <w:outlineLvl w:val="4"/>
    </w:pPr>
    <w:rPr/>
  </w:style>
  <w:style w:type="paragraph" w:styleId="Outline6">
    <w:name w:val="Outline6"/>
    <w:basedOn w:val="Normal"/>
    <w:qFormat/>
    <w:pPr>
      <w:outlineLvl w:val="5"/>
    </w:pPr>
    <w:rPr/>
  </w:style>
  <w:style w:type="paragraph" w:styleId="Lnum1">
    <w:name w:val="Lnum1"/>
    <w:basedOn w:val="Normal"/>
    <w:qFormat/>
    <w:pPr>
      <w:jc w:val="start"/>
    </w:pPr>
    <w:rPr/>
  </w:style>
  <w:style w:type="paragraph" w:styleId="Lnum2">
    <w:name w:val="Lnum2"/>
    <w:basedOn w:val="Normal"/>
    <w:qFormat/>
    <w:pPr>
      <w:numPr>
        <w:ilvl w:val="0"/>
        <w:numId w:val="3"/>
      </w:numPr>
      <w:jc w:val="start"/>
    </w:pPr>
    <w:rPr/>
  </w:style>
  <w:style w:type="paragraph" w:styleId="Lnum3">
    <w:name w:val="Lnum3"/>
    <w:basedOn w:val="Normal"/>
    <w:qFormat/>
    <w:pPr>
      <w:numPr>
        <w:ilvl w:val="0"/>
        <w:numId w:val="3"/>
      </w:numPr>
      <w:jc w:val="start"/>
    </w:pPr>
    <w:rPr/>
  </w:style>
  <w:style w:type="paragraph" w:styleId="Subtitle">
    <w:name w:val="Subtitle"/>
    <w:basedOn w:val="Normal"/>
    <w:next w:val="BodyText"/>
    <w:qFormat/>
    <w:pPr>
      <w:keepNext w:val="true"/>
      <w:spacing w:before="0" w:after="60"/>
      <w:jc w:val="start"/>
      <w:outlineLvl w:val="1"/>
    </w:pPr>
    <w:rPr>
      <w:b/>
    </w:rPr>
  </w:style>
  <w:style w:type="paragraph" w:styleId="Closing">
    <w:name w:val="Closing"/>
    <w:basedOn w:val="Normal"/>
    <w:next w:val="Normal"/>
    <w:qFormat/>
    <w:pPr>
      <w:keepNext w:val="true"/>
      <w:keepLines/>
      <w:spacing w:before="240" w:after="0"/>
      <w:ind w:hanging="0" w:start="5040" w:end="0"/>
      <w:jc w:val="start"/>
    </w:pPr>
    <w:rPr/>
  </w:style>
  <w:style w:type="paragraph" w:styleId="Initials">
    <w:name w:val="Initials"/>
    <w:basedOn w:val="Normal"/>
    <w:next w:val="Normal"/>
    <w:qFormat/>
    <w:pPr>
      <w:keepNext w:val="true"/>
      <w:jc w:val="start"/>
    </w:pPr>
    <w:rPr>
      <w:lang w:val="en-CA"/>
    </w:rPr>
  </w:style>
  <w:style w:type="paragraph" w:styleId="Quotation">
    <w:name w:val="Quotation"/>
    <w:basedOn w:val="Normal"/>
    <w:qFormat/>
    <w:pPr>
      <w:ind w:hanging="0" w:start="1440" w:end="1440"/>
    </w:pPr>
    <w:rPr/>
  </w:style>
  <w:style w:type="paragraph" w:styleId="BodyTextIndent">
    <w:name w:val="Body Text Indent"/>
    <w:basedOn w:val="Normal"/>
    <w:pPr>
      <w:ind w:firstLine="720" w:start="0" w:end="0"/>
    </w:pPr>
    <w:rPr/>
  </w:style>
  <w:style w:type="paragraph" w:styleId="BodyTextIndent2">
    <w:name w:val="Body Text Indent 2"/>
    <w:basedOn w:val="Normal"/>
    <w:qFormat/>
    <w:pPr>
      <w:ind w:hanging="720" w:start="2160" w:end="0"/>
    </w:pPr>
    <w:rPr/>
  </w:style>
  <w:style w:type="paragraph" w:styleId="TOC1">
    <w:name w:val="toc 1"/>
    <w:basedOn w:val="Normal"/>
    <w:next w:val="Normal"/>
    <w:pPr>
      <w:tabs>
        <w:tab w:val="clear" w:pos="720"/>
        <w:tab w:val="left" w:pos="540" w:leader="none"/>
        <w:tab w:val="left" w:pos="1260" w:leader="none"/>
        <w:tab w:val="right" w:pos="8630" w:leader="dot"/>
      </w:tabs>
      <w:spacing w:before="60" w:after="0"/>
      <w:jc w:val="start"/>
    </w:pPr>
    <w:rPr>
      <w:lang w:val="en-CA"/>
    </w:rPr>
  </w:style>
  <w:style w:type="paragraph" w:styleId="TOC2">
    <w:name w:val="toc 2"/>
    <w:basedOn w:val="Normal"/>
    <w:next w:val="Normal"/>
    <w:pPr>
      <w:tabs>
        <w:tab w:val="clear" w:pos="720"/>
        <w:tab w:val="left" w:pos="540" w:leader="none"/>
        <w:tab w:val="right" w:pos="8630" w:leader="dot"/>
      </w:tabs>
      <w:spacing w:before="60" w:after="0"/>
      <w:jc w:val="start"/>
    </w:pPr>
    <w:rPr>
      <w:lang w:val="en-CA"/>
    </w:rPr>
  </w:style>
  <w:style w:type="paragraph" w:styleId="TOC3">
    <w:name w:val="toc 3"/>
    <w:basedOn w:val="Normal"/>
    <w:next w:val="Normal"/>
    <w:pPr>
      <w:tabs>
        <w:tab w:val="clear" w:pos="720"/>
        <w:tab w:val="left" w:pos="1080" w:leader="none"/>
        <w:tab w:val="right" w:pos="8630" w:leader="dot"/>
      </w:tabs>
      <w:spacing w:before="60" w:after="0"/>
      <w:ind w:hanging="0" w:start="540" w:end="0"/>
      <w:jc w:val="start"/>
    </w:pPr>
    <w:rPr>
      <w:lang w:val="en-CA"/>
    </w:rPr>
  </w:style>
  <w:style w:type="paragraph" w:styleId="TOC4">
    <w:name w:val="toc 4"/>
    <w:basedOn w:val="Normal"/>
    <w:next w:val="Normal"/>
    <w:pPr>
      <w:tabs>
        <w:tab w:val="clear" w:pos="720"/>
        <w:tab w:val="left" w:pos="1260" w:leader="none"/>
        <w:tab w:val="right" w:pos="8630" w:leader="dot"/>
      </w:tabs>
      <w:spacing w:before="0" w:after="0"/>
      <w:ind w:hanging="0" w:start="720" w:end="0"/>
      <w:jc w:val="start"/>
    </w:pPr>
    <w:rPr>
      <w:lang w:val="en-CA"/>
    </w:rPr>
  </w:style>
  <w:style w:type="paragraph" w:styleId="TOC5">
    <w:name w:val="toc 5"/>
    <w:basedOn w:val="Normal"/>
    <w:next w:val="Normal"/>
    <w:pPr>
      <w:tabs>
        <w:tab w:val="clear" w:pos="720"/>
        <w:tab w:val="left" w:pos="900" w:leader="none"/>
        <w:tab w:val="left" w:pos="1440" w:leader="none"/>
        <w:tab w:val="right" w:pos="8630" w:leader="dot"/>
      </w:tabs>
      <w:spacing w:before="60" w:after="0"/>
      <w:ind w:hanging="360" w:start="1440" w:end="0"/>
      <w:jc w:val="start"/>
    </w:pPr>
    <w:rPr>
      <w:lang w:val="en-CA"/>
    </w:rPr>
  </w:style>
  <w:style w:type="paragraph" w:styleId="TOC6">
    <w:name w:val="toc 6"/>
    <w:basedOn w:val="Normal"/>
    <w:next w:val="Normal"/>
    <w:pPr>
      <w:spacing w:before="0" w:after="0"/>
      <w:ind w:hanging="0" w:start="1200" w:end="0"/>
      <w:jc w:val="start"/>
    </w:pPr>
    <w:rPr>
      <w:rFonts w:ascii="Times New Roman" w:hAnsi="Times New Roman" w:cs="Times New Roman"/>
      <w:sz w:val="18"/>
    </w:rPr>
  </w:style>
  <w:style w:type="paragraph" w:styleId="TOC7">
    <w:name w:val="toc 7"/>
    <w:basedOn w:val="Normal"/>
    <w:next w:val="Normal"/>
    <w:pPr>
      <w:tabs>
        <w:tab w:val="clear" w:pos="720"/>
        <w:tab w:val="left" w:pos="1980" w:leader="none"/>
        <w:tab w:val="right" w:pos="8630" w:leader="dot"/>
      </w:tabs>
      <w:spacing w:before="0" w:after="0"/>
      <w:ind w:hanging="0" w:start="1440" w:end="0"/>
      <w:jc w:val="start"/>
    </w:pPr>
    <w:rPr>
      <w:lang w:val="en-CA"/>
    </w:rPr>
  </w:style>
  <w:style w:type="paragraph" w:styleId="TOC8">
    <w:name w:val="toc 8"/>
    <w:basedOn w:val="Normal"/>
    <w:next w:val="Normal"/>
    <w:pPr>
      <w:spacing w:before="0" w:after="0"/>
      <w:ind w:hanging="0" w:start="1680" w:end="0"/>
      <w:jc w:val="start"/>
    </w:pPr>
    <w:rPr>
      <w:rFonts w:ascii="Times New Roman" w:hAnsi="Times New Roman" w:cs="Times New Roman"/>
      <w:sz w:val="18"/>
    </w:rPr>
  </w:style>
  <w:style w:type="paragraph" w:styleId="TOC9">
    <w:name w:val="toc 9"/>
    <w:basedOn w:val="Normal"/>
    <w:next w:val="Normal"/>
    <w:pPr>
      <w:spacing w:before="0" w:after="0"/>
      <w:ind w:hanging="0" w:start="1920" w:end="0"/>
      <w:jc w:val="start"/>
    </w:pPr>
    <w:rPr>
      <w:rFonts w:ascii="Times New Roman" w:hAnsi="Times New Roman" w:cs="Times New Roman"/>
      <w:sz w:val="18"/>
    </w:rPr>
  </w:style>
  <w:style w:type="paragraph" w:styleId="BodyTextIndent3">
    <w:name w:val="Body Text Indent 3"/>
    <w:basedOn w:val="Normal"/>
    <w:qFormat/>
    <w:pPr>
      <w:spacing w:before="0" w:after="120"/>
      <w:ind w:hanging="1440" w:start="1440" w:end="0"/>
    </w:pPr>
    <w:rPr>
      <w:b/>
      <w:vanish/>
    </w:rPr>
  </w:style>
  <w:style w:type="paragraph" w:styleId="Bullet">
    <w:name w:val="Bullet"/>
    <w:basedOn w:val="BodyText"/>
    <w:qFormat/>
    <w:pPr>
      <w:tabs>
        <w:tab w:val="clear" w:pos="720"/>
        <w:tab w:val="left" w:pos="1440" w:leader="none"/>
      </w:tabs>
      <w:ind w:hanging="720" w:start="1440" w:end="0"/>
    </w:pPr>
    <w:rPr/>
  </w:style>
  <w:style w:type="paragraph" w:styleId="Index6">
    <w:name w:val="Index 6"/>
    <w:basedOn w:val="Normal"/>
    <w:next w:val="Normal"/>
    <w:qFormat/>
    <w:pPr>
      <w:numPr>
        <w:ilvl w:val="0"/>
        <w:numId w:val="3"/>
      </w:numPr>
    </w:pPr>
    <w:rPr/>
  </w:style>
  <w:style w:type="paragraph" w:styleId="Index7">
    <w:name w:val="Index 7"/>
    <w:basedOn w:val="Normal"/>
    <w:next w:val="Normal"/>
    <w:qFormat/>
    <w:pPr>
      <w:ind w:hanging="240" w:start="16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1999-09-20T15:01:00Z</dcterms:created>
  <dc:creator>Stikeman, Elliott</dc:creator>
  <dc:description/>
  <dc:language>en-CA</dc:language>
  <cp:lastModifiedBy>Stikeman Elliott</cp:lastModifiedBy>
  <cp:lastPrinted>2000-03-07T13:55:00Z</cp:lastPrinted>
  <dcterms:modified xsi:type="dcterms:W3CDTF">2000-03-07T18:26:00Z</dcterms:modified>
  <cp:revision>8</cp:revision>
  <dc:subject/>
  <dc:title>Client &amp; Internal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DocID">
    <vt:lpwstr>GFE\129359\5</vt:lpwstr>
  </property>
</Properties>
</file>