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December ____, 2000</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Tejas Energy N S Holding, LLC</w:t>
      </w:r>
    </w:p>
    <w:p>
      <w:pPr>
        <w:pStyle w:val="Normal"/>
        <w:jc w:val="both"/>
        <w:rPr>
          <w:sz w:val="22"/>
        </w:rPr>
      </w:pPr>
      <w:bookmarkStart w:id="2" w:name="_DV_M2"/>
      <w:bookmarkEnd w:id="2"/>
      <w:r>
        <w:rPr>
          <w:sz w:val="22"/>
        </w:rPr>
        <w:t>c/o Coral Power, L.L.C.</w:t>
      </w:r>
    </w:p>
    <w:p>
      <w:pPr>
        <w:pStyle w:val="Normal"/>
        <w:jc w:val="both"/>
        <w:rPr>
          <w:sz w:val="22"/>
        </w:rPr>
      </w:pPr>
      <w:bookmarkStart w:id="3" w:name="_DV_M3"/>
      <w:bookmarkEnd w:id="3"/>
      <w:r>
        <w:rPr>
          <w:sz w:val="22"/>
        </w:rPr>
        <w:t>909 Fannin, Suite 700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II, LLC</w:t>
      </w:r>
    </w:p>
    <w:p>
      <w:pPr>
        <w:pStyle w:val="Normal"/>
        <w:ind w:firstLine="720" w:end="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ind w:firstLine="720" w:end="0"/>
        <w:jc w:val="both"/>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C2"/>
      <w:r>
        <w:rPr>
          <w:rStyle w:val="DeltaViewInsertion"/>
          <w:color w:val="000000"/>
          <w:sz w:val="22"/>
          <w:u w:val="none"/>
        </w:rPr>
        <w:t>all material respects in</w:t>
      </w:r>
      <w:bookmarkStart w:id="13" w:name="_DV_M12"/>
      <w:bookmarkEnd w:id="12"/>
      <w:bookmarkEnd w:id="13"/>
      <w:r>
        <w:rPr>
          <w:color w:val="000000"/>
          <w:sz w:val="22"/>
        </w:rPr>
        <w:t xml:space="preserve"> the same form as the agreement attached hereto as </w:t>
      </w:r>
      <w:r>
        <w:rPr>
          <w:color w:val="000000"/>
          <w:sz w:val="22"/>
          <w:u w:val="single"/>
        </w:rPr>
        <w:t>Exhibit A</w:t>
      </w:r>
      <w:bookmarkStart w:id="14" w:name="_DV_C3"/>
      <w:r>
        <w:rPr>
          <w:rStyle w:val="DeltaViewInsertion"/>
          <w:color w:val="000000"/>
          <w:sz w:val="22"/>
          <w:u w:val="none"/>
        </w:rPr>
        <w:t>, as determined by TEH in its reasonable discretion</w:t>
      </w:r>
      <w:bookmarkStart w:id="15" w:name="_DV_M13"/>
      <w:bookmarkEnd w:id="14"/>
      <w:bookmarkEnd w:id="15"/>
      <w:r>
        <w:rPr>
          <w:color w:val="000000"/>
          <w:sz w:val="22"/>
        </w:rPr>
        <w:t xml:space="preserve">.  TEH agrees to advise ENA in writing, on or before the end of the next business day following the date of ENA’s submission of the final draft of the Facility Agreement, whether the proposed Facility Agreement is, in the reasonable discretion of TEH, in all material respects in the same form as that attached hereto as </w:t>
      </w:r>
      <w:r>
        <w:rPr>
          <w:color w:val="000000"/>
          <w:sz w:val="22"/>
          <w:u w:val="single"/>
        </w:rPr>
        <w:t>Exhibit A</w:t>
      </w:r>
      <w:r>
        <w:rPr>
          <w:color w:val="000000"/>
          <w:sz w:val="22"/>
        </w:rPr>
        <w:t xml:space="preserve">.  </w:t>
      </w:r>
    </w:p>
    <w:p>
      <w:pPr>
        <w:pStyle w:val="Normal"/>
        <w:ind w:firstLine="720" w:end="0"/>
        <w:jc w:val="both"/>
        <w:rPr>
          <w:color w:val="000000"/>
          <w:sz w:val="22"/>
        </w:rPr>
      </w:pPr>
      <w:r>
        <w:rPr>
          <w:color w:val="000000"/>
          <w:sz w:val="22"/>
        </w:rPr>
      </w:r>
    </w:p>
    <w:p>
      <w:pPr>
        <w:pStyle w:val="Normal"/>
        <w:ind w:firstLine="720" w:end="0"/>
        <w:jc w:val="both"/>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ind w:firstLine="720" w:end="0"/>
        <w:jc w:val="both"/>
        <w:rPr>
          <w:color w:val="000000"/>
          <w:sz w:val="22"/>
        </w:rPr>
      </w:pPr>
      <w:r>
        <w:rPr>
          <w:color w:val="000000"/>
          <w:sz w:val="22"/>
        </w:rPr>
      </w:r>
    </w:p>
    <w:p>
      <w:pPr>
        <w:pStyle w:val="Norma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color w:val="000000"/>
          <w:sz w:val="22"/>
        </w:rPr>
      </w:pPr>
      <w:r>
        <w:rPr>
          <w:color w:val="000000"/>
          <w:sz w:val="22"/>
        </w:rPr>
      </w:r>
    </w:p>
    <w:p>
      <w:pPr>
        <w:pStyle w:val="Norma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b/>
          <w:color w:val="000000"/>
          <w:sz w:val="22"/>
        </w:rPr>
      </w:pPr>
      <w:bookmarkStart w:id="21" w:name="_DV_M19"/>
      <w:bookmarkEnd w:id="21"/>
      <w:r>
        <w:rPr>
          <w:b/>
          <w:color w:val="000000"/>
          <w:sz w:val="22"/>
        </w:rPr>
        <w:tab/>
      </w:r>
      <w:bookmarkStart w:id="22" w:name="_DV_M20"/>
      <w:bookmarkEnd w:id="22"/>
      <w:r>
        <w:rPr>
          <w:b/>
          <w:color w:val="000000"/>
          <w:sz w:val="22"/>
        </w:rPr>
        <w:t>(g)</w:t>
        <w:tab/>
      </w:r>
      <w:r>
        <w:rPr>
          <w:color w:val="000000"/>
          <w:sz w:val="22"/>
        </w:rPr>
        <w:t xml:space="preserve">TEH shall deliver to ENA a Guaranty Agreement executed by </w:t>
      </w:r>
      <w:bookmarkStart w:id="23" w:name="_DV_C6"/>
      <w:r>
        <w:rPr>
          <w:rStyle w:val="DeltaViewInsertion"/>
          <w:color w:val="000000"/>
          <w:sz w:val="22"/>
          <w:u w:val="none"/>
        </w:rPr>
        <w:t>Coral Energy, LLC</w:t>
      </w:r>
      <w:bookmarkStart w:id="24" w:name="_DV_M21"/>
      <w:bookmarkEnd w:id="23"/>
      <w:bookmarkEnd w:id="24"/>
      <w:r>
        <w:rPr>
          <w:color w:val="000000"/>
          <w:sz w:val="22"/>
        </w:rPr>
        <w:t xml:space="preserve"> substantially in the form attached here as </w:t>
      </w:r>
      <w:r>
        <w:rPr>
          <w:color w:val="000000"/>
          <w:sz w:val="22"/>
          <w:u w:val="single"/>
        </w:rPr>
        <w:t>Exhibit C</w:t>
      </w:r>
      <w:r>
        <w:rPr>
          <w:color w:val="000000"/>
          <w:sz w:val="22"/>
        </w:rPr>
        <w:t>, pursuant to which the guarantor guarantees payment and performance of the obligations of TEH pursuant to this Agreement.</w:t>
      </w:r>
      <w:bookmarkStart w:id="25" w:name="_DV_M22"/>
      <w:bookmarkEnd w:id="25"/>
      <w:r>
        <w:rPr>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ind w:firstLine="720" w:end="0"/>
        <w:jc w:val="both"/>
        <w:rPr>
          <w:color w:val="000000"/>
          <w:sz w:val="22"/>
        </w:rPr>
      </w:pPr>
      <w:r>
        <w:rPr>
          <w:color w:val="000000"/>
          <w:sz w:val="22"/>
        </w:rPr>
      </w:r>
    </w:p>
    <w:p>
      <w:pPr>
        <w:pStyle w:val="Normal"/>
        <w:ind w:firstLine="720" w:end="0"/>
        <w:jc w:val="both"/>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C8"/>
      <w:r>
        <w:rPr>
          <w:rStyle w:val="DeltaViewInsertion"/>
          <w:color w:val="000000"/>
          <w:sz w:val="22"/>
          <w:u w:val="none"/>
        </w:rPr>
        <w:t xml:space="preserve">to promptly pay, </w:t>
      </w:r>
      <w:bookmarkStart w:id="29" w:name="_DV_M25"/>
      <w:bookmarkEnd w:id="28"/>
      <w:bookmarkEnd w:id="29"/>
      <w:r>
        <w:rPr>
          <w:color w:val="000000"/>
          <w:sz w:val="22"/>
        </w:rPr>
        <w:t xml:space="preserve">and to hold TEH and the LLC harmless from and against, </w:t>
      </w:r>
      <w:bookmarkStart w:id="30" w:name="_DV_C10"/>
      <w:r>
        <w:rPr>
          <w:rStyle w:val="DeltaViewInsertion"/>
          <w:color w:val="000000"/>
          <w:sz w:val="22"/>
          <w:u w:val="none"/>
        </w:rPr>
        <w:t>any and all amounts which are or become</w:t>
      </w:r>
      <w:bookmarkStart w:id="31" w:name="_DV_M26"/>
      <w:bookmarkEnd w:id="30"/>
      <w:bookmarkEnd w:id="31"/>
      <w:r>
        <w:rPr>
          <w:color w:val="000000"/>
          <w:sz w:val="22"/>
        </w:rPr>
        <w:t xml:space="preserve"> due </w:t>
      </w:r>
      <w:bookmarkStart w:id="32" w:name="_DV_C11"/>
      <w:r>
        <w:rPr>
          <w:rStyle w:val="DeltaViewInsertion"/>
          <w:color w:val="000000"/>
          <w:sz w:val="22"/>
          <w:u w:val="none"/>
        </w:rPr>
        <w:t xml:space="preserve">and payable </w:t>
      </w:r>
      <w:bookmarkStart w:id="33" w:name="_DV_M27"/>
      <w:bookmarkEnd w:id="32"/>
      <w:bookmarkEnd w:id="33"/>
      <w:r>
        <w:rPr>
          <w:color w:val="000000"/>
          <w:sz w:val="22"/>
        </w:rPr>
        <w:t xml:space="preserve">to GE </w:t>
      </w:r>
      <w:bookmarkStart w:id="34" w:name="_DV_C12"/>
      <w:r>
        <w:rPr>
          <w:rStyle w:val="DeltaViewInsertion"/>
          <w:color w:val="000000"/>
          <w:sz w:val="22"/>
          <w:u w:val="none"/>
        </w:rPr>
        <w:t xml:space="preserve">or its successors and assigns pursuant to the terms of the Facility Agreement (i) </w:t>
      </w:r>
      <w:bookmarkStart w:id="35" w:name="_DV_M28"/>
      <w:bookmarkEnd w:id="34"/>
      <w:bookmarkEnd w:id="35"/>
      <w:r>
        <w:rPr>
          <w:color w:val="000000"/>
          <w:sz w:val="22"/>
        </w:rPr>
        <w:t xml:space="preserve">on </w:t>
      </w:r>
      <w:bookmarkStart w:id="36"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M29"/>
      <w:bookmarkEnd w:id="36"/>
      <w:bookmarkEnd w:id="37"/>
      <w:r>
        <w:rPr>
          <w:color w:val="000000"/>
          <w:sz w:val="22"/>
        </w:rPr>
        <w:t xml:space="preserve"> in connection with the </w:t>
      </w:r>
      <w:bookmarkStart w:id="38" w:name="_DV_C15"/>
      <w:r>
        <w:rPr>
          <w:rStyle w:val="DeltaViewInsertion"/>
          <w:color w:val="000000"/>
          <w:sz w:val="22"/>
          <w:u w:val="none"/>
        </w:rPr>
        <w:t xml:space="preserve">sale, transfer, assignment or ownership of the </w:t>
      </w:r>
      <w:bookmarkStart w:id="39" w:name="_DV_M30"/>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C16"/>
      <w:r>
        <w:rPr>
          <w:rStyle w:val="DeltaViewInsertion"/>
          <w:color w:val="000000"/>
          <w:sz w:val="22"/>
          <w:u w:val="none"/>
        </w:rPr>
        <w:t xml:space="preserve">which become </w:t>
      </w:r>
      <w:bookmarkStart w:id="42" w:name="_DV_M32"/>
      <w:bookmarkEnd w:id="41"/>
      <w:bookmarkEnd w:id="42"/>
      <w:r>
        <w:rPr>
          <w:color w:val="000000"/>
          <w:sz w:val="22"/>
        </w:rPr>
        <w:t xml:space="preserve">due and payable to </w:t>
      </w:r>
      <w:bookmarkStart w:id="43" w:name="_DV_C18"/>
      <w:r>
        <w:rPr>
          <w:rStyle w:val="DeltaViewInsertion"/>
          <w:color w:val="000000"/>
          <w:sz w:val="22"/>
          <w:u w:val="none"/>
        </w:rPr>
        <w:t>GE</w:t>
      </w:r>
      <w:bookmarkStart w:id="44" w:name="_DV_M33"/>
      <w:bookmarkEnd w:id="43"/>
      <w:bookmarkEnd w:id="44"/>
      <w:r>
        <w:rPr>
          <w:color w:val="000000"/>
          <w:sz w:val="22"/>
        </w:rPr>
        <w:t xml:space="preserve"> or </w:t>
      </w:r>
      <w:bookmarkStart w:id="45" w:name="_DV_C20"/>
      <w:r>
        <w:rPr>
          <w:rStyle w:val="DeltaViewInsertion"/>
          <w:color w:val="000000"/>
          <w:sz w:val="22"/>
          <w:u w:val="none"/>
        </w:rPr>
        <w:t>its successors and assigns pursuant</w:t>
      </w:r>
      <w:bookmarkStart w:id="46" w:name="_DV_M34"/>
      <w:bookmarkEnd w:id="45"/>
      <w:bookmarkEnd w:id="46"/>
      <w:r>
        <w:rPr>
          <w:color w:val="000000"/>
          <w:sz w:val="22"/>
        </w:rPr>
        <w:t xml:space="preserve"> to</w:t>
      </w:r>
      <w:bookmarkStart w:id="47" w:name="_DV_C22"/>
      <w:r>
        <w:rPr>
          <w:rStyle w:val="DeltaViewInsertion"/>
          <w:color w:val="000000"/>
          <w:sz w:val="22"/>
          <w:u w:val="none"/>
        </w:rPr>
        <w:t xml:space="preserve"> the terms</w:t>
      </w:r>
      <w:bookmarkStart w:id="48" w:name="_DV_M35"/>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C24"/>
      <w:r>
        <w:rPr>
          <w:rStyle w:val="DeltaViewInsertion"/>
          <w:color w:val="000000"/>
          <w:sz w:val="22"/>
          <w:u w:val="none"/>
        </w:rPr>
        <w:t>, other</w:t>
      </w:r>
      <w:bookmarkStart w:id="51" w:name="_DV_M37"/>
      <w:bookmarkEnd w:id="50"/>
      <w:bookmarkEnd w:id="51"/>
      <w:r>
        <w:rPr>
          <w:color w:val="000000"/>
          <w:sz w:val="22"/>
        </w:rPr>
        <w:t xml:space="preserve"> </w:t>
      </w:r>
      <w:bookmarkStart w:id="52" w:name="_DV_C26"/>
      <w:r>
        <w:rPr>
          <w:rStyle w:val="DeltaViewInsertion"/>
          <w:color w:val="000000"/>
          <w:sz w:val="22"/>
          <w:u w:val="none"/>
        </w:rPr>
        <w:t>than</w:t>
      </w:r>
      <w:bookmarkStart w:id="53" w:name="_DV_M38"/>
      <w:bookmarkEnd w:id="52"/>
      <w:bookmarkEnd w:id="53"/>
      <w:r>
        <w:rPr>
          <w:color w:val="000000"/>
          <w:sz w:val="22"/>
        </w:rPr>
        <w:t xml:space="preserve"> any </w:t>
      </w:r>
      <w:bookmarkStart w:id="54" w:name="_DV_C28"/>
      <w:r>
        <w:rPr>
          <w:rStyle w:val="DeltaViewInsertion"/>
          <w:color w:val="000000"/>
          <w:sz w:val="22"/>
          <w:u w:val="none"/>
        </w:rPr>
        <w:t>amounts</w:t>
      </w:r>
      <w:bookmarkStart w:id="55" w:name="_DV_M39"/>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ind w:firstLine="720" w:end="0"/>
        <w:jc w:val="both"/>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color w:val="000000"/>
          <w:sz w:val="22"/>
        </w:rPr>
      </w:pPr>
      <w:r>
        <w:rPr>
          <w:color w:val="000000"/>
          <w:sz w:val="22"/>
        </w:rPr>
      </w:r>
    </w:p>
    <w:p>
      <w:pPr>
        <w:pStyle w:val="Normal"/>
        <w:ind w:firstLine="720" w:end="0"/>
        <w:jc w:val="both"/>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ind w:firstLine="720" w:end="0"/>
        <w:jc w:val="both"/>
        <w:rPr>
          <w:b/>
          <w:color w:val="000000"/>
          <w:sz w:val="22"/>
        </w:rPr>
      </w:pPr>
      <w:r>
        <w:rPr>
          <w:b/>
          <w:color w:val="000000"/>
          <w:sz w:val="22"/>
        </w:rPr>
      </w:r>
    </w:p>
    <w:p>
      <w:pPr>
        <w:pStyle w:val="Normal"/>
        <w:ind w:firstLine="720" w:end="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C29"/>
      <w:r>
        <w:rPr>
          <w:rStyle w:val="DeltaViewInsertion"/>
          <w:color w:val="000000"/>
          <w:sz w:val="22"/>
          <w:u w:val="none"/>
        </w:rPr>
        <w:t xml:space="preserve">or bring about </w:t>
      </w:r>
      <w:bookmarkStart w:id="60" w:name="_DV_M43"/>
      <w:bookmarkEnd w:id="59"/>
      <w:bookmarkEnd w:id="60"/>
      <w:r>
        <w:rPr>
          <w:color w:val="000000"/>
          <w:sz w:val="22"/>
        </w:rPr>
        <w:t xml:space="preserve">any breach of the Facility Agreement; and (ii) following closing of the Transaction, ENA will </w:t>
      </w:r>
      <w:bookmarkStart w:id="61" w:name="_DV_C30"/>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M44"/>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ind w:firstLine="720" w:end="0"/>
        <w:jc w:val="both"/>
        <w:rPr>
          <w:b/>
          <w:color w:val="000000"/>
          <w:sz w:val="22"/>
        </w:rPr>
      </w:pPr>
      <w:r>
        <w:rPr>
          <w:b/>
          <w:color w:val="000000"/>
          <w:sz w:val="22"/>
        </w:rPr>
      </w:r>
    </w:p>
    <w:p>
      <w:pPr>
        <w:pStyle w:val="Normal"/>
        <w:ind w:firstLine="720" w:end="0"/>
        <w:jc w:val="both"/>
        <w:rPr/>
      </w:pPr>
      <w:bookmarkStart w:id="63" w:name="_DV_M45"/>
      <w:bookmarkEnd w:id="63"/>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C31"/>
      <w:r>
        <w:rPr>
          <w:rStyle w:val="DeltaViewInsertion"/>
          <w:sz w:val="22"/>
        </w:rPr>
        <w:t xml:space="preserve"> </w:t>
      </w:r>
      <w:r>
        <w:rPr>
          <w:rStyle w:val="DeltaViewInsertion"/>
          <w:color w:val="000000"/>
          <w:sz w:val="22"/>
          <w:u w:val="none"/>
        </w:rPr>
        <w:t>and at the closing of the Transaction</w:t>
      </w:r>
      <w:bookmarkStart w:id="69" w:name="_DV_M50"/>
      <w:bookmarkEnd w:id="68"/>
      <w:bookmarkEnd w:id="69"/>
      <w:r>
        <w:rPr>
          <w:color w:val="000000"/>
          <w:sz w:val="22"/>
        </w:rPr>
        <w:t xml:space="preserve">, will constitute the legal, valid and binding agreement of both of the parties thereto;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C33"/>
      <w:r>
        <w:rPr>
          <w:rStyle w:val="DeltaViewInsertion"/>
          <w:color w:val="000000"/>
          <w:sz w:val="22"/>
          <w:u w:val="none"/>
        </w:rPr>
        <w:t>all material respects in</w:t>
      </w:r>
      <w:bookmarkStart w:id="71" w:name="_DV_M51"/>
      <w:bookmarkEnd w:id="70"/>
      <w:bookmarkEnd w:id="71"/>
      <w:r>
        <w:rPr>
          <w:color w:val="000000"/>
          <w:sz w:val="22"/>
        </w:rPr>
        <w:t xml:space="preserve"> the same form as </w:t>
      </w:r>
      <w:bookmarkStart w:id="72" w:name="_DV_C35"/>
      <w:r>
        <w:rPr>
          <w:rStyle w:val="DeltaViewInsertion"/>
          <w:color w:val="000000"/>
          <w:sz w:val="22"/>
          <w:u w:val="none"/>
        </w:rPr>
        <w:t>the agreement</w:t>
      </w:r>
      <w:bookmarkStart w:id="73" w:name="_DV_M52"/>
      <w:bookmarkEnd w:id="72"/>
      <w:bookmarkEnd w:id="73"/>
      <w:r>
        <w:rPr>
          <w:color w:val="000000"/>
          <w:sz w:val="22"/>
        </w:rPr>
        <w:t xml:space="preserve"> attached hereto as </w:t>
      </w:r>
      <w:r>
        <w:rPr>
          <w:color w:val="000000"/>
          <w:sz w:val="22"/>
          <w:u w:val="single"/>
        </w:rPr>
        <w:t>Exhibit A</w:t>
      </w:r>
      <w:bookmarkStart w:id="74" w:name="_DV_C36"/>
      <w:r>
        <w:rPr>
          <w:rStyle w:val="DeltaViewInsertion"/>
          <w:color w:val="000000"/>
          <w:sz w:val="22"/>
          <w:u w:val="none"/>
        </w:rPr>
        <w:t>, as determined by TEH in its reasonable discretion,</w:t>
      </w:r>
      <w:bookmarkStart w:id="75" w:name="_DV_M53"/>
      <w:bookmarkEnd w:id="74"/>
      <w:bookmarkEnd w:id="75"/>
      <w:r>
        <w:rPr>
          <w:color w:val="000000"/>
          <w:sz w:val="22"/>
        </w:rPr>
        <w:t xml:space="preserve"> and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D</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bookmarkStart w:id="98" w:name="_DV_C40"/>
      <w:r>
        <w:rPr>
          <w:rStyle w:val="DeltaViewInsertion"/>
          <w:color w:val="000000"/>
          <w:sz w:val="22"/>
          <w:u w:val="none"/>
        </w:rPr>
        <w:t xml:space="preserve"> insofar as such amounts are payable as a result of any agreement between [Young] and TEH or any affiliate of TEH</w:t>
      </w:r>
      <w:bookmarkStart w:id="99" w:name="_DV_M74"/>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77"/>
      <w:bookmarkEnd w:id="102"/>
      <w:r>
        <w:rPr>
          <w:b/>
          <w:color w:val="000000"/>
          <w:sz w:val="22"/>
        </w:rPr>
        <w:t>9.</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C41"/>
      <w:r>
        <w:rPr>
          <w:rStyle w:val="DeltaViewInsertion"/>
          <w:b/>
          <w:color w:val="000000"/>
          <w:sz w:val="22"/>
          <w:u w:val="none"/>
        </w:rPr>
        <w:t xml:space="preserve"> or in the LLC Agreement and without limiting any rights, claims and remedies against GE or any other third party</w:t>
      </w:r>
      <w:bookmarkStart w:id="107" w:name="_DV_M81"/>
      <w:bookmarkEnd w:id="106"/>
      <w:bookmarkEnd w:id="107"/>
      <w:r>
        <w:rPr>
          <w:b/>
          <w:color w:val="000000"/>
          <w:sz w:val="22"/>
        </w:rPr>
        <w:t xml:space="preserve">, the LLC is acquiring the Subject Unit </w:t>
      </w:r>
      <w:bookmarkStart w:id="108" w:name="_DV_C42"/>
      <w:r>
        <w:rPr>
          <w:rStyle w:val="DeltaViewInsertion"/>
          <w:b/>
          <w:color w:val="000000"/>
          <w:sz w:val="22"/>
          <w:u w:val="none"/>
        </w:rPr>
        <w:t xml:space="preserve">from ENA </w:t>
      </w:r>
      <w:bookmarkStart w:id="109" w:name="_DV_M8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C44"/>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M86"/>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1" w:name="_DV_M92"/>
      <w:bookmarkEnd w:id="121"/>
      <w:r>
        <w:rPr>
          <w:color w:val="000000"/>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“Purchase Amount”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52" w:name="_DV_M122"/>
      <w:bookmarkEnd w:id="152"/>
      <w:r>
        <w:rPr>
          <w:b/>
          <w:color w:val="000000"/>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8" w:name="_DV_M128"/>
      <w:bookmarkEnd w:id="158"/>
      <w:r>
        <w:rPr>
          <w:color w:val="000000"/>
          <w:sz w:val="22"/>
        </w:rPr>
        <w:t>Exhibit C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59" w:name="_DV_C46"/>
      <w:r>
        <w:rPr>
          <w:rStyle w:val="DeltaViewInsertion"/>
          <w:color w:val="000000"/>
          <w:sz w:val="22"/>
          <w:u w:val="none"/>
        </w:rPr>
        <w:t>Exhibit D - LLC Balance Sheet</w:t>
      </w:r>
      <w:bookmarkEnd w:id="159"/>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Houston-129099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Houston-129099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12/08/00</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12/08/00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2000-12-08T14:15:00Z</dcterms:created>
  <dc:creator>Carolyn Campbell</dc:creator>
  <dc:description>Houston-129099 v2</dc:description>
  <dc:language>en-CA</dc:language>
  <cp:lastModifiedBy>Carolyn Campbell</cp:lastModifiedBy>
  <cp:lastPrinted>2000-12-06T16:32:00Z</cp:lastPrinted>
  <dcterms:modified xsi:type="dcterms:W3CDTF">2000-12-08T14:16:00Z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