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2"/>
        </w:rPr>
      </w:pPr>
      <w:r>
        <w:rPr>
          <w:sz w:val="22"/>
        </w:rPr>
        <w:t>[Draft of January 3, 2001]</w:t>
      </w:r>
    </w:p>
    <w:p>
      <w:pPr>
        <w:pStyle w:val="Normal"/>
        <w:rPr>
          <w:sz w:val="22"/>
        </w:rPr>
      </w:pPr>
      <w:r>
        <w:rPr>
          <w:sz w:val="22"/>
        </w:rPr>
      </w:r>
    </w:p>
    <w:p>
      <w:pPr>
        <w:pStyle w:val="Normal"/>
        <w:jc w:val="center"/>
        <w:rPr>
          <w:b/>
          <w:sz w:val="22"/>
        </w:rPr>
      </w:pPr>
      <w:r>
        <w:rPr>
          <w:b/>
          <w:sz w:val="22"/>
        </w:rPr>
        <w:t>PROMISSORY NOTE</w:t>
      </w:r>
    </w:p>
    <w:p>
      <w:pPr>
        <w:pStyle w:val="Normal"/>
        <w:rPr>
          <w:b/>
          <w:sz w:val="22"/>
        </w:rPr>
      </w:pPr>
      <w:r>
        <w:rPr>
          <w:b/>
          <w:sz w:val="22"/>
        </w:rPr>
      </w:r>
    </w:p>
    <w:p>
      <w:pPr>
        <w:pStyle w:val="Normal"/>
        <w:rPr>
          <w:sz w:val="22"/>
        </w:rPr>
      </w:pPr>
      <w:r>
        <w:rPr>
          <w:sz w:val="22"/>
        </w:rPr>
      </w:r>
    </w:p>
    <w:p>
      <w:pPr>
        <w:pStyle w:val="Normal"/>
        <w:tabs>
          <w:tab w:val="clear" w:pos="720"/>
          <w:tab w:val="center" w:pos="4680" w:leader="none"/>
          <w:tab w:val="right" w:pos="9360" w:leader="none"/>
        </w:tabs>
        <w:rPr>
          <w:b/>
          <w:sz w:val="22"/>
        </w:rPr>
      </w:pPr>
      <w:r>
        <w:rPr>
          <w:b/>
          <w:sz w:val="22"/>
        </w:rPr>
        <w:t>$16,100,000.00</w:t>
        <w:tab/>
        <w:t xml:space="preserve">Houston, Texas </w:t>
        <w:tab/>
        <w:t>January ___, 2001</w:t>
      </w:r>
    </w:p>
    <w:p>
      <w:pPr>
        <w:pStyle w:val="Normal"/>
        <w:rPr>
          <w:b/>
          <w:sz w:val="22"/>
        </w:rPr>
      </w:pPr>
      <w:r>
        <w:rPr>
          <w:b/>
          <w:sz w:val="22"/>
        </w:rPr>
      </w:r>
    </w:p>
    <w:p>
      <w:pPr>
        <w:pStyle w:val="Normal"/>
        <w:rPr>
          <w:sz w:val="22"/>
        </w:rPr>
      </w:pPr>
      <w:r>
        <w:rPr>
          <w:sz w:val="22"/>
        </w:rPr>
      </w:r>
    </w:p>
    <w:p>
      <w:pPr>
        <w:pStyle w:val="BodyTextFirstIndent2"/>
        <w:ind w:firstLine="810" w:end="0"/>
        <w:rPr/>
      </w:pPr>
      <w:r>
        <w:rPr>
          <w:sz w:val="22"/>
        </w:rPr>
        <w:t xml:space="preserve">FOR VALUE RECEIVED, </w:t>
      </w:r>
      <w:r>
        <w:rPr>
          <w:b/>
          <w:sz w:val="22"/>
        </w:rPr>
        <w:t>CA Energy Development I, LLC,</w:t>
      </w:r>
      <w:r>
        <w:rPr>
          <w:sz w:val="22"/>
        </w:rPr>
        <w:t xml:space="preserve"> a Delaware limited liability company (“</w:t>
      </w:r>
      <w:r>
        <w:rPr>
          <w:sz w:val="22"/>
          <w:u w:val="single"/>
        </w:rPr>
        <w:t>Maker</w:t>
      </w:r>
      <w:r>
        <w:rPr>
          <w:sz w:val="22"/>
        </w:rPr>
        <w:t xml:space="preserve">”), promises to pay to </w:t>
      </w:r>
      <w:r>
        <w:rPr>
          <w:b/>
          <w:sz w:val="22"/>
        </w:rPr>
        <w:t>Enron North America Corp.,</w:t>
      </w:r>
      <w:r>
        <w:rPr>
          <w:sz w:val="22"/>
        </w:rPr>
        <w:t xml:space="preserve"> a Delaware corporation (“</w:t>
      </w:r>
      <w:r>
        <w:rPr>
          <w:sz w:val="22"/>
          <w:u w:val="single"/>
        </w:rPr>
        <w:t>Payee</w:t>
      </w:r>
      <w:r>
        <w:rPr>
          <w:sz w:val="22"/>
        </w:rPr>
        <w:t>”), at 1400 Smith Street, Houston, Texas 77002, or at such other place as Payee may from time to time designate in writing, the principal sum of Sixteen Million One Hundred Thousand Dollars ($16,100,000.00), which shall be due and payable on demand (the “</w:t>
      </w:r>
      <w:r>
        <w:rPr>
          <w:sz w:val="22"/>
          <w:u w:val="single"/>
        </w:rPr>
        <w:t>Maturity Date</w:t>
      </w:r>
      <w:r>
        <w:rPr>
          <w:sz w:val="22"/>
        </w:rPr>
        <w:t>”), unless the indebtedness evidenced by this Promissory Note (this “</w:t>
      </w:r>
      <w:r>
        <w:rPr>
          <w:sz w:val="22"/>
          <w:u w:val="single"/>
        </w:rPr>
        <w:t>Note</w:t>
      </w:r>
      <w:r>
        <w:rPr>
          <w:sz w:val="22"/>
        </w:rPr>
        <w:t xml:space="preserve">”) is earlier accelerated in accordance with the terms and conditions hereof.  </w:t>
      </w:r>
    </w:p>
    <w:p>
      <w:pPr>
        <w:pStyle w:val="Heading2"/>
        <w:keepNext w:val="false"/>
        <w:ind w:hanging="0" w:start="0"/>
        <w:rPr>
          <w:sz w:val="22"/>
        </w:rPr>
      </w:pPr>
      <w:r>
        <w:rPr>
          <w:sz w:val="22"/>
        </w:rPr>
        <w:tab/>
      </w:r>
      <w:r>
        <w:rPr>
          <w:sz w:val="22"/>
          <w:u w:val="single"/>
        </w:rPr>
        <w:t>Interest</w:t>
      </w:r>
      <w:r>
        <w:rPr>
          <w:sz w:val="22"/>
        </w:rPr>
        <w:t>.  Interest will accrue on the outstanding principal amount of this Note at the rate of 8.0% per annum, computed on the basis of a 360-day year for the actual number of days elapsed.  Interest shall be payable monthly as it accrues on the last day of each month, commencing January 31, 2001 until this Note is paid in full.</w:t>
      </w:r>
    </w:p>
    <w:p>
      <w:pPr>
        <w:pStyle w:val="Heading2"/>
        <w:keepNext w:val="false"/>
        <w:ind w:hanging="0" w:start="0"/>
        <w:rPr>
          <w:sz w:val="22"/>
        </w:rPr>
      </w:pPr>
      <w:r>
        <w:rPr>
          <w:sz w:val="22"/>
        </w:rPr>
        <w:tab/>
      </w:r>
      <w:r>
        <w:rPr>
          <w:sz w:val="22"/>
          <w:u w:val="single"/>
        </w:rPr>
        <w:t>Penalty Interest</w:t>
      </w:r>
      <w:r>
        <w:rPr>
          <w:sz w:val="22"/>
        </w:rPr>
        <w:t>.  All past due principal and, to the extent permitted by law, past due interest hereof, shall bear interest from maturity at an interest rate of 12.0% per annum, computed on the basis of a 360-day year.</w:t>
      </w:r>
    </w:p>
    <w:p>
      <w:pPr>
        <w:pStyle w:val="Heading2"/>
        <w:keepNext w:val="false"/>
        <w:ind w:hanging="0" w:start="0"/>
        <w:rPr>
          <w:sz w:val="22"/>
        </w:rPr>
      </w:pPr>
      <w:r>
        <w:rPr>
          <w:sz w:val="22"/>
        </w:rPr>
        <w:tab/>
      </w:r>
      <w:r>
        <w:rPr>
          <w:sz w:val="22"/>
          <w:u w:val="single"/>
        </w:rPr>
        <w:t>Maximum Lawful Rate</w:t>
      </w:r>
      <w:r>
        <w:rPr>
          <w:sz w:val="22"/>
        </w:rPr>
        <w:t xml:space="preserve">.  This Note is hereby expressly limited so that in no contingency or event whatsoever, whether by acceleration of maturity of the indebtedness evidenced hereby or otherwise, shall the amount paid or agreed to be paid to Payee for the use, forbearance or detention of money exceed the highest lawful rate permissible under applicable law.  If, under any circumstances whatsoever, fulfillment of any provision hereof, at the time performance of such provision occurs, shall involve payment of interest in excess of that authorized by law, the obligation to be fulfilled shall be reduced to the limits so authorized by law, and if, from any circumstances, Payee shall ever receive as interest an amount which would exceed the highest lawful rate applicable to Maker, such amount which would be excessive interest shall be applied to the reduction of the unpaid principal balance hereof and not to the payment of interest.  </w:t>
      </w:r>
    </w:p>
    <w:p>
      <w:pPr>
        <w:pStyle w:val="Heading2"/>
        <w:ind w:hanging="0" w:start="0"/>
        <w:rPr>
          <w:sz w:val="22"/>
        </w:rPr>
      </w:pPr>
      <w:r>
        <w:rPr>
          <w:sz w:val="22"/>
        </w:rPr>
        <w:tab/>
      </w:r>
      <w:r>
        <w:rPr>
          <w:sz w:val="22"/>
          <w:u w:val="single"/>
        </w:rPr>
        <w:t>Method of Making Payments</w:t>
      </w:r>
      <w:r>
        <w:rPr>
          <w:sz w:val="22"/>
        </w:rPr>
        <w:t>.</w:t>
      </w:r>
    </w:p>
    <w:p>
      <w:pPr>
        <w:pStyle w:val="Heading3"/>
        <w:ind w:hanging="0" w:start="0"/>
        <w:rPr>
          <w:sz w:val="22"/>
        </w:rPr>
      </w:pPr>
      <w:r>
        <w:rPr>
          <w:sz w:val="22"/>
        </w:rPr>
        <w:t>All payments with respect to principal and interest hereunder shall be made by wire transfer of immediately available funds to such account as Payee has designated in writing to Maker.</w:t>
      </w:r>
    </w:p>
    <w:p>
      <w:pPr>
        <w:pStyle w:val="Heading3"/>
        <w:ind w:hanging="0" w:start="0"/>
        <w:rPr>
          <w:sz w:val="22"/>
        </w:rPr>
      </w:pPr>
      <w:r>
        <w:rPr>
          <w:sz w:val="22"/>
        </w:rPr>
        <w:t xml:space="preserve">Payments received hereunder shall be applied first to any collection fees, then to any accrued but unpaid interest and the balance, if any, to principal.  </w:t>
      </w:r>
    </w:p>
    <w:p>
      <w:pPr>
        <w:pStyle w:val="Heading2"/>
        <w:keepNext w:val="false"/>
        <w:ind w:hanging="0" w:start="0"/>
        <w:rPr>
          <w:sz w:val="22"/>
        </w:rPr>
      </w:pPr>
      <w:r>
        <w:rPr>
          <w:sz w:val="22"/>
        </w:rPr>
        <w:tab/>
      </w:r>
      <w:r>
        <w:rPr>
          <w:sz w:val="22"/>
          <w:u w:val="single"/>
        </w:rPr>
        <w:t>Prepayment</w:t>
      </w:r>
      <w:r>
        <w:rPr>
          <w:sz w:val="22"/>
        </w:rPr>
        <w:t>.  Notwithstanding any other provision of this Note, Maker shall have the right to prepay the principal amount outstanding under this Note, together with all accrued interest, in whole or in part from time to time, without premium or penalty.  Maker shall have no right to reborrow under this Note any amounts paid or prepaid in respect of principal or interest on this Note.  Any prepayment shall not affect Maker’s obligation to continue to pay the monthly interest payments required hereunder until the entire indebtedness under this Note has been paid in full.</w:t>
      </w:r>
    </w:p>
    <w:p>
      <w:pPr>
        <w:pStyle w:val="Heading2"/>
        <w:keepNext w:val="false"/>
        <w:ind w:hanging="0" w:start="0"/>
        <w:rPr>
          <w:sz w:val="22"/>
        </w:rPr>
      </w:pPr>
      <w:r>
        <w:rPr>
          <w:sz w:val="22"/>
        </w:rPr>
        <w:tab/>
      </w:r>
      <w:r>
        <w:rPr>
          <w:sz w:val="22"/>
          <w:u w:val="single"/>
        </w:rPr>
        <w:t>Events of Default</w:t>
      </w:r>
      <w:r>
        <w:rPr>
          <w:sz w:val="22"/>
        </w:rPr>
        <w:t>.  The occurrence of any one or more of the following conditions or events shall constitute an “</w:t>
      </w:r>
      <w:r>
        <w:rPr>
          <w:sz w:val="22"/>
          <w:u w:val="single"/>
        </w:rPr>
        <w:t>Event of Default</w:t>
      </w:r>
      <w:r>
        <w:rPr>
          <w:sz w:val="22"/>
        </w:rPr>
        <w:t xml:space="preserve">”: </w:t>
      </w:r>
    </w:p>
    <w:p>
      <w:pPr>
        <w:pStyle w:val="Heading3"/>
        <w:ind w:hanging="0" w:start="0"/>
        <w:rPr>
          <w:sz w:val="22"/>
        </w:rPr>
      </w:pPr>
      <w:r>
        <w:rPr>
          <w:sz w:val="22"/>
          <w:u w:val="single"/>
        </w:rPr>
        <w:t>Failure to Pay</w:t>
      </w:r>
      <w:r>
        <w:rPr>
          <w:sz w:val="22"/>
        </w:rPr>
        <w:t xml:space="preserve">.  Maker fails to make any payment of principal or interest hereunder when due; </w:t>
      </w:r>
    </w:p>
    <w:p>
      <w:pPr>
        <w:pStyle w:val="Heading3"/>
        <w:ind w:hanging="0" w:start="0"/>
        <w:rPr>
          <w:sz w:val="22"/>
        </w:rPr>
      </w:pPr>
      <w:r>
        <w:rPr>
          <w:sz w:val="22"/>
          <w:u w:val="single"/>
        </w:rPr>
        <w:t>Bankruptcy</w:t>
      </w:r>
      <w:r>
        <w:rPr>
          <w:sz w:val="22"/>
        </w:rPr>
        <w:t>.  (i) Maker shall commence proceedings seeking either its own bankruptcy or to be granted a suspension of payments or any other proceeding under any bankruptcy, reorganization, arrangement, adjustment of debt, relief of debtors, dissolution, insolvency or liquidation or similar law of any jurisdiction, whether now or hereafter in effect; (ii) any proceeding described in clause (i) of this subsection 6(b) is commenced or applied to be commenced against Maker, which proceeding remains undismissed for a period of 60 days; (iii) a custodian, trustee, administrator or similar official is appointed under any applicable law described in clause (i) of this subsection 6(b) with respect to Maker, or such custodian, trustee, administrator or similar official takes charge of all or any substantial part of the assets or properties of Maker; (iv) an adjudication is made that Maker is insolvent or bankrupt; (v) Maker makes a general assignment for the benefit of its creditors; (vi) Maker admits in writing its inability to pay its debts generally as they become due; or (vii) Maker takes any similar action for the purpose of effecting any of the actions, orders or events described in the foregoing clauses of this subsection 6(b).</w:t>
      </w:r>
    </w:p>
    <w:p>
      <w:pPr>
        <w:pStyle w:val="Heading2"/>
        <w:keepNext w:val="false"/>
        <w:ind w:hanging="0" w:start="0"/>
        <w:rPr>
          <w:sz w:val="22"/>
        </w:rPr>
      </w:pPr>
      <w:r>
        <w:rPr>
          <w:sz w:val="22"/>
        </w:rPr>
        <w:tab/>
      </w:r>
      <w:r>
        <w:rPr>
          <w:sz w:val="22"/>
          <w:u w:val="single"/>
        </w:rPr>
        <w:t>Remedies</w:t>
      </w:r>
      <w:r>
        <w:rPr>
          <w:sz w:val="22"/>
        </w:rPr>
        <w:t>.  Upon the occurrence of an Event of Default, all amounts payable by Maker to Payee under the terms of this Note shall become automatically due and payable without presentment, protest or demand of any kind, and Payee shall have all the rights, powers and remedies available under the terms of this Note, under applicable law or otherwise.</w:t>
      </w:r>
    </w:p>
    <w:p>
      <w:pPr>
        <w:pStyle w:val="Heading2"/>
        <w:keepNext w:val="false"/>
        <w:ind w:hanging="0" w:start="0"/>
        <w:rPr>
          <w:sz w:val="22"/>
        </w:rPr>
      </w:pPr>
      <w:r>
        <w:rPr>
          <w:sz w:val="22"/>
        </w:rPr>
        <w:tab/>
      </w:r>
      <w:r>
        <w:rPr>
          <w:sz w:val="22"/>
          <w:u w:val="single"/>
        </w:rPr>
        <w:t>Costs of Collection</w:t>
      </w:r>
      <w:r>
        <w:rPr>
          <w:sz w:val="22"/>
        </w:rPr>
        <w:t>.  Maker agrees to pay on demand all costs and expenses, including attorneys’ fees and expenses, arising in connection with any enforcement or collection action by Payee, whether by or through an attorney or collection agency or in an action in bankruptcy, insolvency or other judicial proceedings.  All such costs and expenses of collection shall be added to and become part of the principal of this Note and shall be collectible as part of such principal.</w:t>
      </w:r>
    </w:p>
    <w:p>
      <w:pPr>
        <w:pStyle w:val="Heading2"/>
        <w:keepNext w:val="false"/>
        <w:ind w:hanging="0" w:start="0"/>
        <w:rPr>
          <w:sz w:val="22"/>
        </w:rPr>
      </w:pPr>
      <w:r>
        <w:rPr>
          <w:sz w:val="22"/>
        </w:rPr>
        <w:tab/>
      </w:r>
      <w:r>
        <w:rPr>
          <w:sz w:val="22"/>
          <w:u w:val="single"/>
        </w:rPr>
        <w:t>Waivers; Amendment</w:t>
      </w:r>
      <w:r>
        <w:rPr>
          <w:sz w:val="22"/>
        </w:rPr>
        <w:t xml:space="preserve">.  (a)  The rights, powers and remedies provided to Payee herein are cumulative and not exclusive of any right, power or remedy provided at law or in equity, and Payee may enforce any one or more remedies hereunder successively or concurrently, at its option.  No delay or failure on the part of Payee to exercise any right or remedy accruing to Payee hereunder, upon any default or breach by Maker of any term or provision hereof, shall be held to be an abandonment thereof.  No delay on the part of Payee in exercising any of its rights or remedies shall preclude Payee from the exercise thereof at any time during the continuance of any default or breach.  No waiver of a single default or breach shall be deemed a waiver of any subsequent default or breach.  All waivers under this Note must be in writing signed by the party entitled to enforce the right waived.  All amendments to this Note must be in writing and signed by both Maker and Payee.  </w:t>
      </w:r>
    </w:p>
    <w:p>
      <w:pPr>
        <w:pStyle w:val="BodyTextFirstIndent2"/>
        <w:rPr>
          <w:sz w:val="22"/>
        </w:rPr>
      </w:pPr>
      <w:r>
        <w:rPr>
          <w:sz w:val="22"/>
        </w:rPr>
        <w:t>(b)  Except as otherwise provided herein, Maker, its successors and assigns, and any other persons liable for the payment of this Note, waive presentment for payment, demand, protest, and notice of demand, dishonor, protest and nonpayment, and consent to any and all renewals, extensions or modifications that might be made by Payee and Maker as to the time of payment of this Note from time to time.  The Maker also expressly waives, as a defense, any counterclaim, set-off or claim which the Maker may now or hereafter have against the holder of this Note.</w:t>
      </w:r>
    </w:p>
    <w:p>
      <w:pPr>
        <w:pStyle w:val="Heading2"/>
        <w:keepNext w:val="false"/>
        <w:ind w:hanging="0" w:start="0"/>
        <w:rPr>
          <w:sz w:val="22"/>
        </w:rPr>
      </w:pPr>
      <w:r>
        <w:rPr>
          <w:sz w:val="22"/>
        </w:rPr>
        <w:tab/>
      </w:r>
      <w:r>
        <w:rPr>
          <w:sz w:val="22"/>
          <w:u w:val="single"/>
        </w:rPr>
        <w:t>Severability</w:t>
      </w:r>
      <w:r>
        <w:rPr>
          <w:sz w:val="22"/>
        </w:rPr>
        <w:t xml:space="preserve">.  The invalidity or unenforceability of any provision hereof in any jurisdiction will not affect the validity or enforceability of the remainder hereof in that jurisdiction or the validity or enforceability of this Note, including that provision, in any other jurisdiction.  To the extent permitted by applicable law, each party hereto waives any provision of applicable law that renders any provision hereof prohibited or unenforceable in any respect.  If any provision of this Note is held to be unenforceable for any reason, it shall be adjusted rather than voided, if possible, in order to achieve the intent of the parties hereto to the closest extent possible.  </w:t>
      </w:r>
    </w:p>
    <w:p>
      <w:pPr>
        <w:pStyle w:val="Heading2"/>
        <w:keepNext w:val="false"/>
        <w:ind w:hanging="0" w:start="0"/>
        <w:rPr>
          <w:sz w:val="22"/>
        </w:rPr>
      </w:pPr>
      <w:r>
        <w:rPr>
          <w:sz w:val="22"/>
        </w:rPr>
        <w:tab/>
      </w:r>
      <w:r>
        <w:rPr>
          <w:sz w:val="22"/>
          <w:u w:val="single"/>
        </w:rPr>
        <w:t>Notices</w:t>
      </w:r>
      <w:r>
        <w:rPr>
          <w:sz w:val="22"/>
        </w:rPr>
        <w:t>.  All notices and other communications required or permitted under this Note shall be made in writing to the address set forth on the signature page hereto, for Maker, and in the opening paragraph hereof, for Payee.</w:t>
      </w:r>
    </w:p>
    <w:p>
      <w:pPr>
        <w:pStyle w:val="Heading2"/>
        <w:keepNext w:val="false"/>
        <w:ind w:hanging="0" w:start="0"/>
        <w:rPr>
          <w:sz w:val="22"/>
        </w:rPr>
      </w:pPr>
      <w:r>
        <w:rPr>
          <w:sz w:val="22"/>
        </w:rPr>
        <w:tab/>
      </w:r>
      <w:r>
        <w:rPr>
          <w:sz w:val="22"/>
          <w:u w:val="single"/>
        </w:rPr>
        <w:t>Captions</w:t>
      </w:r>
      <w:r>
        <w:rPr>
          <w:sz w:val="22"/>
        </w:rPr>
        <w:t xml:space="preserve">.  The captions herein set forth are for convenience only and should not be deemed to define, limit or describe the scope or intent of this Note.  </w:t>
      </w:r>
    </w:p>
    <w:p>
      <w:pPr>
        <w:pStyle w:val="Heading2"/>
        <w:keepNext w:val="false"/>
        <w:ind w:hanging="0" w:start="0"/>
        <w:rPr>
          <w:sz w:val="22"/>
        </w:rPr>
      </w:pPr>
      <w:r>
        <w:rPr>
          <w:sz w:val="22"/>
        </w:rPr>
        <w:tab/>
      </w:r>
      <w:r>
        <w:rPr>
          <w:sz w:val="22"/>
          <w:u w:val="single"/>
        </w:rPr>
        <w:t>Governing Law</w:t>
      </w:r>
      <w:r>
        <w:rPr>
          <w:sz w:val="22"/>
        </w:rPr>
        <w:t xml:space="preserve">.  This Note shall be deemed to be made in and in any and all respects shall be governed by, and construed in accordance with, the laws of the State of Texas (without regard to principles of conflict of laws).  </w:t>
      </w:r>
    </w:p>
    <w:p>
      <w:pPr>
        <w:pStyle w:val="Heading2"/>
        <w:keepNext w:val="false"/>
        <w:ind w:hanging="0" w:start="0"/>
        <w:rPr>
          <w:sz w:val="22"/>
        </w:rPr>
      </w:pPr>
      <w:r>
        <w:rPr>
          <w:sz w:val="22"/>
        </w:rPr>
        <w:tab/>
      </w:r>
      <w:r>
        <w:rPr>
          <w:sz w:val="22"/>
          <w:u w:val="single"/>
        </w:rPr>
        <w:t>Computation of Time</w:t>
      </w:r>
      <w:r>
        <w:rPr>
          <w:sz w:val="22"/>
        </w:rPr>
        <w:t>.  Whenever the last day for the exercise of any privilege or the discharge of any duty under this Note shall fall on a day other than a business day, the party having such privilege or duty shall have until 5:00 p.m., Central time, on the next succeeding business day to exercise such privilege or to discharge such duty.  For purposes of this Note, the term “business day” shall mean any day other than a day which is a Saturday or Sunday or other day on which commercial banks in the State of New York are authorized or required to remain closed.</w:t>
      </w:r>
    </w:p>
    <w:p>
      <w:pPr>
        <w:pStyle w:val="BodyTextFirstIndent"/>
        <w:rPr>
          <w:sz w:val="22"/>
        </w:rPr>
      </w:pPr>
      <w:r>
        <w:rPr>
          <w:sz w:val="22"/>
        </w:rPr>
      </w:r>
    </w:p>
    <w:p>
      <w:pPr>
        <w:pStyle w:val="BodyTextFirstIndent"/>
        <w:rPr>
          <w:sz w:val="22"/>
        </w:rPr>
      </w:pPr>
      <w:r>
        <w:rPr>
          <w:sz w:val="22"/>
        </w:rPr>
        <w:t xml:space="preserve">IN WITNESS WHEREOF, Maker has caused this Note to be executed by its duly authorized representative as of the date first above written.  </w:t>
      </w:r>
    </w:p>
    <w:p>
      <w:pPr>
        <w:pStyle w:val="Normal"/>
        <w:ind w:start="4320" w:end="0"/>
        <w:rPr>
          <w:b/>
          <w:sz w:val="22"/>
        </w:rPr>
      </w:pPr>
      <w:r>
        <w:rPr>
          <w:b/>
          <w:sz w:val="22"/>
        </w:rPr>
      </w:r>
    </w:p>
    <w:p>
      <w:pPr>
        <w:pStyle w:val="Normal"/>
        <w:ind w:start="4320" w:end="0"/>
        <w:rPr>
          <w:b/>
          <w:sz w:val="22"/>
        </w:rPr>
      </w:pPr>
      <w:r>
        <w:rPr>
          <w:b/>
          <w:sz w:val="22"/>
        </w:rPr>
        <w:t>CA ENERGY DEVELOPMENT I, LLC</w:t>
      </w:r>
    </w:p>
    <w:p>
      <w:pPr>
        <w:pStyle w:val="Normal"/>
        <w:ind w:start="4320" w:end="0"/>
        <w:rPr>
          <w:b/>
          <w:sz w:val="22"/>
        </w:rPr>
      </w:pPr>
      <w:r>
        <w:rPr>
          <w:b/>
          <w:sz w:val="22"/>
        </w:rPr>
      </w:r>
    </w:p>
    <w:p>
      <w:pPr>
        <w:pStyle w:val="Normal"/>
        <w:ind w:start="4320" w:end="0"/>
        <w:rPr>
          <w:b/>
          <w:sz w:val="22"/>
        </w:rPr>
      </w:pPr>
      <w:r>
        <w:rPr>
          <w:b/>
          <w:sz w:val="22"/>
        </w:rPr>
      </w:r>
    </w:p>
    <w:p>
      <w:pPr>
        <w:pStyle w:val="Normal"/>
        <w:ind w:start="4320" w:end="0"/>
        <w:rPr>
          <w:sz w:val="22"/>
        </w:rPr>
      </w:pPr>
      <w:r>
        <w:rPr>
          <w:sz w:val="22"/>
        </w:rPr>
      </w:r>
    </w:p>
    <w:p>
      <w:pPr>
        <w:pStyle w:val="Normal"/>
        <w:tabs>
          <w:tab w:val="clear" w:pos="720"/>
          <w:tab w:val="left" w:pos="9180" w:leader="underscore"/>
        </w:tabs>
        <w:ind w:start="4320" w:end="0"/>
        <w:rPr>
          <w:sz w:val="22"/>
        </w:rPr>
      </w:pPr>
      <w:r>
        <w:rPr>
          <w:sz w:val="22"/>
        </w:rPr>
        <w:t>By:</w:t>
        <w:tab/>
      </w:r>
    </w:p>
    <w:p>
      <w:pPr>
        <w:pStyle w:val="Normal"/>
        <w:ind w:start="4320" w:end="0"/>
        <w:rPr>
          <w:sz w:val="22"/>
        </w:rPr>
      </w:pPr>
      <w:r>
        <w:rPr>
          <w:sz w:val="22"/>
        </w:rPr>
        <w:t xml:space="preserve">      </w:t>
      </w:r>
      <w:r>
        <w:rPr>
          <w:sz w:val="22"/>
        </w:rPr>
        <w:t xml:space="preserve">Name:  </w:t>
      </w:r>
    </w:p>
    <w:p>
      <w:pPr>
        <w:pStyle w:val="Normal"/>
        <w:rPr>
          <w:sz w:val="22"/>
        </w:rPr>
      </w:pPr>
      <w:r>
        <w:rPr>
          <w:sz w:val="22"/>
        </w:rPr>
        <w:tab/>
        <w:tab/>
        <w:tab/>
        <w:tab/>
        <w:tab/>
        <w:tab/>
        <w:t xml:space="preserve">      Title:    </w:t>
      </w:r>
    </w:p>
    <w:p>
      <w:pPr>
        <w:pStyle w:val="Normal"/>
        <w:rPr>
          <w:sz w:val="22"/>
        </w:rPr>
      </w:pPr>
      <w:r>
        <w:rPr>
          <w:sz w:val="22"/>
        </w:rPr>
      </w:r>
    </w:p>
    <w:p>
      <w:pPr>
        <w:pStyle w:val="Normal"/>
        <w:tabs>
          <w:tab w:val="clear" w:pos="720"/>
          <w:tab w:val="left" w:pos="4320" w:leader="none"/>
        </w:tabs>
        <w:rPr>
          <w:sz w:val="22"/>
        </w:rPr>
      </w:pPr>
      <w:r>
        <w:rPr>
          <w:sz w:val="22"/>
        </w:rPr>
        <w:tab/>
        <w:t>Address: _________________________________</w:t>
      </w:r>
    </w:p>
    <w:p>
      <w:pPr>
        <w:pStyle w:val="Normal"/>
        <w:tabs>
          <w:tab w:val="clear" w:pos="720"/>
          <w:tab w:val="left" w:pos="4320" w:leader="none"/>
          <w:tab w:val="left" w:pos="5220" w:leader="none"/>
        </w:tabs>
        <w:rPr>
          <w:sz w:val="22"/>
        </w:rPr>
      </w:pPr>
      <w:r>
        <w:rPr>
          <w:sz w:val="22"/>
        </w:rPr>
        <w:tab/>
        <w:tab/>
        <w:t>_________________________________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Houston-128764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Houston-128764 v2</w:t>
                    </w:r>
                    <w:r>
                      <w:rPr/>
                      <w:fldChar w:fldCharType="end"/>
                    </w:r>
                  </w:p>
                </w:txbxContent>
              </v:textbox>
              <w10:wrap type="none"/>
            </v:rect>
          </w:pict>
        </mc:Fallback>
      </mc:AlternateConten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Houston-128764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Houston-128764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b/>
        <w:sz w:val="22"/>
      </w:rPr>
    </w:pPr>
    <w:r>
      <w:rPr>
        <w:b/>
        <w:sz w:val="22"/>
      </w:rPr>
      <w:t>$16,100,000.00</w:t>
      <w:tab/>
      <w:t>Houston, Texas</w:t>
      <w:tab/>
      <w:t>January ___,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pStyle w:val="Heading2"/>
      <w:numFmt w:val="decimal"/>
      <w:suff w:val="space"/>
      <w:lvlText w:val="%2. "/>
      <w:lvlJc w:val="start"/>
      <w:pPr>
        <w:tabs>
          <w:tab w:val="num" w:pos="0"/>
        </w:tabs>
        <w:ind w:start="0" w:firstLine="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rPr>
    </w:lvl>
    <w:lvl w:ilvl="2">
      <w:start w:val="1"/>
      <w:pStyle w:val="Heading3"/>
      <w:numFmt w:val="lowerLetter"/>
      <w:lvlText w:val="(%3)"/>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pStyle w:val="Heading4"/>
      <w:numFmt w:val="lowerRoman"/>
      <w:lvlText w:val="(%4)"/>
      <w:lvlJc w:val="start"/>
      <w:pPr>
        <w:tabs>
          <w:tab w:val="num" w:pos="216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pStyle w:val="Heading5"/>
      <w:numFmt w:val="upperLetter"/>
      <w:lvlText w:val="(%5)"/>
      <w:lvlJc w:val="start"/>
      <w:pPr>
        <w:tabs>
          <w:tab w:val="num" w:pos="2520"/>
        </w:tabs>
        <w:ind w:start="144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pStyle w:val="Heading6"/>
      <w:numFmt w:val="decimal"/>
      <w:lvlText w:val="(%6)"/>
      <w:lvlJc w:val="start"/>
      <w:pPr>
        <w:tabs>
          <w:tab w:val="num" w:pos="3240"/>
        </w:tabs>
        <w:ind w:start="216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pStyle w:val="Heading7"/>
      <w:numFmt w:val="lowerLetter"/>
      <w:lvlText w:val="%7."/>
      <w:lvlJc w:val="start"/>
      <w:pPr>
        <w:tabs>
          <w:tab w:val="num" w:pos="3960"/>
        </w:tabs>
        <w:ind w:start="288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pStyle w:val="Heading8"/>
      <w:numFmt w:val="lowerRoman"/>
      <w:lvlText w:val="%8."/>
      <w:lvlJc w:val="start"/>
      <w:pPr>
        <w:tabs>
          <w:tab w:val="num" w:pos="5040"/>
        </w:tabs>
        <w:ind w:start="360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pStyle w:val="Heading9"/>
      <w:numFmt w:val="lowerLetter"/>
      <w:lvlText w:val="%9)"/>
      <w:lvlJc w:val="start"/>
      <w:pPr>
        <w:tabs>
          <w:tab w:val="num" w:pos="5400"/>
        </w:tabs>
        <w:ind w:start="4320" w:firstLine="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120" w:after="240"/>
      <w:jc w:val="center"/>
      <w:outlineLvl w:val="0"/>
    </w:pPr>
    <w:rPr>
      <w:b/>
      <w:caps/>
      <w:kern w:val="2"/>
    </w:rPr>
  </w:style>
  <w:style w:type="paragraph" w:styleId="Heading2">
    <w:name w:val="heading 2"/>
    <w:basedOn w:val="Normal"/>
    <w:next w:val="BodyTextFirstIndent"/>
    <w:qFormat/>
    <w:pPr>
      <w:keepNext w:val="true"/>
      <w:numPr>
        <w:ilvl w:val="1"/>
        <w:numId w:val="1"/>
      </w:numPr>
      <w:spacing w:before="0" w:after="240"/>
      <w:jc w:val="both"/>
      <w:outlineLvl w:val="1"/>
    </w:pPr>
    <w:rPr/>
  </w:style>
  <w:style w:type="paragraph" w:styleId="Heading3">
    <w:name w:val="heading 3"/>
    <w:basedOn w:val="Normal"/>
    <w:next w:val="Normal"/>
    <w:qFormat/>
    <w:pPr>
      <w:numPr>
        <w:ilvl w:val="2"/>
        <w:numId w:val="1"/>
      </w:numPr>
      <w:spacing w:before="0" w:after="240"/>
      <w:jc w:val="both"/>
      <w:outlineLvl w:val="2"/>
    </w:pPr>
    <w:rPr/>
  </w:style>
  <w:style w:type="paragraph" w:styleId="Heading4">
    <w:name w:val="heading 4"/>
    <w:basedOn w:val="Normal"/>
    <w:next w:val="Normal"/>
    <w:qFormat/>
    <w:pPr>
      <w:numPr>
        <w:ilvl w:val="3"/>
        <w:numId w:val="1"/>
      </w:numPr>
      <w:spacing w:before="0" w:after="240"/>
      <w:jc w:val="both"/>
      <w:outlineLvl w:val="3"/>
    </w:pPr>
    <w:rPr/>
  </w:style>
  <w:style w:type="paragraph" w:styleId="Heading5">
    <w:name w:val="heading 5"/>
    <w:basedOn w:val="Normal"/>
    <w:next w:val="Normal"/>
    <w:qFormat/>
    <w:pPr>
      <w:numPr>
        <w:ilvl w:val="4"/>
        <w:numId w:val="1"/>
      </w:numPr>
      <w:spacing w:before="0" w:after="240"/>
      <w:jc w:val="both"/>
      <w:outlineLvl w:val="4"/>
    </w:pPr>
    <w:rPr/>
  </w:style>
  <w:style w:type="paragraph" w:styleId="Heading6">
    <w:name w:val="heading 6"/>
    <w:basedOn w:val="Normal"/>
    <w:next w:val="Normal"/>
    <w:qFormat/>
    <w:pPr>
      <w:numPr>
        <w:ilvl w:val="5"/>
        <w:numId w:val="1"/>
      </w:numPr>
      <w:spacing w:before="0" w:after="240"/>
      <w:jc w:val="both"/>
      <w:outlineLvl w:val="5"/>
    </w:pPr>
    <w:rPr/>
  </w:style>
  <w:style w:type="paragraph" w:styleId="Heading7">
    <w:name w:val="heading 7"/>
    <w:basedOn w:val="Normal"/>
    <w:next w:val="Normal"/>
    <w:qFormat/>
    <w:pPr>
      <w:numPr>
        <w:ilvl w:val="6"/>
        <w:numId w:val="1"/>
      </w:numPr>
      <w:spacing w:before="0" w:after="240"/>
      <w:jc w:val="both"/>
      <w:outlineLvl w:val="6"/>
    </w:pPr>
    <w:rPr/>
  </w:style>
  <w:style w:type="paragraph" w:styleId="Heading8">
    <w:name w:val="heading 8"/>
    <w:basedOn w:val="Normal"/>
    <w:next w:val="Normal"/>
    <w:qFormat/>
    <w:pPr>
      <w:numPr>
        <w:ilvl w:val="7"/>
        <w:numId w:val="1"/>
      </w:numPr>
      <w:spacing w:before="0" w:after="240"/>
      <w:jc w:val="both"/>
      <w:outlineLvl w:val="7"/>
    </w:pPr>
    <w:rPr/>
  </w:style>
  <w:style w:type="paragraph" w:styleId="Heading9">
    <w:name w:val="heading 9"/>
    <w:basedOn w:val="Normal"/>
    <w:next w:val="Normal"/>
    <w:qFormat/>
    <w:pPr>
      <w:numPr>
        <w:ilvl w:val="8"/>
        <w:numId w:val="1"/>
      </w:numPr>
      <w:spacing w:before="0" w:after="240"/>
      <w:jc w:val="both"/>
      <w:outlineLvl w:val="8"/>
    </w:pPr>
    <w:rPr/>
  </w:style>
  <w:style w:type="character" w:styleId="WW8Num2z0">
    <w:name w:val="WW8Num2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vertAlign w:val="baseline"/>
    </w:rPr>
  </w:style>
  <w:style w:type="character" w:styleId="WW8Num2z2">
    <w:name w:val="WW8Num2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1440" w:start="0" w:end="0"/>
    </w:pPr>
    <w:rPr/>
  </w:style>
  <w:style w:type="paragraph" w:styleId="Footer">
    <w:name w:val="footer"/>
    <w:basedOn w:val="Normal"/>
    <w:pPr>
      <w:tabs>
        <w:tab w:val="clear" w:pos="720"/>
        <w:tab w:val="center" w:pos="4680" w:leader="none"/>
        <w:tab w:val="right" w:pos="9360" w:leader="none"/>
      </w:tabs>
      <w:jc w:val="both"/>
    </w:pPr>
    <w:rPr/>
  </w:style>
  <w:style w:type="paragraph" w:styleId="Definitions">
    <w:name w:val="Definitions"/>
    <w:basedOn w:val="BodyTextFirstIndent2"/>
    <w:qFormat/>
    <w:pPr/>
    <w:rPr/>
  </w:style>
  <w:style w:type="paragraph" w:styleId="FootnoteText">
    <w:name w:val="footnote text"/>
    <w:basedOn w:val="Normal"/>
    <w:pPr>
      <w:ind w:hanging="720" w:start="720" w:end="0"/>
      <w:jc w:val="both"/>
    </w:pPr>
    <w:rPr>
      <w:sz w:val="20"/>
    </w:rPr>
  </w:style>
  <w:style w:type="paragraph" w:styleId="TOC1">
    <w:name w:val="toc 1"/>
    <w:basedOn w:val="Normal"/>
    <w:next w:val="Normal"/>
    <w:pPr>
      <w:tabs>
        <w:tab w:val="clear" w:pos="720"/>
        <w:tab w:val="right" w:pos="9360" w:leader="dot"/>
      </w:tabs>
      <w:ind w:hanging="720" w:start="720" w:end="720"/>
    </w:pPr>
    <w:rPr/>
  </w:style>
  <w:style w:type="paragraph" w:styleId="TOC2">
    <w:name w:val="toc 2"/>
    <w:basedOn w:val="Normal"/>
    <w:next w:val="Normal"/>
    <w:pPr>
      <w:tabs>
        <w:tab w:val="clear" w:pos="720"/>
        <w:tab w:val="right" w:pos="9360" w:leader="dot"/>
      </w:tabs>
      <w:ind w:hanging="720" w:start="1440" w:end="720"/>
    </w:pPr>
    <w:rPr/>
  </w:style>
  <w:style w:type="paragraph" w:styleId="TOC3">
    <w:name w:val="toc 3"/>
    <w:basedOn w:val="Normal"/>
    <w:next w:val="Normal"/>
    <w:pPr>
      <w:tabs>
        <w:tab w:val="clear" w:pos="720"/>
        <w:tab w:val="right" w:pos="9360" w:leader="dot"/>
      </w:tabs>
      <w:ind w:hanging="720" w:start="2160" w:end="720"/>
    </w:pPr>
    <w:rPr/>
  </w:style>
  <w:style w:type="paragraph" w:styleId="DocID">
    <w:name w:val="DocID"/>
    <w:basedOn w:val="Normal"/>
    <w:qFormat/>
    <w:pPr/>
    <w:rPr>
      <w:sz w:val="16"/>
      <w:lang w:val="en-CA"/>
    </w:rPr>
  </w:style>
  <w:style w:type="paragraph" w:styleId="DocumentMap">
    <w:name w:val="Document Map"/>
    <w:basedOn w:val="Normal"/>
    <w:qFormat/>
    <w:pPr>
      <w:shd w:fill="000080" w:val="clear"/>
    </w:pPr>
    <w:rPr>
      <w:rFonts w:ascii="Tahoma" w:hAnsi="Tahoma" w:cs="Tahoma"/>
    </w:rPr>
  </w:style>
  <w:style w:type="paragraph" w:styleId="Signature">
    <w:name w:val="Signature"/>
    <w:basedOn w:val="Normal"/>
    <w:pPr>
      <w:ind w:hanging="0" w:start="43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NY Section 1.dot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2001-01-03T20:23:00Z</dcterms:created>
  <dc:creator>K&amp;S</dc:creator>
  <dc:description>Houston-128764 v2</dc:description>
  <dc:language>en-CA</dc:language>
  <cp:lastModifiedBy>K&amp;S</cp:lastModifiedBy>
  <cp:lastPrinted>2001-01-03T17:01:00Z</cp:lastPrinted>
  <dcterms:modified xsi:type="dcterms:W3CDTF">2001-01-03T20:55:00Z</dcterms:modified>
  <cp:revision>5</cp:revision>
  <dc:subject/>
  <dc:title>[Draft of September 26, 2000]</dc:title>
</cp:coreProperties>
</file>