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sz w:val="22"/>
        </w:rPr>
        <w:t>December ____, 2000</w:t>
      </w:r>
    </w:p>
    <w:p>
      <w:pPr>
        <w:pStyle w:val="Normal"/>
        <w:jc w:val="both"/>
        <w:rPr>
          <w:b/>
          <w:sz w:val="22"/>
        </w:rPr>
      </w:pPr>
      <w:r>
        <w:rPr>
          <w:b/>
          <w:sz w:val="22"/>
        </w:rPr>
      </w:r>
    </w:p>
    <w:p>
      <w:pPr>
        <w:pStyle w:val="Normal"/>
        <w:jc w:val="both"/>
        <w:rPr>
          <w:sz w:val="22"/>
        </w:rPr>
      </w:pPr>
      <w:r>
        <w:rPr>
          <w:sz w:val="22"/>
        </w:rPr>
        <w:t>Tejas Energy N S Holding, LLC</w:t>
      </w:r>
    </w:p>
    <w:p>
      <w:pPr>
        <w:pStyle w:val="Normal"/>
        <w:jc w:val="both"/>
        <w:rPr>
          <w:sz w:val="22"/>
        </w:rPr>
      </w:pPr>
      <w:r>
        <w:rPr>
          <w:sz w:val="22"/>
        </w:rPr>
        <w:t>c/o Coral Power, LLC</w:t>
      </w:r>
    </w:p>
    <w:p>
      <w:pPr>
        <w:pStyle w:val="Normal"/>
        <w:jc w:val="both"/>
        <w:rPr>
          <w:sz w:val="22"/>
        </w:rPr>
      </w:pPr>
      <w:r>
        <w:rPr>
          <w:sz w:val="22"/>
        </w:rPr>
        <w:t>909 Fannin, Suite 700</w:t>
      </w:r>
    </w:p>
    <w:p>
      <w:pPr>
        <w:pStyle w:val="Normal"/>
        <w:jc w:val="both"/>
        <w:rPr>
          <w:b/>
          <w:sz w:val="22"/>
        </w:rPr>
      </w:pPr>
      <w:r>
        <w:rPr>
          <w:sz w:val="22"/>
        </w:rPr>
        <w:t>Houston, Texas 77010</w:t>
      </w:r>
    </w:p>
    <w:p>
      <w:pPr>
        <w:pStyle w:val="Normal"/>
        <w:jc w:val="both"/>
        <w:rPr>
          <w:b/>
          <w:sz w:val="22"/>
        </w:rPr>
      </w:pPr>
      <w:r>
        <w:rPr>
          <w:b/>
          <w:sz w:val="22"/>
        </w:rPr>
      </w:r>
    </w:p>
    <w:p>
      <w:pPr>
        <w:pStyle w:val="Normal"/>
        <w:jc w:val="both"/>
        <w:rPr>
          <w:sz w:val="22"/>
        </w:rPr>
      </w:pPr>
      <w:r>
        <w:rPr>
          <w:sz w:val="22"/>
        </w:rPr>
      </w:r>
    </w:p>
    <w:p>
      <w:pPr>
        <w:pStyle w:val="Normal"/>
        <w:ind w:firstLine="720" w:end="0"/>
        <w:jc w:val="both"/>
        <w:rPr>
          <w:sz w:val="22"/>
        </w:rPr>
      </w:pPr>
      <w:r>
        <w:rPr>
          <w:sz w:val="22"/>
        </w:rPr>
        <w:t>Re:  Letter Agreement for LM6000 Enhanced SPRINT Dual-fuel Combustion Turbine Generator Set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Normal"/>
        <w:ind w:firstLine="720" w:end="0"/>
        <w:jc w:val="both"/>
        <w:rPr/>
      </w:pPr>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 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jc w:val="both"/>
        <w:rPr>
          <w:sz w:val="22"/>
        </w:rPr>
      </w:pPr>
      <w:r>
        <w:rPr>
          <w:sz w:val="22"/>
        </w:rPr>
      </w:r>
    </w:p>
    <w:p>
      <w:pPr>
        <w:pStyle w:val="Normal"/>
        <w:ind w:firstLine="720" w:end="0"/>
        <w:jc w:val="both"/>
        <w:rPr/>
      </w:pPr>
      <w:r>
        <w:rPr>
          <w:b/>
          <w:sz w:val="22"/>
        </w:rPr>
        <w:t>1.</w:t>
        <w:tab/>
        <w:t xml:space="preserve">Power Project.  </w:t>
      </w:r>
      <w:r>
        <w:rPr>
          <w:sz w:val="22"/>
        </w:rPr>
        <w:t>Each of ENA and TEH is interested in developing, engineering, designing, financing, constructing and operating certain simple-cycle natural gas-fired electric power generation facilities in the continental United States (collectively, the “</w:t>
      </w:r>
      <w:r>
        <w:rPr>
          <w:sz w:val="22"/>
          <w:u w:val="single"/>
        </w:rPr>
        <w:t>Projects</w:t>
      </w:r>
      <w:r>
        <w:rPr>
          <w:sz w:val="22"/>
        </w:rPr>
        <w:t>” and individually, a “</w:t>
      </w:r>
      <w:r>
        <w:rPr>
          <w:sz w:val="22"/>
          <w:u w:val="single"/>
        </w:rPr>
        <w:t>Project</w:t>
      </w:r>
      <w:r>
        <w:rPr>
          <w:sz w:val="22"/>
        </w:rPr>
        <w:t>”).  For purposes of engaging in Projects, ENA organized, and is the sole member of, CA Energy Development I, LLC, a Delaware limited liability company (the “</w:t>
      </w:r>
      <w:r>
        <w:rPr>
          <w:sz w:val="22"/>
          <w:u w:val="single"/>
        </w:rPr>
        <w:t>LLC</w:t>
      </w:r>
      <w:r>
        <w:rPr>
          <w:sz w:val="22"/>
        </w:rPr>
        <w:t>”).</w:t>
      </w:r>
    </w:p>
    <w:p>
      <w:pPr>
        <w:pStyle w:val="Normal"/>
        <w:jc w:val="both"/>
        <w:rPr>
          <w:sz w:val="22"/>
        </w:rPr>
      </w:pPr>
      <w:r>
        <w:rPr>
          <w:sz w:val="22"/>
        </w:rPr>
      </w:r>
    </w:p>
    <w:p>
      <w:pPr>
        <w:pStyle w:val="Normal"/>
        <w:ind w:firstLine="720" w:end="0"/>
        <w:jc w:val="both"/>
        <w:rPr/>
      </w:pPr>
      <w:r>
        <w:rPr>
          <w:b/>
          <w:sz w:val="22"/>
        </w:rPr>
        <w:t>2.</w:t>
        <w:tab/>
        <w:t xml:space="preserve">Transaction.  </w:t>
      </w:r>
      <w:r>
        <w:rPr>
          <w:sz w:val="22"/>
        </w:rPr>
        <w:t>The parties agree to jointly engage in a Project more particularly described as in this Paragraph 2 (collectively, the “</w:t>
      </w:r>
      <w:r>
        <w:rPr>
          <w:sz w:val="22"/>
          <w:u w:val="single"/>
        </w:rPr>
        <w:t>Transaction</w:t>
      </w:r>
      <w:r>
        <w:rPr>
          <w:sz w:val="22"/>
        </w:rPr>
        <w:t>”).  Upon the closing of the Transaction, the following events shall occur, each being a condition precedent to the others and each being deemed to have occurred simultaneously with the others:</w:t>
      </w:r>
    </w:p>
    <w:p>
      <w:pPr>
        <w:pStyle w:val="Normal"/>
        <w:ind w:firstLine="720" w:end="0"/>
        <w:jc w:val="both"/>
        <w:rPr>
          <w:sz w:val="22"/>
        </w:rPr>
      </w:pPr>
      <w:r>
        <w:rPr>
          <w:sz w:val="22"/>
        </w:rPr>
      </w:r>
    </w:p>
    <w:p>
      <w:pPr>
        <w:pStyle w:val="Normal"/>
        <w:ind w:firstLine="720" w:end="0"/>
        <w:jc w:val="both"/>
        <w:rPr/>
      </w:pPr>
      <w:r>
        <w:rPr>
          <w:b/>
          <w:sz w:val="22"/>
        </w:rPr>
        <w:tab/>
        <w:t>(a)</w:t>
        <w:tab/>
      </w:r>
      <w:r>
        <w:rPr>
          <w:sz w:val="22"/>
        </w:rPr>
        <w:t>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 ENA shall cause the LLC to acquire rights and obligations associated with the purchase of one LM6000 enhanced SPRINT dual-fuel combustion turbine generator set (the “</w:t>
      </w:r>
      <w:r>
        <w:rPr>
          <w:sz w:val="22"/>
          <w:u w:val="single"/>
        </w:rPr>
        <w:t>Subject Unit</w:t>
      </w:r>
      <w:r>
        <w:rPr>
          <w:sz w:val="22"/>
        </w:rPr>
        <w:t>”) from GE Packaged Power, Inc. (“</w:t>
      </w:r>
      <w:r>
        <w:rPr>
          <w:sz w:val="22"/>
          <w:u w:val="single"/>
        </w:rPr>
        <w:t>GE</w:t>
      </w:r>
      <w:r>
        <w:rPr>
          <w:sz w:val="22"/>
        </w:rPr>
        <w:t>”), pursuant to an agreement of even date herewith between the LLC and GE (the “</w:t>
      </w:r>
      <w:r>
        <w:rPr>
          <w:sz w:val="22"/>
          <w:u w:val="single"/>
        </w:rPr>
        <w:t>Facility Agreement</w:t>
      </w:r>
      <w:r>
        <w:rPr>
          <w:sz w:val="22"/>
        </w:rPr>
        <w:t>”).</w:t>
      </w:r>
    </w:p>
    <w:p>
      <w:pPr>
        <w:pStyle w:val="Normal"/>
        <w:ind w:firstLine="720" w:end="0"/>
        <w:jc w:val="both"/>
        <w:rPr>
          <w:sz w:val="22"/>
        </w:rPr>
      </w:pPr>
      <w:r>
        <w:rPr>
          <w:sz w:val="22"/>
        </w:rPr>
      </w:r>
    </w:p>
    <w:p>
      <w:pPr>
        <w:pStyle w:val="Normal"/>
        <w:ind w:firstLine="720" w:end="0"/>
        <w:jc w:val="both"/>
        <w:rPr/>
      </w:pPr>
      <w:r>
        <w:rPr>
          <w:sz w:val="22"/>
        </w:rPr>
        <w:tab/>
      </w:r>
      <w:r>
        <w:rPr>
          <w:b/>
          <w:sz w:val="22"/>
        </w:rPr>
        <w:t>(b)</w:t>
      </w:r>
      <w:r>
        <w:rPr>
          <w:sz w:val="22"/>
        </w:rPr>
        <w:tab/>
        <w:t>TEH shall acquire, and ENA shall cause the LLC to issue to TEH, membership interests representing 80% of the equity in the LLC (“</w:t>
      </w:r>
      <w:r>
        <w:rPr>
          <w:sz w:val="22"/>
          <w:u w:val="single"/>
        </w:rPr>
        <w:t>Membership Interests</w:t>
      </w:r>
      <w:r>
        <w:rPr>
          <w:sz w:val="22"/>
        </w:rPr>
        <w:t>”) in exchange for a contribution to the capital of the LLC by TEH in the amount of Eight Hundred and No/100 Dollars ($800.00) cash.</w:t>
      </w:r>
    </w:p>
    <w:p>
      <w:pPr>
        <w:pStyle w:val="Normal"/>
        <w:ind w:firstLine="720" w:end="0"/>
        <w:jc w:val="both"/>
        <w:rPr>
          <w:sz w:val="22"/>
        </w:rPr>
      </w:pPr>
      <w:r>
        <w:rPr>
          <w:sz w:val="22"/>
        </w:rPr>
      </w:r>
    </w:p>
    <w:p>
      <w:pPr>
        <w:pStyle w:val="Normal"/>
        <w:ind w:firstLine="720" w:end="0"/>
        <w:jc w:val="both"/>
        <w:rPr/>
      </w:pPr>
      <w:r>
        <w:rPr>
          <w:sz w:val="22"/>
        </w:rPr>
        <w:tab/>
      </w:r>
      <w:r>
        <w:rPr>
          <w:b/>
          <w:sz w:val="22"/>
        </w:rPr>
        <w:t>(c)</w:t>
      </w:r>
      <w:r>
        <w:rPr>
          <w:sz w:val="22"/>
        </w:rPr>
        <w:tab/>
        <w:t>Simultaneously with the acquisition by TEH of the Membership Interests, ENA and TEH shall execute and deliver the First Amended and Restated Limited Liability Company Agreement of the LLC (the “</w:t>
      </w:r>
      <w:r>
        <w:rPr>
          <w:sz w:val="22"/>
          <w:u w:val="single"/>
        </w:rPr>
        <w:t>LLC Agreement</w:t>
      </w:r>
      <w:r>
        <w:rPr>
          <w:sz w:val="22"/>
        </w:rPr>
        <w:t>”).</w:t>
      </w:r>
    </w:p>
    <w:p>
      <w:pPr>
        <w:pStyle w:val="Normal"/>
        <w:ind w:firstLine="720" w:end="0"/>
        <w:jc w:val="both"/>
        <w:rPr>
          <w:sz w:val="22"/>
        </w:rPr>
      </w:pPr>
      <w:r>
        <w:rPr>
          <w:sz w:val="22"/>
        </w:rPr>
      </w:r>
    </w:p>
    <w:p>
      <w:pPr>
        <w:pStyle w:val="Normal"/>
        <w:ind w:firstLine="720" w:end="0"/>
        <w:jc w:val="both"/>
        <w:rPr/>
      </w:pPr>
      <w:r>
        <w:rPr>
          <w:sz w:val="22"/>
        </w:rPr>
        <w:tab/>
      </w:r>
      <w:r>
        <w:rPr>
          <w:b/>
          <w:sz w:val="22"/>
        </w:rPr>
        <w:t>(d)</w:t>
      </w:r>
      <w:r>
        <w:rPr>
          <w:sz w:val="22"/>
        </w:rPr>
        <w:tab/>
        <w:t xml:space="preserve">Simultaneously with the acquisition by TEH of Membership Interests, TEH shall extend a loan to the LLC in the amount of the Purchase Price, in consideration for the execution and delivery by the LLC of a promissory note payable to the order of TEH in the principal amount of the Purchase Price.  </w:t>
      </w:r>
    </w:p>
    <w:p>
      <w:pPr>
        <w:pStyle w:val="Normal"/>
        <w:ind w:firstLine="720" w:end="0"/>
        <w:jc w:val="both"/>
        <w:rPr>
          <w:sz w:val="22"/>
        </w:rPr>
      </w:pPr>
      <w:r>
        <w:rPr>
          <w:sz w:val="22"/>
        </w:rPr>
      </w:r>
    </w:p>
    <w:p>
      <w:pPr>
        <w:pStyle w:val="Normal"/>
        <w:ind w:firstLine="720" w:end="0"/>
        <w:jc w:val="both"/>
        <w:rPr/>
      </w:pPr>
      <w:r>
        <w:rPr>
          <w:sz w:val="22"/>
        </w:rPr>
        <w:tab/>
      </w:r>
      <w:r>
        <w:rPr>
          <w:b/>
          <w:sz w:val="22"/>
        </w:rPr>
        <w:t>(e)</w:t>
      </w:r>
      <w:r>
        <w:rPr>
          <w:sz w:val="22"/>
        </w:rPr>
        <w:tab/>
        <w:t xml:space="preserve">Immediately upon the LLC’s receipt of loan proceeds from TEH, each of ENA and TEH shall cause the LLC to repay in its entirety the demand promissory note previously issued by the LLC to ENA.  </w:t>
      </w:r>
    </w:p>
    <w:p>
      <w:pPr>
        <w:pStyle w:val="Normal"/>
        <w:ind w:firstLine="720" w:end="0"/>
        <w:jc w:val="both"/>
        <w:rPr>
          <w:sz w:val="22"/>
        </w:rPr>
      </w:pPr>
      <w:r>
        <w:rPr>
          <w:sz w:val="22"/>
        </w:rPr>
      </w:r>
    </w:p>
    <w:p>
      <w:pPr>
        <w:pStyle w:val="Normal"/>
        <w:ind w:firstLine="720" w:end="0"/>
        <w:jc w:val="both"/>
        <w:rPr/>
      </w:pPr>
      <w:r>
        <w:rPr>
          <w:b/>
          <w:sz w:val="22"/>
        </w:rPr>
        <w:t>3.</w:t>
        <w:tab/>
        <w:t xml:space="preserve">Additional Covenants and Agreements.  </w:t>
      </w:r>
      <w:r>
        <w:rPr>
          <w:sz w:val="22"/>
        </w:rPr>
        <w:t>Upon and subsequent to the closing of the Transaction, the parties covenant and agree as follows::</w:t>
      </w:r>
    </w:p>
    <w:p>
      <w:pPr>
        <w:pStyle w:val="Normal"/>
        <w:ind w:firstLine="720" w:end="0"/>
        <w:jc w:val="both"/>
        <w:rPr>
          <w:sz w:val="22"/>
        </w:rPr>
      </w:pPr>
      <w:r>
        <w:rPr>
          <w:sz w:val="22"/>
        </w:rPr>
      </w:r>
    </w:p>
    <w:p>
      <w:pPr>
        <w:pStyle w:val="Normal"/>
        <w:ind w:firstLine="720" w:end="0"/>
        <w:jc w:val="both"/>
        <w:rPr/>
      </w:pPr>
      <w:r>
        <w:rPr>
          <w:sz w:val="22"/>
        </w:rPr>
        <w:tab/>
      </w:r>
      <w:r>
        <w:rPr>
          <w:b/>
          <w:sz w:val="22"/>
        </w:rPr>
        <w:t>(a)</w:t>
      </w:r>
      <w:r>
        <w:rPr>
          <w:sz w:val="22"/>
        </w:rPr>
        <w:tab/>
        <w:t>ENA agrees to be responsible for, and to hold TEH and the LLC harmless from and against, payment of any and all amounts due and payable to the vendor of the Subject Unit (save and except any and all sales, transfer, use and other taxes which might arise in connection with the sale, transfer, assignment, ownership or operation  of the Subject Unit); provided that such amounts are not attributable to any acts or omissions of TEH, the LLC or their respective affiliates (other than ENA) after the date hereof, including, without limitation, any change orders affecting the Subject Unit, or any amendments, revisions, modifications or supplements to, or assignments or transfers of, the Facility Agreement or any of the foregoing actions with respect to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ind w:firstLine="720" w:end="0"/>
        <w:jc w:val="both"/>
        <w:rPr/>
      </w:pPr>
      <w:r>
        <w:rPr>
          <w:b/>
          <w:sz w:val="22"/>
        </w:rPr>
        <w:tab/>
        <w:t>(b)</w:t>
      </w:r>
      <w:r>
        <w:rPr>
          <w:sz w:val="22"/>
        </w:rPr>
        <w:tab/>
        <w:t>TEH agrees to be responsible for, and to hold ENA and the LLC harmless from and against, payment of (i) any and all amounts due and payable to the vendor of the Subject Unit attributable to any acts or omissions of TEH, the LLC or their respective affiliates (other than ENA) after the date hereof, including, without limitation, any change orders affecting the Subject Unit, or any amendments, revisions, modifications or supplements to, or assignments or transfers of, the Facility Agreement or any of the foregoing actions with respect to the Subject Unit,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ind w:firstLine="720" w:end="0"/>
        <w:jc w:val="both"/>
        <w:rPr/>
      </w:pPr>
      <w:r>
        <w:rPr>
          <w:sz w:val="22"/>
        </w:rPr>
        <w:tab/>
      </w:r>
      <w:r>
        <w:rPr>
          <w:b/>
          <w:sz w:val="22"/>
        </w:rPr>
        <w:t>(c)</w:t>
      </w:r>
      <w:r>
        <w:rPr>
          <w:sz w:val="22"/>
        </w:rPr>
        <w:tab/>
        <w:t>TEH shall have the right to purchase the remaining Membership Interests in the LLC owned by ENA for the sum of $200.00 (the “</w:t>
      </w:r>
      <w:r>
        <w:rPr>
          <w:sz w:val="22"/>
          <w:u w:val="single"/>
        </w:rPr>
        <w:t>Call Right</w:t>
      </w:r>
      <w:r>
        <w:rPr>
          <w:sz w:val="22"/>
        </w:rPr>
        <w:t>”) at any time following (i) the point at which the Subject Unit achieves Commercial Operation (as defined in the Facility Agreement), or (ii) the breach by any party to a contract relating to the Project in which the LLC has a direct or indirect interest.  In addition, if TEH fails to exercise its Call Right, ENA shall have the right to require TEH to purchase the remaining Membership Interests in the LLC owned by ENA for the sum of $200.00 (the “</w:t>
      </w:r>
      <w:r>
        <w:rPr>
          <w:sz w:val="22"/>
          <w:u w:val="single"/>
        </w:rPr>
        <w:t>Put Right</w:t>
      </w:r>
      <w:r>
        <w:rPr>
          <w:sz w:val="22"/>
        </w:rPr>
        <w:t>”) at any time following the point at which the Subject Unit achieves Commercial Operation (as defined in the Facility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ind w:firstLine="720" w:end="0"/>
        <w:jc w:val="both"/>
        <w:rPr>
          <w:sz w:val="22"/>
        </w:rPr>
      </w:pPr>
      <w:r>
        <w:rPr>
          <w:sz w:val="22"/>
        </w:rPr>
      </w:r>
    </w:p>
    <w:p>
      <w:pPr>
        <w:pStyle w:val="Normal"/>
        <w:ind w:firstLine="720" w:end="0"/>
        <w:jc w:val="both"/>
        <w:rPr/>
      </w:pPr>
      <w:r>
        <w:rPr>
          <w:sz w:val="22"/>
        </w:rPr>
        <w:tab/>
      </w:r>
      <w:r>
        <w:rPr>
          <w:b/>
          <w:sz w:val="22"/>
        </w:rPr>
        <w:t>(d)</w:t>
        <w:tab/>
      </w:r>
      <w:r>
        <w:rPr>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and (iii) TEH shall promptly pay ENA for any internal or third party costs it incurs or may incur with respect to any such assistance.</w:t>
      </w:r>
      <w:r>
        <w:rPr>
          <w:b/>
          <w:sz w:val="22"/>
        </w:rPr>
        <w:t xml:space="preserve">  </w:t>
      </w:r>
    </w:p>
    <w:p>
      <w:pPr>
        <w:pStyle w:val="Normal"/>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4.</w:t>
        <w:tab/>
        <w:t xml:space="preserve">Term.  </w:t>
      </w:r>
      <w:r>
        <w:rPr>
          <w:sz w:val="22"/>
        </w:rPr>
        <w:t>This Agreement shall remain in force and effect until December 31, 2004 (the “</w:t>
      </w:r>
      <w:r>
        <w:rPr>
          <w:sz w:val="22"/>
          <w:u w:val="single"/>
        </w:rPr>
        <w:t>Term</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5.</w:t>
      </w:r>
      <w:r>
        <w:rPr>
          <w:sz w:val="22"/>
        </w:rPr>
        <w:tab/>
      </w:r>
      <w:r>
        <w:rPr>
          <w:b/>
          <w:sz w:val="22"/>
        </w:rPr>
        <w:t xml:space="preserve">Confidentiality.  </w:t>
      </w:r>
      <w:r>
        <w:rPr>
          <w:sz w:val="22"/>
        </w:rPr>
        <w:t>For a period beginning on the date of this Agreement and ending two (2) years after the expiration of the Term hereof, no Party will disclose any confidential information furnished to it pursuant to this Agreement without the prior written consent of the other Party (other than to its employees, representatives, lenders, counsel, lender’s counsel and affiliates, if any, collectively, its “</w:t>
      </w:r>
      <w:r>
        <w:rPr>
          <w:sz w:val="22"/>
          <w:u w:val="single"/>
        </w:rPr>
        <w:t>representatives</w:t>
      </w:r>
      <w:r>
        <w:rPr>
          <w:sz w:val="22"/>
        </w:rPr>
        <w:t>”) which representatives agree to be bound by the terms hereof.  The term “</w:t>
      </w:r>
      <w:r>
        <w:rPr>
          <w:sz w:val="22"/>
          <w:u w:val="single"/>
        </w:rPr>
        <w:t>confidential information</w:t>
      </w:r>
      <w:r>
        <w:rPr>
          <w:sz w:val="22"/>
        </w:rPr>
        <w:t xml:space="preserve">”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w:t>
      </w:r>
      <w:r>
        <w:rPr>
          <w:b/>
          <w:sz w:val="22"/>
        </w:rPr>
        <w:t>[This Agreement incorporates herein by reference that certain Confidentiality Agreement entered into by the Parties on ___________, 2000, and the term thereunder shall be extended to conform with the Term of this Agreement and this Section 5.]</w:t>
      </w:r>
      <w:r>
        <w:rPr>
          <w:sz w:val="22"/>
        </w:rPr>
        <w:t xml:space="preserve">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ab/>
        <w:t>(a)</w:t>
        <w:tab/>
      </w:r>
      <w:r>
        <w:rPr>
          <w:sz w:val="22"/>
        </w:rPr>
        <w:t xml:space="preserve">Each Party hereby represents and warrants to the other Party that this Agreement (i) has been validly executed and delivered, (ii) has been duly authorized by all action necessary for the authorization hereof, and (iii) is the legal, valid and binding obligation of such Party, enforceable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(b)</w:t>
      </w:r>
      <w:r>
        <w:rPr>
          <w:sz w:val="22"/>
        </w:rPr>
        <w:tab/>
        <w:t xml:space="preserve">ENA specifically represents and warrants that (i) the Facility Agreement, when executed and delivered by the parties thereto, will constitute a valid and binding obligation upon both of the parties thereto; (ii) the copy of the Facility Agreement attached hereto as </w:t>
      </w:r>
      <w:r>
        <w:rPr>
          <w:sz w:val="22"/>
          <w:u w:val="single"/>
        </w:rPr>
        <w:t>Exhibit A</w:t>
      </w:r>
      <w:r>
        <w:rPr>
          <w:sz w:val="22"/>
        </w:rPr>
        <w:t xml:space="preserve"> is complete, true and correct in all respects, and as of the date of closing will not have been amended, revised, assigned, transferred, conveyed or otherwise modified; (iii) to the best of ENA’s knowledge, neither the LLC nor GE is in breach of any of the terms of the Facility Agreement, and ENA knows of no facts which, or which with the passage of time, may give rise to a breach of the Facility Agreement; (iv) no consents or other authorizations are required in order for ENA to effect the Transaction contemplated hereby; (v) consummation of the Transaction will not result in any material alteration of any of the obligations of the LLC or GE under the Facility Agreement to the detriment of the LLC; (vi) ENA shall not, by act or omission, cause, permit or bring about any breach of the Facility Agreement; (vii) following consummation of the Transaction, ENA agrees to (A) assist the LLC in enforcing any of the terms of the Facility Agreement, if necessary, and (B) deliver to TEH copies of all correspondence which it receives from any entity, including without limitation GE, in connection with the Subject Unit or the Facility Agreement; and (viii) the Membership Interests being issued by the LLC are free and clear of any and all liens and encumbrances and upon the payment thereof by TEH shall be fully paid and non-assessable.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(c)</w:t>
      </w:r>
      <w:r>
        <w:rPr>
          <w:sz w:val="22"/>
        </w:rPr>
        <w:tab/>
        <w:t>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w:t>
      </w:r>
      <w:r>
        <w:rPr>
          <w:sz w:val="22"/>
          <w:u w:val="single"/>
        </w:rPr>
        <w:t>Securities Act</w:t>
      </w:r>
      <w:r>
        <w:rPr>
          <w:sz w:val="22"/>
        </w:rPr>
        <w:t>”), (B) any state securities laws (the “</w:t>
      </w:r>
      <w:r>
        <w:rPr>
          <w:sz w:val="22"/>
          <w:u w:val="single"/>
        </w:rPr>
        <w:t>State Acts</w:t>
      </w:r>
      <w:r>
        <w:rPr>
          <w:sz w:val="22"/>
        </w:rPr>
        <w:t>”), or (C) the securities laws of any foreign jurisdiction (the “</w:t>
      </w:r>
      <w:r>
        <w:rPr>
          <w:sz w:val="22"/>
          <w:u w:val="single"/>
        </w:rPr>
        <w:t>Foreign Acts</w:t>
      </w:r>
      <w:r>
        <w:rPr>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Paragraph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7.</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8.</w:t>
      </w:r>
      <w:r>
        <w:rPr>
          <w:sz w:val="22"/>
        </w:rPr>
        <w:tab/>
      </w:r>
      <w:r>
        <w:rPr>
          <w:b/>
          <w:sz w:val="22"/>
        </w:rPr>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9.</w:t>
        <w:tab/>
        <w:t>Governing Law.</w:t>
      </w:r>
      <w:r>
        <w:rPr>
          <w:sz w:val="22"/>
        </w:rPr>
        <w:t xml:space="preserve">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10.</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rPr>
      </w:pPr>
      <w:r>
        <w:rPr>
          <w:rStyle w:val="1"/>
          <w:b/>
        </w:rPr>
        <w:t>11.</w:t>
        <w:tab/>
        <w:t>LIMITATION OF LIABILITY.  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sz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12.</w:t>
      </w:r>
      <w:r>
        <w:rPr>
          <w:sz w:val="22"/>
        </w:rPr>
        <w:tab/>
      </w:r>
      <w:r>
        <w:rPr>
          <w:b/>
          <w:sz w:val="22"/>
        </w:rPr>
        <w:t>Assignment.</w:t>
      </w:r>
      <w:r>
        <w:rPr>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obligations hereunder without the approval of the other to any subsidiary or affiliate of the assignor.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13.</w:t>
      </w:r>
      <w:r>
        <w:rPr>
          <w:sz w:val="22"/>
        </w:rPr>
        <w:tab/>
      </w:r>
      <w:r>
        <w:rPr>
          <w:b/>
          <w:sz w:val="22"/>
        </w:rPr>
        <w:t>Notices</w:t>
      </w:r>
      <w:r>
        <w:rPr>
          <w:sz w:val="22"/>
        </w:rPr>
        <w:t xml:space="preserve">.  All notices required or provided for in this Agreement shall be in writing and shall be delivered by hand or sent by registered or certified mail or facsimile transmission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 notice or communication delivered hereunder shall be deemed to have been given and received (a) on the date of receipt if delivered personally or by courier, (b) two (2) business days after posting if transmitted by mail, or (c) on the date of transmission if transmitted by telecopy, provided that the sender obtains confirmation of transmission.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ENRON NORTH AMERICA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Exhibit A - Facility Agreement</w:t>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12">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Houston-128541 v4</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Houston-128541 v4</w:t>
                    </w:r>
                    <w:r>
                      <w:rPr/>
                      <w:fldChar w:fldCharType="end"/>
                    </w:r>
                  </w:p>
                </w:txbxContent>
              </v:textbox>
              <w10:wrap type="none"/>
            </v:rect>
          </w:pict>
        </mc:Fallback>
      </mc:AlternateContent>
    </w:r>
  </w:p>
  <w:p>
    <w:pPr>
      <w:pStyle w:val="Normal"/>
      <w:spacing w:lineRule="exact" w:line="240"/>
      <w:rPr/>
    </w:pPr>
    <w:r>
      <w:rPr/>
    </w:r>
  </w:p>
  <w:p>
    <w:pPr>
      <w:pStyle w:val="Normal"/>
      <w:spacing w:lineRule="exact" w:line="240"/>
      <w:rPr/>
    </w:pPr>
    <w:r>
      <w:rPr/>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7">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Houston-128541 v4</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Houston-128541 v4</w:t>
                    </w:r>
                    <w:r>
                      <w:rPr/>
                      <w:fldChar w:fldCharType="end"/>
                    </w:r>
                  </w:p>
                </w:txbxContent>
              </v:textbox>
              <w10:wrap type="none"/>
            </v:rect>
          </w:pict>
        </mc:Fallback>
      </mc:AlternateConten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pPr>
    <w:r>
      <w:rPr>
        <w:sz w:val="22"/>
      </w:rPr>
      <w:t>Tejas Energy N S Holding, LLC</w:t>
    </w:r>
    <w:r>
      <w:rPr>
        <w:b/>
        <w:sz w:val="22"/>
      </w:rPr>
      <w:tab/>
      <w:tab/>
      <w:t xml:space="preserve">                                                        DRAFT : 11/30/00</w:t>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December ___, 2000</w:t>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ab/>
      <w:t xml:space="preserve">                                                                                                                            DRAFT: 11/30/00</w:t>
    </w:r>
  </w:p>
  <w:p>
    <w:pPr>
      <w:pStyle w:val="Header"/>
      <w:jc w:val="end"/>
      <w:rPr>
        <w:b/>
      </w:rPr>
    </w:pPr>
    <w:r>
      <w:rPr>
        <w:b/>
      </w:rPr>
      <w:t>FOR DISCUSSION</w:t>
    </w:r>
  </w:p>
  <w:p>
    <w:pPr>
      <w:pStyle w:val="Header"/>
      <w:jc w:val="end"/>
      <w:rPr/>
    </w:pPr>
    <w:r>
      <w:rPr>
        <w:b/>
      </w:rPr>
      <w:t>PURPOSES ONLY</w:t>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2000-12-01T12:34:00Z</dcterms:created>
  <dc:creator>Carolyn Campbell</dc:creator>
  <dc:description>Houston-128541 v4</dc:description>
  <dc:language>en-CA</dc:language>
  <cp:lastModifiedBy>Carolyn Campbell</cp:lastModifiedBy>
  <cp:lastPrinted>2000-12-01T09:12:00Z</cp:lastPrinted>
  <dcterms:modified xsi:type="dcterms:W3CDTF">2000-12-01T12:54:00Z</dcterms:modified>
  <cp:revision>5</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