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 xml:space="preserve">CA Energy Development </w:t>
      </w:r>
      <w:r>
        <w:rPr>
          <w:b/>
          <w:strike/>
        </w:rPr>
        <w:t>I</w:t>
      </w:r>
      <w:r>
        <w:rPr>
          <w:b/>
        </w:rPr>
        <w:t xml:space="preserve"> </w:t>
      </w:r>
      <w:r>
        <w:rPr>
          <w:b/>
          <w:u w:val="double"/>
        </w:rPr>
        <w:t>II</w:t>
      </w:r>
      <w:r>
        <w:rPr>
          <w:b/>
        </w:rPr>
        <w:t>,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 xml:space="preserve">CA Energy Development </w:t>
      </w:r>
      <w:r>
        <w:rPr>
          <w:b/>
          <w:strike/>
        </w:rPr>
        <w:t>I</w:t>
      </w:r>
      <w:r>
        <w:rPr>
          <w:b/>
        </w:rPr>
        <w:t xml:space="preserve"> </w:t>
      </w:r>
      <w:r>
        <w:rPr>
          <w:b/>
          <w:u w:val="double"/>
        </w:rPr>
        <w:t>II</w:t>
      </w:r>
      <w:r>
        <w:rPr>
          <w:b/>
        </w:rPr>
        <w:t>,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xml:space="preserve">”), and Tejas Energy </w:t>
      </w:r>
      <w:r>
        <w:rPr>
          <w:strike/>
        </w:rPr>
        <w:t>N S</w:t>
      </w:r>
      <w:r>
        <w:rPr/>
        <w:t xml:space="preserve"> </w:t>
      </w:r>
      <w:r>
        <w:rPr>
          <w:b/>
          <w:u w:val="double"/>
        </w:rPr>
        <w:t>NS</w:t>
      </w:r>
      <w:r>
        <w:rPr/>
        <w:t xml:space="preserve"> Holding, LLC, a Delaware limited liability company (“</w:t>
      </w:r>
      <w:r>
        <w:rPr>
          <w:u w:val="single"/>
        </w:rPr>
        <w:t>TEH</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WHEREAS, ENA executed the Company’s Limited Liability Company Agreement dated as of November 30,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TEH has become a Member of the Company, and ENA and TEH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xml:space="preserve">.    The Company was formed as CA Energy Development </w:t>
      </w:r>
      <w:r>
        <w:rPr>
          <w:strike/>
        </w:rPr>
        <w:t>I</w:t>
      </w:r>
      <w:r>
        <w:rPr/>
        <w:t xml:space="preserve"> </w:t>
      </w:r>
      <w:r>
        <w:rPr>
          <w:b/>
          <w:u w:val="double"/>
        </w:rPr>
        <w:t>II</w:t>
      </w:r>
      <w:r>
        <w:rPr/>
        <w:t>, LLC on November 30,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The term of the Company commenced on November 30,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w:t>
      </w:r>
      <w:r>
        <w:rPr>
          <w:b/>
          <w:u w:val="double"/>
        </w:rPr>
        <w:t>, including the Subject Transformer,</w:t>
      </w:r>
      <w:r>
        <w:rPr/>
        <w:t xml:space="preserve">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xml:space="preserve">.    The name of the Company is CA Energy Development </w:t>
      </w:r>
      <w:r>
        <w:rPr>
          <w:strike/>
        </w:rPr>
        <w:t>I</w:t>
      </w:r>
      <w:r>
        <w:rPr/>
        <w:t xml:space="preserve"> </w:t>
      </w:r>
      <w:r>
        <w:rPr>
          <w:b/>
          <w:u w:val="double"/>
        </w:rPr>
        <w:t>II</w:t>
      </w:r>
      <w:r>
        <w:rPr/>
        <w:t>,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1440"/>
        <w:jc w:val="start"/>
        <w:rPr/>
      </w:pPr>
      <w:r>
        <w:rPr>
          <w:b/>
          <w:u w:val="double"/>
        </w:rPr>
        <w:t>3.1.6.    Right to Purchase Transformer.    In exchange for consideration in the amount of Six Hundred Six Thousand Four Hundred and No/100 Dollars ($606,400.00), the Company intends to acquire, pursuant to an agreement to be executed by and between the Company and ABB, rights and obligations associated with the purchase of one generator step-up (13.8kV x 115kV/230kV) transformer identified as LNL-9517-4 (the “Subject Transformer’) from ABB.</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has been duly executed and delivered by TEH and constitutes the legal,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TEH are Tom Seigler, Don Whaley, and __________________, and the initial Director designated by ENA is Ben F. Jacoby.</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the conduct of any business by the Company other than that associated with the acquisition, ownership, operation, administration, maintenance, modification, financing, mortgage, pledge, encumbrance, lease or disposition of, or other dealing with, the Subject Unit and/or associated equipment</w:t>
      </w:r>
      <w:r>
        <w:rPr>
          <w:b/>
          <w:u w:val="double"/>
        </w:rPr>
        <w:t>, including the Subject Transformer</w:t>
      </w:r>
      <w:r>
        <w:rPr/>
        <w: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xml:space="preserve">”).    The Restriction does not limit any Transfer of any or all of the ownership interests in a Member, and does not prohibit any merger or other business combination transaction affecting a Member, whether or not the Member is the surviving entity in such merger or transaction.    For the avoidance of any doubt, no Transfer by ENA shall operate to release ENA from its obligations under Section 6.2.    </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TEH or the Put Rights of ENA; </w:t>
      </w:r>
    </w:p>
    <w:p>
      <w:pPr>
        <w:pStyle w:val="Normal"/>
        <w:widowControl w:val="false"/>
        <w:suppressAutoHyphens w:val="true"/>
        <w:bidi w:val="0"/>
        <w:jc w:val="start"/>
        <w:rPr/>
      </w:pPr>
      <w:r>
        <w:rPr/>
      </w:r>
    </w:p>
    <w:p>
      <w:pPr>
        <w:pStyle w:val="Normal"/>
        <w:bidi w:val="0"/>
        <w:ind w:firstLine="2160"/>
        <w:jc w:val="start"/>
        <w:rPr/>
      </w:pPr>
      <w:r>
        <w:rPr/>
        <w:t>(ii)</w:t>
        <w:tab/>
        <w:t>is to an Affiliate of the transferring Member;</w:t>
      </w:r>
    </w:p>
    <w:p>
      <w:pPr>
        <w:pStyle w:val="Normal"/>
        <w:widowControl w:val="false"/>
        <w:suppressAutoHyphens w:val="true"/>
        <w:bidi w:val="0"/>
        <w:jc w:val="start"/>
        <w:rPr/>
      </w:pPr>
      <w:r>
        <w:rPr/>
      </w:r>
    </w:p>
    <w:p>
      <w:pPr>
        <w:pStyle w:val="Normal"/>
        <w:bidi w:val="0"/>
        <w:ind w:firstLine="2160"/>
        <w:jc w:val="start"/>
        <w:rPr/>
      </w:pPr>
      <w:r>
        <w:rPr/>
        <w:t>(iii)</w:t>
        <w:tab/>
        <w:t>is by TEH to any financial institution providing debt financing to the Company; provided that such financial institution may not further Transfer such Membership Interest without the consent of the other Member, which consent shall not be unreasonably withheld; or</w:t>
      </w:r>
    </w:p>
    <w:p>
      <w:pPr>
        <w:pStyle w:val="Normal"/>
        <w:widowControl w:val="false"/>
        <w:suppressAutoHyphens w:val="true"/>
        <w:bidi w:val="0"/>
        <w:jc w:val="start"/>
        <w:rPr/>
      </w:pPr>
      <w:r>
        <w:rPr/>
      </w:r>
    </w:p>
    <w:p>
      <w:pPr>
        <w:pStyle w:val="Normal"/>
        <w:bidi w:val="0"/>
        <w:ind w:firstLine="2160"/>
        <w:jc w:val="start"/>
        <w:rPr/>
      </w:pPr>
      <w:r>
        <w:rPr/>
        <w:t>(iv)</w:t>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TEH shall have the right in its sole discretion to purchase the ENA Interest (the “</w:t>
      </w:r>
      <w:r>
        <w:rPr>
          <w:u w:val="single"/>
        </w:rPr>
        <w:t>Call Right</w:t>
      </w:r>
      <w:r>
        <w:rPr/>
        <w:t>”) at any time following (i) the point at which the Subject Unit achieves Commercial Operation (as defined in the Facility Agreement) or (ii) the breach of the Facility Agreement by any party thereto.    Notwithstanding the foregoing, if neither of the events referenced in the preceding sentence has occurred, TEH may exercise its Call Right (i) at any time, provided that, unless TEH waives such requirement, GE acknowledges and confirms to TEH that such exercise and transfer of the ENA Interest to TEH will not in any manner prejudice the Company’s rights and interests under the Facility Agreement, [or (ii) at any time on or after June 1, 2003].    The price to be paid by TEH for the ENA Interest at the Call Closing following exercise of the Call Right by TEH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the ENA Interest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TEH to purchase the ENA Interest (the “</w:t>
      </w:r>
      <w:r>
        <w:rPr>
          <w:u w:val="single"/>
        </w:rPr>
        <w:t>Put Right</w:t>
      </w:r>
      <w:r>
        <w:rPr/>
        <w:t>”) at any time following the point at which the Subject Unit achieves Commercial Operation (as defined in the Facility Agreement).    Notwithstanding the foregoing, if the event referenced in the preceding sentence has not occurred, ENA may exercise its Put Right (i) at any time, provided that, unless TEH waives such requirement, GE acknowledges and confirms to TEH that such exercise and transfer of the ENA Interest to TEH will not in any manner prejudice the Company’s rights and interests under the Facility Agreement, [or (ii) at any time on or after June 1, 2003].    The price to be paid by TEH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pPr>
      <w:r>
        <w:rPr/>
        <w:t>(e)</w:t>
        <w:tab/>
        <w:t>At the Call Closing or Put Closing, ENA will (1) deliver to TEH all certificates, if any, representing the ENA Interest and an assignment of the ENA Interest to TEH (in form reasonably acceptable to TEH) duly executed by ENA and any other then owner of the ENA Interest, and (2) make the following representations and warranties:</w:t>
      </w:r>
    </w:p>
    <w:p>
      <w:pPr>
        <w:pStyle w:val="Normal"/>
        <w:bidi w:val="0"/>
        <w:ind w:firstLine="1440"/>
        <w:jc w:val="start"/>
        <w:rPr/>
      </w:pPr>
      <w:r>
        <w:rPr/>
      </w:r>
    </w:p>
    <w:p>
      <w:pPr>
        <w:pStyle w:val="Normal"/>
        <w:bidi w:val="0"/>
        <w:ind w:firstLine="720" w:start="720"/>
        <w:jc w:val="start"/>
        <w:rPr/>
      </w:pPr>
      <w:r>
        <w:rPr/>
        <w:t>(i)</w:t>
        <w:tab/>
        <w:t>The ENA Interest is validly issued, fully paid and nonassessable and was not issued in violation of the preemptive rights of any Person.</w:t>
      </w:r>
    </w:p>
    <w:p>
      <w:pPr>
        <w:pStyle w:val="Normal"/>
        <w:bidi w:val="0"/>
        <w:ind w:firstLine="720" w:start="720"/>
        <w:jc w:val="start"/>
        <w:rPr/>
      </w:pPr>
      <w:r>
        <w:rPr/>
      </w:r>
    </w:p>
    <w:p>
      <w:pPr>
        <w:pStyle w:val="Normal"/>
        <w:bidi w:val="0"/>
        <w:ind w:firstLine="720" w:start="720"/>
        <w:jc w:val="start"/>
        <w:rPr/>
      </w:pPr>
      <w:r>
        <w:rPr/>
        <w:t>(ii)</w:t>
        <w:tab/>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pPr>
      <w:r>
        <w:rPr/>
      </w:r>
    </w:p>
    <w:p>
      <w:pPr>
        <w:pStyle w:val="Normal"/>
        <w:bidi w:val="0"/>
        <w:ind w:firstLine="720" w:start="720"/>
        <w:jc w:val="start"/>
        <w:rPr/>
      </w:pPr>
      <w:r>
        <w:rPr/>
        <w:t>(iii)</w:t>
        <w:tab/>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pPr>
      <w:r>
        <w:rPr/>
      </w:r>
    </w:p>
    <w:p>
      <w:pPr>
        <w:pStyle w:val="Normal"/>
        <w:bidi w:val="0"/>
        <w:ind w:firstLine="720" w:start="720"/>
        <w:jc w:val="start"/>
        <w:rPr/>
      </w:pPr>
      <w:r>
        <w:rPr/>
        <w:t>(iv)</w:t>
        <w:tab/>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pPr>
      <w:r>
        <w:rPr/>
      </w:r>
    </w:p>
    <w:p>
      <w:pPr>
        <w:pStyle w:val="Normal"/>
        <w:bidi w:val="0"/>
        <w:ind w:firstLine="720" w:start="720"/>
        <w:jc w:val="start"/>
        <w:rPr/>
      </w:pPr>
      <w:r>
        <w:rPr/>
        <w:t>(v)</w:t>
        <w:tab/>
        <w:t>There is no action, suit, proceeding, governmental investigation, governmental notice of violation, governmental inquiry or any arbitration proceeding pending, or to the knowledge of ENA threatened, relating to the ENA Interest.</w:t>
      </w:r>
    </w:p>
    <w:p>
      <w:pPr>
        <w:pStyle w:val="Normal"/>
        <w:bidi w:val="0"/>
        <w:ind w:firstLine="1440"/>
        <w:jc w:val="start"/>
        <w:rPr/>
      </w:pPr>
      <w:r>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 xml:space="preserve">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w:t>
      </w:r>
      <w:r>
        <w:rPr>
          <w:strike/>
        </w:rPr>
        <w:t>Agreement</w:t>
      </w:r>
      <w:r>
        <w:rPr/>
        <w:t xml:space="preserve"> </w:t>
      </w:r>
      <w:r>
        <w:rPr>
          <w:b/>
          <w:u w:val="double"/>
        </w:rPr>
        <w:t>Agreements</w:t>
      </w:r>
      <w:r>
        <w:rPr/>
        <w: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TEH, to:</w:t>
      </w:r>
    </w:p>
    <w:p>
      <w:pPr>
        <w:pStyle w:val="Normal"/>
        <w:keepNext w:val="true"/>
        <w:bidi w:val="0"/>
        <w:jc w:val="start"/>
        <w:rPr/>
      </w:pPr>
      <w:r>
        <w:rPr/>
      </w:r>
    </w:p>
    <w:p>
      <w:pPr>
        <w:pStyle w:val="Normal"/>
        <w:keepNext w:val="true"/>
        <w:bidi w:val="0"/>
        <w:ind w:firstLine="2160"/>
        <w:jc w:val="start"/>
        <w:rPr/>
      </w:pPr>
      <w:r>
        <w:rPr/>
        <w:t xml:space="preserve">Tejas Energy </w:t>
      </w:r>
      <w:r>
        <w:rPr>
          <w:strike/>
        </w:rPr>
        <w:t>N S</w:t>
      </w:r>
      <w:r>
        <w:rPr/>
        <w:t xml:space="preserve"> </w:t>
      </w:r>
      <w:r>
        <w:rPr>
          <w:b/>
          <w:u w:val="double"/>
        </w:rPr>
        <w:t>NS</w:t>
      </w:r>
      <w:r>
        <w:rPr/>
        <w:t xml:space="preserve"> Holding, LLC</w:t>
      </w:r>
    </w:p>
    <w:p>
      <w:pPr>
        <w:pStyle w:val="Normal"/>
        <w:keepNext w:val="true"/>
        <w:bidi w:val="0"/>
        <w:ind w:firstLine="2160"/>
        <w:jc w:val="start"/>
        <w:rPr/>
      </w:pPr>
      <w:r>
        <w:rPr/>
        <w:t>c/o Coral Power, L.L.C.</w:t>
      </w:r>
    </w:p>
    <w:p>
      <w:pPr>
        <w:pStyle w:val="Normal"/>
        <w:keepNext w:val="true"/>
        <w:bidi w:val="0"/>
        <w:ind w:firstLine="2160"/>
        <w:jc w:val="start"/>
        <w:rPr/>
      </w:pPr>
      <w:r>
        <w:rPr/>
        <w:t>909 Fannin, Suite 700</w:t>
      </w:r>
    </w:p>
    <w:p>
      <w:pPr>
        <w:pStyle w:val="Normal"/>
        <w:keepNext w:val="true"/>
        <w:bidi w:val="0"/>
        <w:ind w:firstLine="2160"/>
        <w:jc w:val="start"/>
        <w:rPr/>
      </w:pPr>
      <w:r>
        <w:rPr/>
        <w:t>Houston, Texas    77010</w:t>
      </w:r>
    </w:p>
    <w:p>
      <w:pPr>
        <w:pStyle w:val="Normal"/>
        <w:keepNext w:val="true"/>
        <w:bidi w:val="0"/>
        <w:ind w:firstLine="2160"/>
        <w:jc w:val="start"/>
        <w:rPr/>
      </w:pPr>
      <w:r>
        <w:rPr/>
        <w:t>Attn:    Mr. Tom Seigler</w:t>
      </w:r>
    </w:p>
    <w:p>
      <w:pPr>
        <w:pStyle w:val="Normal"/>
        <w:keepNext w:val="true"/>
        <w:bidi w:val="0"/>
        <w:ind w:firstLine="2160"/>
        <w:jc w:val="start"/>
        <w:rPr/>
      </w:pPr>
      <w:r>
        <w:rPr/>
        <w:t>Telecopy:    713-265-5672</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Telecopy:    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xml:space="preserve">.    The provisions of this Agreement and the Letter </w:t>
      </w:r>
      <w:r>
        <w:rPr>
          <w:strike/>
        </w:rPr>
        <w:t>Agreement</w:t>
      </w:r>
      <w:r>
        <w:rPr/>
        <w:t xml:space="preserve"> </w:t>
      </w:r>
      <w:r>
        <w:rPr>
          <w:b/>
          <w:u w:val="double"/>
        </w:rPr>
        <w:t>Agreements</w:t>
      </w:r>
      <w:r>
        <w:rPr/>
        <w:t xml:space="preserve">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w:t>
      </w:r>
      <w:r>
        <w:rPr>
          <w:strike/>
        </w:rPr>
        <w:t>Agreement</w:t>
      </w:r>
      <w:r>
        <w:rPr/>
        <w:t xml:space="preserve"> </w:t>
      </w:r>
      <w:r>
        <w:rPr>
          <w:b/>
          <w:u w:val="double"/>
        </w:rPr>
        <w:t>Agreements</w:t>
      </w:r>
      <w:r>
        <w:rPr/>
        <w: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 xml:space="preserve">TEJAS ENERGY </w:t>
      </w:r>
      <w:r>
        <w:rPr>
          <w:b/>
          <w:strike/>
        </w:rPr>
        <w:t>N S</w:t>
      </w:r>
      <w:r>
        <w:rPr>
          <w:b/>
        </w:rPr>
        <w:t xml:space="preserve"> </w:t>
      </w:r>
      <w:r>
        <w:rPr>
          <w:b/>
          <w:u w:val="double"/>
        </w:rPr>
        <w:t>NS</w:t>
      </w:r>
      <w:r>
        <w:rPr>
          <w:b/>
        </w:rPr>
        <w:t xml:space="preserve"> HOLDING,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b/>
          <w:u w:val="double"/>
        </w:rPr>
        <w:t>“</w:t>
      </w:r>
      <w:r>
        <w:rPr>
          <w:b/>
          <w:u w:val="double"/>
        </w:rPr>
        <w:t>ABB” means ABB Power T&amp;D Company.</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means the certificate of formation of the Company, filed with the Secretary of State of the State of Delaware on November 30,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 as of the date of this Agreement, constitutes all equity of the Company which is not owned of record by TEH,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widowControl w:val="false"/>
        <w:suppressAutoHyphens w:val="true"/>
        <w:bidi w:val="0"/>
        <w:jc w:val="start"/>
        <w:rPr/>
      </w:pPr>
      <w:r>
        <w:rPr/>
      </w:r>
    </w:p>
    <w:p>
      <w:pPr>
        <w:pStyle w:val="Normal"/>
        <w:bidi w:val="0"/>
        <w:ind w:firstLine="1440"/>
        <w:jc w:val="start"/>
        <w:rPr/>
      </w:pPr>
      <w:r>
        <w:rPr/>
        <w:t>“</w:t>
      </w:r>
      <w:r>
        <w:rPr>
          <w:u w:val="single"/>
        </w:rPr>
        <w:t xml:space="preserve">Letter </w:t>
      </w:r>
      <w:r>
        <w:rPr>
          <w:strike/>
          <w:u w:val="single"/>
        </w:rPr>
        <w:t>Agreement”</w:t>
      </w:r>
      <w:r>
        <w:rPr>
          <w:b/>
          <w:u w:val="double"/>
        </w:rPr>
        <w:t>Agreements”</w:t>
      </w:r>
      <w:r>
        <w:rPr/>
        <w:t xml:space="preserve"> means </w:t>
      </w:r>
      <w:r>
        <w:rPr>
          <w:b/>
          <w:u w:val="double"/>
        </w:rPr>
        <w:t>(i)</w:t>
      </w:r>
      <w:r>
        <w:rPr/>
        <w:t xml:space="preserve"> that certain letter agreement of even date herewith between ENA and TEH relating to the Subject Unit and the transaction evidenced by this Agreement</w:t>
      </w:r>
      <w:r>
        <w:rPr>
          <w:b/>
          <w:u w:val="double"/>
        </w:rPr>
        <w:t>, and (ii) that certain letter agreement of even date herewith between ENA and TEH relating to the Subject Transformer</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TEH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b/>
          <w:u w:val="double"/>
        </w:rPr>
        <w:t>“</w:t>
      </w:r>
      <w:r>
        <w:rPr>
          <w:b/>
          <w:u w:val="double"/>
        </w:rPr>
        <w:t>Subject Transformer” is defined in Section 3.1.6.</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TEH</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TEH Confidential Information</w:t>
      </w:r>
      <w:r>
        <w:rPr/>
        <w:t>” shall mean any and all information, including trade secrets and know-how proprietary to TEH or the Company, that is disclosed to ENA by TEH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hanging="720" w:start="2160"/>
        <w:jc w:val="start"/>
        <w:rPr/>
      </w:pPr>
      <w:r>
        <w:rPr>
          <w:b/>
          <w:u w:val="double"/>
        </w:rPr>
        <w:t>(g)</w:t>
      </w:r>
      <w:r>
        <w:rPr/>
        <w:tab/>
      </w:r>
      <w:r>
        <w:rPr>
          <w:b/>
          <w:u w:val="double"/>
        </w:rPr>
        <w:t>Disclosures of Confidential Information by a Member to ABB in connection with the performance of or compliance with a breakout contract known as a facility agreement to be executed by and between the Company and ABB or the obtaining of any consent, acknowledgement or confirmation from ABB relating to same.</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7">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8">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3">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100">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5">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12-11-2000</w:t>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11809</Words>
  <CharactersWithSpaces>67312</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2000-12-11T11:10:00Z</dcterms:created>
  <dc:creator>Carolyn Campbell</dc:creator>
  <dc:description/>
  <dc:language>en-CA</dc:language>
  <cp:lastModifiedBy/>
  <cp:lastPrinted>2000-12-08T14:27:00Z</cp:lastPrinted>
  <dcterms:modified xsi:type="dcterms:W3CDTF">2000-12-11T11:49:00Z</dcterms:modified>
  <cp:revision>5</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