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CA Energy Development I,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is made and entered into as of the ___ day of December, 2000, by and between Enron North America Corp., a Delaware corporation (“</w:t>
      </w:r>
      <w:r>
        <w:rPr>
          <w:u w:val="single"/>
        </w:rPr>
        <w:t>ENA</w:t>
      </w:r>
      <w:r>
        <w:rPr/>
        <w:t>”), and Tejas Energy N S Holding, LLC, a Delaware limited liability company (“</w:t>
      </w:r>
      <w:r>
        <w:rPr>
          <w:u w:val="single"/>
        </w:rPr>
        <w:t>TEH</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rPr/>
      </w:pPr>
      <w:r>
        <w:rPr/>
        <w:t>WHEREAS, ENA executed the Company’s Limited Liability Company Agreement dated as of November ___, 2000 (the “</w:t>
      </w:r>
      <w:r>
        <w:rPr>
          <w:u w:val="single"/>
        </w:rPr>
        <w:t>Prior Agreement</w:t>
      </w:r>
      <w:r>
        <w:rPr/>
        <w:t>”);</w:t>
      </w:r>
    </w:p>
    <w:p>
      <w:pPr>
        <w:pStyle w:val="Normal"/>
        <w:widowControl/>
        <w:rPr/>
      </w:pPr>
      <w:r>
        <w:rPr/>
      </w:r>
    </w:p>
    <w:p>
      <w:pPr>
        <w:pStyle w:val="Normal"/>
        <w:widowControl/>
        <w:ind w:firstLine="720" w:end="0"/>
        <w:rPr/>
      </w:pPr>
      <w:r>
        <w:rPr/>
        <w:t>WHEREAS, TEH has become a Member of the Company, and ENA and TEH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rPr/>
      </w:pPr>
      <w:r>
        <w:rPr/>
        <w:t>2.1</w:t>
        <w:tab/>
      </w:r>
      <w:r>
        <w:rPr>
          <w:u w:val="single"/>
        </w:rPr>
        <w:t>Formation; Term</w:t>
      </w:r>
      <w:r>
        <w:rPr/>
        <w:t>.  The Company was formed as CA Energy Development I, LLC on November ____,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November ____, 2000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The purpose of the Company shall be to purchase turbine generators and associated equipment and contribute such turbine generators and associated equipment to obtain a capital interest in (a) an entity that is engaged in the business of designing, constructing, owning and operating an electric generating facility in the continental United States (such facility, the “</w:t>
      </w:r>
      <w:r>
        <w:rPr>
          <w:u w:val="single"/>
        </w:rPr>
        <w:t>Project</w:t>
      </w:r>
      <w:r>
        <w:rPr/>
        <w:t>”), or (b) the Project, 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The name of the Company is CA Energy Development I, 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12:01 A.M., Eastern Time, on December ____, 2000.  The authority of the Board and the Members under the governance provisions hereof take effect on such date. </w:t>
      </w:r>
    </w:p>
    <w:p>
      <w:pPr>
        <w:pStyle w:val="Normal"/>
        <w:widowControl/>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TEH to enter into this Agreement, ENA represents, warrants, covenants and agrees with TEH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is a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rPr>
          <w:b/>
        </w:rPr>
      </w:pPr>
      <w:r>
        <w:rPr>
          <w:b/>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The Company has acquired, pursuant to an agreement of even date herewith between the Company and GE Packaged Power, Inc. (the “</w:t>
      </w:r>
      <w:r>
        <w:rPr>
          <w:u w:val="single"/>
        </w:rPr>
        <w:t>Facility Agreement</w:t>
      </w:r>
      <w:r>
        <w:rPr/>
        <w:t>”), rights and obligations associated with the purchase of one LM6000 enhanced SPRINT dual-fuel combustion turbine generator set (the “</w:t>
      </w:r>
      <w:r>
        <w:rPr>
          <w:u w:val="single"/>
        </w:rPr>
        <w:t>Subject Unit</w:t>
      </w:r>
      <w:r>
        <w:rPr/>
        <w:t>”) from GE Packaged Power, Inc.</w:t>
      </w:r>
    </w:p>
    <w:p>
      <w:pPr>
        <w:pStyle w:val="Normal"/>
        <w:widowControl/>
        <w:rPr/>
      </w:pPr>
      <w:r>
        <w:rPr/>
      </w:r>
    </w:p>
    <w:p>
      <w:pPr>
        <w:pStyle w:val="Normal"/>
        <w:widowControl/>
        <w:ind w:firstLine="720" w:end="0"/>
        <w:rPr/>
      </w:pPr>
      <w:r>
        <w:rPr/>
        <w:t>3.2</w:t>
        <w:tab/>
      </w:r>
      <w:r>
        <w:rPr>
          <w:u w:val="single"/>
        </w:rPr>
        <w:t>Representations and Warranties of TEH</w:t>
      </w:r>
      <w:r>
        <w:rPr/>
        <w:t>.  In order to induce ENA to enter into this Agreement, TEH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TEH is a limited liability company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TEH has full corporate power and authority to enter into and perform this Agreement.  The Board of Directors of TEH has taken all actions required by law, TEH’s Certificate of Formation, its Limited Liability Company Agreement or otherwise to be taken to authorize the execution, delivery and performance of this Agreement by TEH, and this Agreement is a valid and binding agreement of TEH,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TEH will violate any provision of the Certificate of Formation or Limited Liability Company Agreement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TEH, including, without limitation, consents from parties to loans, contracts, leases or other agreements, except such as have been obtained.</w:t>
      </w:r>
    </w:p>
    <w:p>
      <w:pPr>
        <w:pStyle w:val="Normal"/>
        <w:widowControl/>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TEH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TEH are __________________, __________________, and __________________, and the initial Director designated by ENA is __________________.</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and each Member shall require the Directors appointed by it to discuss in good faith any topic brought to the attention of the Board by either Member.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together with an opportunity to discuss the matter, is provided to each Director not less than three (3) Business Days before the action is taken.  The dispute resolution procedures of Section 10 hereof do not apply to Board decisions.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conduct of any business other than that associated with the acquisition, ownership, operation, administration and disposition of the Subject Unit;</w:t>
      </w:r>
    </w:p>
    <w:p>
      <w:pPr>
        <w:pStyle w:val="Normal"/>
        <w:widowControl/>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w:t>
      </w:r>
    </w:p>
    <w:p>
      <w:pPr>
        <w:pStyle w:val="Normal"/>
        <w:widowControl/>
        <w:rPr/>
      </w:pPr>
      <w:r>
        <w:rPr/>
      </w:r>
    </w:p>
    <w:p>
      <w:pPr>
        <w:pStyle w:val="Normal"/>
        <w:widowControl/>
        <w:ind w:firstLine="1440" w:end="0"/>
        <w:rPr/>
      </w:pPr>
      <w:r>
        <w:rPr/>
        <w:t>(d)</w:t>
        <w:tab/>
        <w:t>the approval of any amendments, modifications or supplements to, or transfers or assignments of, the Facility Agreement; or</w:t>
      </w:r>
    </w:p>
    <w:p>
      <w:pPr>
        <w:pStyle w:val="Normal"/>
        <w:widowControl/>
        <w:rPr/>
      </w:pPr>
      <w:r>
        <w:rPr/>
      </w:r>
    </w:p>
    <w:p>
      <w:pPr>
        <w:pStyle w:val="Normal"/>
        <w:widowControl/>
        <w:ind w:firstLine="1440" w:end="0"/>
        <w:rPr/>
      </w:pPr>
      <w:r>
        <w:rPr/>
        <w:t>(e)</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TEH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Certain Reimbursements and Certain Expenses Paid by the Company</w:t>
      </w:r>
      <w:r>
        <w:rPr/>
        <w:t>.  The Members will be reimbursed for the costs of incentive compensation plans, if any, that are approved by the Board for Members’ employees whose jobs principally benefit the Company.</w:t>
      </w:r>
    </w:p>
    <w:p>
      <w:pPr>
        <w:pStyle w:val="Normal"/>
        <w:widowControl/>
        <w:rPr/>
      </w:pPr>
      <w:r>
        <w:rPr/>
      </w:r>
    </w:p>
    <w:p>
      <w:pPr>
        <w:pStyle w:val="Normal"/>
        <w:widowControl/>
        <w:ind w:firstLine="720" w:end="0"/>
        <w:rPr/>
      </w:pPr>
      <w:r>
        <w:rPr/>
        <w:t>4.11</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TEH has contributed cash in the amount of Eight Hundred and No/100 Dollars ($800.00) to the capital of the Company.  The Members acknowledge that ENA owns a 20% membership interest in the Company and TEH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TEH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TEH, until the cumulative Losses allocated to TEH for the current and all prior Fiscal Years is equal to the excess of (A) the cumulative allocations of Profits allocated to TEH pursuant to Section 5.2(a)(iv) for all prior Fiscal Years, over (B) the cumulative distributions of Distributable Cash made to TEH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TEH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w:t>
        <w:noBreakHyphen/>
        <w:t>607 of the Act.</w:t>
      </w:r>
    </w:p>
    <w:p>
      <w:pPr>
        <w:pStyle w:val="Normal"/>
        <w:widowControl/>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TEH or the Put Rights of ENA; </w:t>
      </w:r>
    </w:p>
    <w:p>
      <w:pPr>
        <w:pStyle w:val="Normal"/>
        <w:widowControl/>
        <w:rPr/>
      </w:pPr>
      <w:r>
        <w:rPr/>
      </w:r>
    </w:p>
    <w:p>
      <w:pPr>
        <w:pStyle w:val="Normal"/>
        <w:widowControl/>
        <w:ind w:firstLine="2160" w:end="0"/>
        <w:rPr/>
      </w:pPr>
      <w:r>
        <w:rPr/>
        <w:t>(ii)</w:t>
        <w:tab/>
        <w:t>is to an Affiliate of the transferring Member; or</w:t>
      </w:r>
    </w:p>
    <w:p>
      <w:pPr>
        <w:pStyle w:val="Normal"/>
        <w:widowControl/>
        <w:rPr/>
      </w:pPr>
      <w:r>
        <w:rPr/>
      </w:r>
    </w:p>
    <w:p>
      <w:pPr>
        <w:pStyle w:val="Normal"/>
        <w:widowControl/>
        <w:ind w:firstLine="2160" w:end="0"/>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TEH shall have the right in its sole discretion to purchase ENA’s entire current interest in the Company (the “</w:t>
      </w:r>
      <w:r>
        <w:rPr>
          <w:u w:val="single"/>
        </w:rPr>
        <w:t>Call Right</w:t>
      </w:r>
      <w:r>
        <w:rPr/>
        <w:t>”) at any time following (i) the point at which the Subject Unit achieves Commercial Operation (as defined in the Facility Agreement) or (ii) the breach by any party to a contract relating to the Project in which the Company has a direct or indirect interest.  Notwithstanding the foregoing, TEH may exercise its Call Right on or after _________________.  The price to be paid upon exercise of the Call Right by TEH for the entire interest of ENA in the Company at such time 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TEH may exercise its Call Right by delivering no less than five (5) Business Days prior written notice to ENA in accordance with this Agreement.  If TEH exercises the Call Right, then TEH shall be obligated to purchase ENA’s entire interest in the Company at a closing (the “</w:t>
      </w:r>
      <w:r>
        <w:rPr>
          <w:u w:val="single"/>
        </w:rPr>
        <w:t>Call Closing</w:t>
      </w:r>
      <w:r>
        <w:rPr/>
        <w:t>”) to be held within fifteen (15) Business Days of exercise, subject to the prior receipt of any required regulatory approvals, and subject to the right of TEH to revoke its exercise of the Call Right at any time, which revocation shall not limit TEH’s right to exercise the Call Right again.  At the Call Closing, TEH shall pay to ENA the Call Price, and ENA shall deliver to TEH good title, free and clear of any liens, to its interest in the Company.</w:t>
        <w:tab/>
        <w:tab/>
      </w:r>
    </w:p>
    <w:p>
      <w:pPr>
        <w:pStyle w:val="Normal"/>
        <w:widowControl/>
        <w:ind w:firstLine="1440" w:end="0"/>
        <w:rPr/>
      </w:pPr>
      <w:r>
        <w:rPr/>
      </w:r>
    </w:p>
    <w:p>
      <w:pPr>
        <w:pStyle w:val="Normal"/>
        <w:widowControl/>
        <w:ind w:firstLine="1440" w:end="0"/>
        <w:rPr/>
      </w:pPr>
      <w:r>
        <w:rPr/>
        <w:t>(c)</w:t>
        <w:tab/>
        <w:t>ENA shall have the right in its sole discretion to require TEH to purchase the entire interest of ENA in the Company (the “</w:t>
      </w:r>
      <w:r>
        <w:rPr>
          <w:u w:val="single"/>
        </w:rPr>
        <w:t>Put Right</w:t>
      </w:r>
      <w:r>
        <w:rPr/>
        <w:t>”) at any time following the point at which the Subject Unit achieves Commercial Operation (as defined in the Facility Agreement).  Notwithstanding the foregoing, ENA may exercise its Put Right on or after ___________________.  The price to be paid by TEH upon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TEH in accordance with this Agreement.  If ENA exercises the Put Right, then TEH shall be obligated to purchase ENA’s entire interest in the Company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TEH shall pay to ENA the Put Price, and ENA shall deliver to TEH good title, free and clear of any liens, to its interest in the Company.</w:t>
      </w:r>
    </w:p>
    <w:p>
      <w:pPr>
        <w:pStyle w:val="Normal"/>
        <w:widowControl/>
        <w:ind w:firstLine="1440" w:end="0"/>
        <w:rPr/>
      </w:pPr>
      <w:r>
        <w:rPr/>
      </w:r>
    </w:p>
    <w:p>
      <w:pPr>
        <w:pStyle w:val="Normal"/>
        <w:widowControl/>
        <w:ind w:firstLine="1440" w:end="0"/>
        <w:rPr/>
      </w:pPr>
      <w:r>
        <w:rPr/>
        <w:t>(e)</w:t>
        <w:tab/>
        <w:t>At the Call Closing or Put Closing, ENA will provide customary representations and warranties to TEH concerning its interest.  Each Member shall act in its own best interests in connection with the transactions completed at the Call Closing or Put Closing.</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w:t>
      </w:r>
    </w:p>
    <w:p>
      <w:pPr>
        <w:pStyle w:val="Normal"/>
        <w:widowControl/>
        <w:rPr/>
      </w:pPr>
      <w:r>
        <w:rPr/>
      </w:r>
    </w:p>
    <w:p>
      <w:pPr>
        <w:pStyle w:val="Normal"/>
        <w:keepNext w:val="true"/>
        <w:widowControl/>
        <w:jc w:val="center"/>
        <w:rPr>
          <w:b/>
        </w:rPr>
      </w:pPr>
      <w:r>
        <w:rPr>
          <w:b/>
        </w:rPr>
        <w:t>SECTION 10</w:t>
      </w:r>
    </w:p>
    <w:p>
      <w:pPr>
        <w:pStyle w:val="Normal"/>
        <w:keepNext w:val="true"/>
        <w:widowControl/>
        <w:jc w:val="center"/>
        <w:rPr>
          <w:b/>
        </w:rPr>
      </w:pPr>
      <w:r>
        <w:rPr>
          <w:b/>
        </w:rPr>
        <w:t>DISPUTE RESOLUTION</w:t>
      </w:r>
    </w:p>
    <w:p>
      <w:pPr>
        <w:pStyle w:val="Normal"/>
        <w:keepNext w:val="true"/>
        <w:widowControl/>
        <w:rPr/>
      </w:pPr>
      <w:r>
        <w:rPr/>
      </w:r>
    </w:p>
    <w:p>
      <w:pPr>
        <w:pStyle w:val="Normal"/>
        <w:keepNext w:val="true"/>
        <w:widowControl/>
        <w:ind w:firstLine="720" w:end="0"/>
        <w:rPr/>
      </w:pPr>
      <w:r>
        <w:rPr/>
        <w:t>(a)</w:t>
        <w:tab/>
      </w:r>
      <w:r>
        <w:rPr>
          <w:u w:val="single"/>
        </w:rPr>
        <w:t>Mediation</w:t>
      </w:r>
      <w:r>
        <w:rPr/>
        <w:t>.  Each Member agrees to cause the Directors designated by it to discuss in good faith any dispute, controversy or claim arising under this Agreement that has not otherwise been resolved by discussions between the Members (a “</w:t>
      </w:r>
      <w:r>
        <w:rPr>
          <w:u w:val="single"/>
        </w:rPr>
        <w:t>Claim</w:t>
      </w:r>
      <w:r>
        <w:rPr/>
        <w:t>”).  If the Claim has not been resolved after it has been discussed at a Board meeting, and if either Member so requests after 30 days have elapsed since the Board meeting at which the Claim was discussed, the Members will attempt in good faith to resolve the Claim by mediation in accordance with the American Arbitration Association Commercial Mediation Rules (the “</w:t>
      </w:r>
      <w:r>
        <w:rPr>
          <w:u w:val="single"/>
        </w:rPr>
        <w:t>Rules</w:t>
      </w:r>
      <w:r>
        <w:rPr/>
        <w:t>”).  There shall be one mediator chosen by the parties.  If the Members are not able to agree upon a mediator within ten (10) days after either Member proposes a mediator, the sole mediator shall be selected by the American Arbitration Association in accordance with the Rules.  The Claim that is the subject of the mediation shall be resolved in accordance with and on the basis of the substantive laws (not including the conflicts of laws rules) of the State of Delaware.  The place of mediation shall be Wilmington, Delaware.  Each Member shall bear its own legal and other costs incurred by it, but the cost of mediation, to be specified in accordance with the Rules, shall be allocated by the mediator. The mediator shall not have authority to apportion (equally or otherwise) the legal or other costs, including attorneys fees, incurred by the Members themselves.  If the mediation is successfully concluded, the Members shall enter into a settlement agreement setting forth the terms thereof and the settlement of the Claim.  Such settlement agreement shall be final and binding on the Members, each of which agrees to waive any right of appeal thereon.  Judgment may be entered in relation to the settlement agreement in any court of competent jurisdiction.</w:t>
      </w:r>
    </w:p>
    <w:p>
      <w:pPr>
        <w:pStyle w:val="Normal"/>
        <w:widowControl/>
        <w:rPr/>
      </w:pPr>
      <w:r>
        <w:rPr/>
      </w:r>
    </w:p>
    <w:p>
      <w:pPr>
        <w:pStyle w:val="Normal"/>
        <w:widowControl/>
        <w:ind w:firstLine="720" w:end="0"/>
        <w:rPr/>
      </w:pPr>
      <w:r>
        <w:rPr/>
        <w:t>(b)</w:t>
        <w:tab/>
      </w:r>
      <w:r>
        <w:rPr>
          <w:u w:val="single"/>
        </w:rPr>
        <w:t>Binding Arbitration</w:t>
      </w:r>
      <w:r>
        <w:rPr/>
        <w:t>.  If the Claim has not been resolved pursuant to the aforesaid mediation procedure within 60 days of the commencement of such procedure, then the Claim shall be resolved by binding arbitration as provided herein, and judgment on an award rendered therein may be entered in any court permitted by Section 11.15.</w:t>
      </w:r>
    </w:p>
    <w:p>
      <w:pPr>
        <w:pStyle w:val="Normal"/>
        <w:widowControl/>
        <w:rPr/>
      </w:pPr>
      <w:r>
        <w:rPr/>
      </w:r>
    </w:p>
    <w:p>
      <w:pPr>
        <w:pStyle w:val="Normal"/>
        <w:widowControl/>
        <w:ind w:firstLine="720" w:start="1440" w:end="0"/>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Normal"/>
        <w:widowControl/>
        <w:rPr/>
      </w:pPr>
      <w:r>
        <w:rPr/>
      </w:r>
    </w:p>
    <w:p>
      <w:pPr>
        <w:pStyle w:val="Normal"/>
        <w:widowControl/>
        <w:ind w:firstLine="720" w:start="1440" w:end="0"/>
        <w:rPr/>
      </w:pPr>
      <w:r>
        <w:rPr/>
        <w:t>(ii)</w:t>
        <w:tab/>
        <w:t>The respondent Member shall have twenty (20) days (the “</w:t>
      </w:r>
      <w:r>
        <w:rPr>
          <w:u w:val="single"/>
        </w:rPr>
        <w:t>Response Period</w:t>
      </w:r>
      <w:r>
        <w:rPr/>
        <w:t>”) to respond to the demand, in writing, setting out its answer and/or counterclaims.</w:t>
      </w:r>
    </w:p>
    <w:p>
      <w:pPr>
        <w:pStyle w:val="Normal"/>
        <w:widowControl/>
        <w:rPr/>
      </w:pPr>
      <w:r>
        <w:rPr/>
      </w:r>
    </w:p>
    <w:p>
      <w:pPr>
        <w:pStyle w:val="Normal"/>
        <w:widowControl/>
        <w:ind w:firstLine="720" w:start="1440" w:end="0"/>
        <w:rPr/>
      </w:pPr>
      <w:r>
        <w:rPr/>
        <w:t>(iii)</w:t>
        <w:tab/>
        <w:t>After the arbitration demand and response have been exchanged, a three-member arbitration panel shall be selected as follows:</w:t>
      </w:r>
    </w:p>
    <w:p>
      <w:pPr>
        <w:pStyle w:val="Normal"/>
        <w:widowControl/>
        <w:rPr/>
      </w:pPr>
      <w:r>
        <w:rPr/>
      </w:r>
    </w:p>
    <w:p>
      <w:pPr>
        <w:pStyle w:val="Normal"/>
        <w:widowControl/>
        <w:ind w:firstLine="720" w:start="2160" w:end="0"/>
        <w:rPr/>
      </w:pPr>
      <w:r>
        <w:rPr/>
        <w:t>(1)</w:t>
        <w:tab/>
        <w:t>Only persons with substantial experience in the substantive matter at issue may serve as arbitrators.  No person may be selected or serve as an arbitrator who at the outset is employed by, or under the control or management of, either Member;</w:t>
      </w:r>
    </w:p>
    <w:p>
      <w:pPr>
        <w:pStyle w:val="Normal"/>
        <w:widowControl/>
        <w:rPr/>
      </w:pPr>
      <w:r>
        <w:rPr/>
      </w:r>
    </w:p>
    <w:p>
      <w:pPr>
        <w:pStyle w:val="Normal"/>
        <w:widowControl/>
        <w:ind w:firstLine="720" w:start="2160" w:end="0"/>
        <w:rPr/>
      </w:pPr>
      <w:r>
        <w:rPr/>
        <w:t>(2)</w:t>
        <w:tab/>
        <w:t xml:space="preserve">Each Member shall, within thirty (30) days after expiration of the Response Period, appoint one arbitrator of its own choosing and provide written notice of the appointment to the other Member.  If either Member fails or refuses to appoint an arbitrator during the period for doing so, the other Member may appoint the second arbitrator; and, </w:t>
      </w:r>
    </w:p>
    <w:p>
      <w:pPr>
        <w:pStyle w:val="Normal"/>
        <w:widowControl/>
        <w:rPr/>
      </w:pPr>
      <w:r>
        <w:rPr/>
      </w:r>
    </w:p>
    <w:p>
      <w:pPr>
        <w:pStyle w:val="Normal"/>
        <w:widowControl/>
        <w:ind w:firstLine="720" w:start="2160" w:end="0"/>
        <w:rPr/>
      </w:pPr>
      <w:r>
        <w:rPr/>
        <w:t>(3)</w:t>
        <w:tab/>
        <w:t>The two arbitrators so chosen shall confer and, within thirty (30) days after their appointment, mutually select a third arbitrator.  If the Member-chosen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rPr/>
      </w:pPr>
      <w:r>
        <w:rPr/>
      </w:r>
    </w:p>
    <w:p>
      <w:pPr>
        <w:pStyle w:val="Normal"/>
        <w:widowControl/>
        <w:ind w:firstLine="720" w:start="1440" w:end="0"/>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Normal"/>
        <w:widowControl/>
        <w:rPr/>
      </w:pPr>
      <w:r>
        <w:rPr/>
      </w:r>
    </w:p>
    <w:p>
      <w:pPr>
        <w:pStyle w:val="Normal"/>
        <w:widowControl/>
        <w:ind w:firstLine="720" w:start="1440" w:end="0"/>
        <w:rPr/>
      </w:pPr>
      <w:r>
        <w:rPr/>
        <w:t>(v)</w:t>
        <w:tab/>
        <w:t>Within thirty (30) days after the final appointment to the arbitration panel, the arbitration hearing shall proceed, subject to the following requirements and procedures:</w:t>
      </w:r>
    </w:p>
    <w:p>
      <w:pPr>
        <w:pStyle w:val="Normal"/>
        <w:widowControl/>
        <w:rPr/>
      </w:pPr>
      <w:r>
        <w:rPr/>
      </w:r>
    </w:p>
    <w:p>
      <w:pPr>
        <w:pStyle w:val="Normal"/>
        <w:widowControl/>
        <w:ind w:firstLine="720" w:start="2160" w:end="0"/>
        <w:rPr/>
      </w:pPr>
      <w:r>
        <w:rPr/>
        <w:t>(1)</w:t>
        <w:tab/>
        <w:t>The arbitration hearing shall be held in Wilmington, Delaware, at a location mutually agreed by the Members, or failing such agreement, at a location determined by the arbitration panel;</w:t>
      </w:r>
    </w:p>
    <w:p>
      <w:pPr>
        <w:pStyle w:val="Normal"/>
        <w:widowControl/>
        <w:rPr/>
      </w:pPr>
      <w:r>
        <w:rPr/>
      </w:r>
    </w:p>
    <w:p>
      <w:pPr>
        <w:pStyle w:val="Normal"/>
        <w:widowControl/>
        <w:ind w:firstLine="720" w:start="2160" w:end="0"/>
        <w:rPr/>
      </w:pPr>
      <w:r>
        <w:rPr/>
        <w:t>(2)</w:t>
        <w:tab/>
        <w:t>Strict rules of evidence shall not be applied in the arbitration hearing.  The parties may offer such evidence as they desire and the arbitrators shall accept such evidence and accord it such weight as the arbitrators deem appropriate.  Cross</w:t>
        <w:noBreakHyphen/>
        <w:t>examination of witnesses and rebuttal testimony shall be permitted; and</w:t>
      </w:r>
    </w:p>
    <w:p>
      <w:pPr>
        <w:pStyle w:val="Normal"/>
        <w:widowControl/>
        <w:rPr/>
      </w:pPr>
      <w:r>
        <w:rPr/>
      </w:r>
    </w:p>
    <w:p>
      <w:pPr>
        <w:pStyle w:val="Normal"/>
        <w:widowControl/>
        <w:ind w:firstLine="720" w:start="2160" w:end="0"/>
        <w:rPr/>
      </w:pPr>
      <w:r>
        <w:rPr/>
        <w:t>(3)</w:t>
        <w:tab/>
        <w:t>Each Member may, but is not required to, submit one (1) pre</w:t>
        <w:noBreakHyphen/>
        <w:t>arbitration hearing brief (of not more than ten (10) pages (excluding exhibits)) no later than five (5) days prior to commencement of the arbitration hearing, and may also submit one (1) post</w:t>
        <w:noBreakHyphen/>
        <w:t>arbitration hearing brief (of not more than ten (10) pages (excluding exhibits)) no later than ten (10) days after the close of the arbitration hearing.  A copy of any brief submitted to the arbitration panel shall also be served on the other Member.</w:t>
      </w:r>
    </w:p>
    <w:p>
      <w:pPr>
        <w:pStyle w:val="Normal"/>
        <w:widowControl/>
        <w:rPr/>
      </w:pPr>
      <w:r>
        <w:rPr/>
      </w:r>
    </w:p>
    <w:p>
      <w:pPr>
        <w:pStyle w:val="Normal"/>
        <w:widowControl/>
        <w:ind w:firstLine="720" w:start="1440" w:end="0"/>
        <w:rPr/>
      </w:pPr>
      <w:r>
        <w:rPr/>
        <w:t>(vi)</w:t>
        <w:tab/>
        <w:t>After submission of any post</w:t>
        <w:noBreakHyphen/>
        <w:t>arbitration hearing briefs and within thirty (30) days after the close of the arbitration hearing, the arbitrators shall render an award upon a majority vote, subject to the following requirements and procedures:</w:t>
      </w:r>
    </w:p>
    <w:p>
      <w:pPr>
        <w:pStyle w:val="Normal"/>
        <w:widowControl/>
        <w:rPr/>
      </w:pPr>
      <w:r>
        <w:rPr/>
      </w:r>
    </w:p>
    <w:p>
      <w:pPr>
        <w:pStyle w:val="Normal"/>
        <w:widowControl/>
        <w:ind w:firstLine="720" w:start="2160" w:end="0"/>
        <w:rPr/>
      </w:pPr>
      <w:r>
        <w:rPr/>
        <w:t>(1)</w:t>
        <w:tab/>
        <w:t>The arbitration panel shall weigh evidence and make its award, taking into account, to the extent it deems applicable, custom and usage of the Company’s industry;</w:t>
      </w:r>
    </w:p>
    <w:p>
      <w:pPr>
        <w:pStyle w:val="Normal"/>
        <w:widowControl/>
        <w:rPr/>
      </w:pPr>
      <w:r>
        <w:rPr/>
      </w:r>
    </w:p>
    <w:p>
      <w:pPr>
        <w:pStyle w:val="Normal"/>
        <w:widowControl/>
        <w:ind w:firstLine="720" w:start="2160" w:end="0"/>
        <w:rPr/>
      </w:pPr>
      <w:r>
        <w:rPr/>
        <w:t>(2)</w:t>
        <w:tab/>
        <w:t>The arbitration panel’s award shall be issued in writing and shall state the factual bases and reasoning of the award; and,</w:t>
      </w:r>
    </w:p>
    <w:p>
      <w:pPr>
        <w:pStyle w:val="Normal"/>
        <w:widowControl/>
        <w:rPr/>
      </w:pPr>
      <w:r>
        <w:rPr/>
      </w:r>
    </w:p>
    <w:p>
      <w:pPr>
        <w:pStyle w:val="Normal"/>
        <w:widowControl/>
        <w:ind w:firstLine="720" w:start="2160" w:end="0"/>
        <w:rPr/>
      </w:pPr>
      <w:r>
        <w:rPr/>
        <w:t>(3)</w:t>
        <w:tab/>
        <w:t>The arbitrators may award costs of the arbitration proceeding, excluding attorneys’ fees and also excluding the costs apportioned pursuant to clause (vii) below.</w:t>
      </w:r>
    </w:p>
    <w:p>
      <w:pPr>
        <w:pStyle w:val="Normal"/>
        <w:widowControl/>
        <w:rPr/>
      </w:pPr>
      <w:r>
        <w:rPr/>
      </w:r>
    </w:p>
    <w:p>
      <w:pPr>
        <w:pStyle w:val="Normal"/>
        <w:widowControl/>
        <w:ind w:firstLine="720" w:start="1440" w:end="0"/>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w:t>
        <w:noBreakHyphen/>
        <w:t>selected arbitrator.</w:t>
      </w:r>
    </w:p>
    <w:p>
      <w:pPr>
        <w:pStyle w:val="Normal"/>
        <w:widowControl/>
        <w:rPr/>
      </w:pPr>
      <w:r>
        <w:rPr/>
      </w:r>
    </w:p>
    <w:p>
      <w:pPr>
        <w:pStyle w:val="Normal"/>
        <w:widowControl/>
        <w:ind w:firstLine="720" w:start="1440" w:end="0"/>
        <w:rPr/>
      </w:pPr>
      <w:r>
        <w:rPr/>
        <w:t>(viii)</w:t>
        <w:tab/>
        <w:t>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Normal"/>
        <w:widowControl/>
        <w:rPr/>
      </w:pPr>
      <w:r>
        <w:rPr/>
      </w:r>
    </w:p>
    <w:p>
      <w:pPr>
        <w:pStyle w:val="Normal"/>
        <w:widowControl/>
        <w:ind w:firstLine="720" w:start="1440" w:end="0"/>
        <w:rPr/>
      </w:pPr>
      <w:r>
        <w:rPr/>
        <w:t>(ix)</w:t>
        <w:tab/>
        <w:t>All time limits stated in this section are for the convenience of the Members and may be altered upon mutual agreement of the parties.</w:t>
      </w:r>
    </w:p>
    <w:p>
      <w:pPr>
        <w:pStyle w:val="Normal"/>
        <w:widowControl/>
        <w:rPr/>
      </w:pPr>
      <w:r>
        <w:rPr/>
      </w:r>
    </w:p>
    <w:p>
      <w:pPr>
        <w:pStyle w:val="Normal"/>
        <w:widowControl/>
        <w:ind w:firstLine="1440" w:end="0"/>
        <w:rPr/>
      </w:pPr>
      <w:r>
        <w:rPr/>
        <w:t>(c)</w:t>
        <w:tab/>
      </w:r>
      <w:r>
        <w:rPr>
          <w:u w:val="single"/>
        </w:rPr>
        <w:t>Sole and Exclusive Remedy</w:t>
      </w:r>
      <w:r>
        <w:rPr/>
        <w:t>.  The procedures specified in this Section shall be the sole and exclusive procedures for the resolution of any Claim between the parties arising out of or relating to this Agreement; provided, however, that a Member may seek a preliminary injunction or other preliminary judicial relief if in its judgment such action is necessary to avoid irreparable damage.  Despite such action the Members will continue to participate in good faith in the procedures specified in this Section.  All applicable statutes of limitation shall be tolled while the procedures specified in this Section are pending.  The Members will take such action, if any, required to effectuate such tolling.</w:t>
      </w:r>
    </w:p>
    <w:p>
      <w:pPr>
        <w:pStyle w:val="Normal"/>
        <w:widowControl/>
        <w:rPr/>
      </w:pPr>
      <w:r>
        <w:rPr/>
      </w:r>
    </w:p>
    <w:p>
      <w:pPr>
        <w:pStyle w:val="Normal"/>
        <w:widowControl/>
        <w:jc w:val="center"/>
        <w:rPr>
          <w:b/>
        </w:rPr>
      </w:pPr>
      <w:r>
        <w:rPr>
          <w:b/>
        </w:rPr>
        <w:t>SECTION 11</w:t>
      </w:r>
    </w:p>
    <w:p>
      <w:pPr>
        <w:pStyle w:val="Normal"/>
        <w:widowControl/>
        <w:jc w:val="center"/>
        <w:rPr>
          <w:b/>
        </w:rPr>
      </w:pPr>
      <w:r>
        <w:rPr>
          <w:b/>
        </w:rPr>
        <w:t>MISCELLANEOUS</w:t>
      </w:r>
    </w:p>
    <w:p>
      <w:pPr>
        <w:pStyle w:val="Normal"/>
        <w:widowControl/>
        <w:rPr/>
      </w:pPr>
      <w:r>
        <w:rPr/>
      </w:r>
    </w:p>
    <w:p>
      <w:pPr>
        <w:pStyle w:val="Normal"/>
        <w:widowControl/>
        <w:ind w:firstLine="720" w:end="0"/>
        <w:rPr/>
      </w:pPr>
      <w:r>
        <w:rPr/>
        <w:t>11.1</w:t>
        <w:tab/>
      </w:r>
      <w:r>
        <w:rPr>
          <w:u w:val="single"/>
        </w:rPr>
        <w:t>Notices</w:t>
      </w:r>
      <w:r>
        <w:rPr/>
        <w:t>.  Any notice, payment, demand, or communication required or permitted to be given pursuant to any provision of this Agreement shall be in writing and shall be (i) delivered personally, (ii) sent by postage prepaid, certified mail, (iii) transmitted by telecopy, or (iv) delivered by nationally recognized overnight courier, addressed as follows, or to such other address as such Person may from time to time specify by notice to the Members:</w:t>
      </w:r>
    </w:p>
    <w:p>
      <w:pPr>
        <w:pStyle w:val="Normal"/>
        <w:widowControl/>
        <w:rPr/>
      </w:pPr>
      <w:r>
        <w:rPr/>
      </w:r>
    </w:p>
    <w:p>
      <w:pPr>
        <w:pStyle w:val="Normal"/>
        <w:keepNext w:val="true"/>
        <w:widowControl/>
        <w:ind w:firstLine="1440" w:end="0"/>
        <w:rPr/>
      </w:pPr>
      <w:r>
        <w:rPr/>
        <w:t>(a)</w:t>
        <w:tab/>
        <w:t>If to TEH, to:</w:t>
      </w:r>
    </w:p>
    <w:p>
      <w:pPr>
        <w:pStyle w:val="Normal"/>
        <w:keepNext w:val="true"/>
        <w:widowControl/>
        <w:rPr/>
      </w:pPr>
      <w:r>
        <w:rPr/>
      </w:r>
    </w:p>
    <w:p>
      <w:pPr>
        <w:pStyle w:val="Normal"/>
        <w:keepNext w:val="true"/>
        <w:widowControl/>
        <w:ind w:firstLine="2160" w:end="0"/>
        <w:rPr/>
      </w:pPr>
      <w:r>
        <w:rPr/>
        <w:t>Tejas Energy N S Holding, LLC</w:t>
      </w:r>
    </w:p>
    <w:p>
      <w:pPr>
        <w:pStyle w:val="Normal"/>
        <w:keepNext w:val="true"/>
        <w:widowControl/>
        <w:ind w:firstLine="2160" w:end="0"/>
        <w:rPr/>
      </w:pPr>
      <w:r>
        <w:rPr/>
        <w:t>c/o Coral Power, LLC</w:t>
      </w:r>
    </w:p>
    <w:p>
      <w:pPr>
        <w:pStyle w:val="Normal"/>
        <w:keepNext w:val="true"/>
        <w:widowControl/>
        <w:ind w:firstLine="2160" w:end="0"/>
        <w:rPr/>
      </w:pPr>
      <w:r>
        <w:rPr/>
        <w:t>909 Fannin, Suite 700</w:t>
      </w:r>
    </w:p>
    <w:p>
      <w:pPr>
        <w:pStyle w:val="Normal"/>
        <w:keepNext w:val="true"/>
        <w:widowControl/>
        <w:ind w:firstLine="2160" w:end="0"/>
        <w:rPr/>
      </w:pPr>
      <w:r>
        <w:rPr/>
        <w:t>Houston, Texas  77010</w:t>
      </w:r>
    </w:p>
    <w:p>
      <w:pPr>
        <w:pStyle w:val="Normal"/>
        <w:keepNext w:val="true"/>
        <w:widowControl/>
        <w:ind w:firstLine="2160" w:end="0"/>
        <w:rPr/>
      </w:pPr>
      <w:r>
        <w:rPr/>
        <w:t>Attn:  Mr. Tom Seigler</w:t>
      </w:r>
    </w:p>
    <w:p>
      <w:pPr>
        <w:pStyle w:val="Normal"/>
        <w:keepNext w:val="true"/>
        <w:widowControl/>
        <w:ind w:firstLine="2160" w:end="0"/>
        <w:rPr/>
      </w:pPr>
      <w:r>
        <w:rPr/>
        <w:t>Telecopy:  713-265-5672</w:t>
      </w:r>
    </w:p>
    <w:p>
      <w:pPr>
        <w:pStyle w:val="Normal"/>
        <w:widowControl/>
        <w:rPr/>
      </w:pPr>
      <w:r>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Mr. Ben F. Jacoby</w:t>
      </w:r>
    </w:p>
    <w:p>
      <w:pPr>
        <w:pStyle w:val="Normal"/>
        <w:widowControl/>
        <w:ind w:firstLine="2160" w:end="0"/>
        <w:rPr/>
      </w:pPr>
      <w:r>
        <w:rPr/>
        <w:t>Telecopy:  713-646-3037</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________________</w:t>
      </w:r>
    </w:p>
    <w:p>
      <w:pPr>
        <w:pStyle w:val="Normal"/>
        <w:widowControl/>
        <w:rPr/>
      </w:pPr>
      <w:r>
        <w:rPr/>
      </w:r>
    </w:p>
    <w:p>
      <w:pPr>
        <w:pStyle w:val="Normal"/>
        <w:widowControl/>
        <w:ind w:firstLine="1440" w:end="0"/>
        <w:rPr/>
      </w:pPr>
      <w:r>
        <w:rPr/>
        <w:t>(c)</w:t>
        <w:tab/>
        <w:t>Any such notice, payment, demand, or communication shall be deemed to be delivered, given, and received for all purposes hereof (x) on the date of receipt if delivered personally or by courier, (y) two (2) business days after posting if transmitted by mail, or (z) on the date of transmission if transmitted by telecopy, provided that the sender obtains confirmation of transmission.</w:t>
      </w:r>
    </w:p>
    <w:p>
      <w:pPr>
        <w:pStyle w:val="Normal"/>
        <w:widowControl/>
        <w:rPr/>
      </w:pPr>
      <w:r>
        <w:rPr/>
      </w:r>
    </w:p>
    <w:p>
      <w:pPr>
        <w:pStyle w:val="Normal"/>
        <w:widowControl/>
        <w:ind w:firstLine="720" w:end="0"/>
        <w:rPr/>
      </w:pPr>
      <w:r>
        <w:rPr/>
        <w:t>11.2</w:t>
        <w:tab/>
      </w:r>
      <w:r>
        <w:rPr>
          <w:u w:val="single"/>
        </w:rPr>
        <w:t>Entire Agreement; Duties and Obligations Limited to This Agreement</w:t>
      </w:r>
      <w:r>
        <w:rPr/>
        <w:t>.  The provisions of this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the Members shall between them have no separate obligations, duties, including fiduciary duties or implied duties or agreements to perform, except as may be agreed to in writing by the Members after the date hereof.</w:t>
      </w:r>
    </w:p>
    <w:p>
      <w:pPr>
        <w:pStyle w:val="Normal"/>
        <w:widowControl/>
        <w:rPr/>
      </w:pPr>
      <w:r>
        <w:rPr/>
      </w:r>
    </w:p>
    <w:p>
      <w:pPr>
        <w:pStyle w:val="Normal"/>
        <w:widowControl/>
        <w:ind w:firstLine="720" w:end="0"/>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11.5</w:t>
        <w:tab/>
      </w:r>
      <w:r>
        <w:rPr>
          <w:u w:val="single"/>
        </w:rPr>
        <w:t>Time</w:t>
      </w:r>
      <w:r>
        <w:rPr/>
        <w:t>.  Time is of the essence with respect to this Agreement.</w:t>
      </w:r>
    </w:p>
    <w:p>
      <w:pPr>
        <w:pStyle w:val="Normal"/>
        <w:widowControl/>
        <w:rPr/>
      </w:pPr>
      <w:r>
        <w:rPr/>
      </w:r>
    </w:p>
    <w:p>
      <w:pPr>
        <w:pStyle w:val="Normal"/>
        <w:widowControl/>
        <w:ind w:firstLine="720" w:end="0"/>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11.8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rPr/>
      </w:pPr>
      <w:r>
        <w:rPr/>
        <w:t>11.11</w:t>
        <w:tab/>
      </w:r>
      <w:r>
        <w:rPr>
          <w:u w:val="single"/>
        </w:rPr>
        <w:t>Waiver of Jury Trial</w:t>
      </w:r>
      <w:r>
        <w:rPr/>
        <w:t>.  Each Member waives, to the fullest extent permitted by applicable law, any right it may have to a trial by jury in respect of any action, suit or proceeding arising out of or relating to the Company or this Agreement.</w:t>
      </w:r>
    </w:p>
    <w:p>
      <w:pPr>
        <w:pStyle w:val="Normal"/>
        <w:widowControl/>
        <w:rPr/>
      </w:pPr>
      <w:r>
        <w:rPr/>
      </w:r>
    </w:p>
    <w:p>
      <w:pPr>
        <w:pStyle w:val="Normal"/>
        <w:widowControl/>
        <w:ind w:firstLine="720" w:end="0"/>
        <w:rPr/>
      </w:pPr>
      <w:r>
        <w:rPr/>
        <w:t>11.12</w:t>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11.13</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11.14</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11.15</w:t>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TEJAS ENERGY N S HOLDING, LLC</w:t>
      </w:r>
    </w:p>
    <w:p>
      <w:pPr>
        <w:pStyle w:val="Normal"/>
        <w:widowControl/>
        <w:tabs>
          <w:tab w:val="clear" w:pos="720"/>
          <w:tab w:val="left" w:pos="4320" w:leader="none"/>
          <w:tab w:val="left" w:pos="4680" w:leader="none"/>
        </w:tabs>
        <w:rPr>
          <w:b/>
        </w:rPr>
      </w:pPr>
      <w:r>
        <w:rPr>
          <w:b/>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r>
    </w:p>
    <w:p>
      <w:pPr>
        <w:pStyle w:val="Normal"/>
        <w:widowControl/>
        <w:jc w:val="end"/>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rPr/>
      </w:pPr>
      <w:r>
        <w:rPr/>
      </w:r>
    </w:p>
    <w:p>
      <w:pPr>
        <w:pStyle w:val="Normal"/>
        <w:widowControl/>
        <w:ind w:firstLine="720" w:start="1440" w:end="0"/>
        <w:rPr/>
      </w:pPr>
      <w:r>
        <w:rPr/>
        <w:t>(ii)</w:t>
        <w:tab/>
        <w:t>Debit to such Capital Account the items described in Sections 1.704</w:t>
        <w:noBreakHyphen/>
        <w:t>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means, with respect to any Person, (i) any Person directly or indirectly controlling, controlled by, or under common control with, such Person, (ii) any officer, director, or employee of such Person, or (iii) any Person who is an officer, director, or employee of any Person described in clause (i) of this definition.</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Business Day</w:t>
      </w:r>
      <w:r>
        <w:rPr/>
        <w:t>” means any day of the year on which banks are not required or authorized to close in the state of New York.</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November ____, 2000.</w:t>
      </w:r>
    </w:p>
    <w:p>
      <w:pPr>
        <w:pStyle w:val="Normal"/>
        <w:widowControl/>
        <w:rPr/>
      </w:pPr>
      <w:r>
        <w:rPr/>
      </w:r>
    </w:p>
    <w:p>
      <w:pPr>
        <w:pStyle w:val="Normal"/>
        <w:widowControl/>
        <w:ind w:firstLine="1440" w:end="0"/>
        <w:rPr/>
      </w:pPr>
      <w:r>
        <w:rPr/>
        <w:t>“</w:t>
      </w:r>
      <w:r>
        <w:rPr>
          <w:u w:val="single"/>
        </w:rPr>
        <w:t>Claim</w:t>
      </w:r>
      <w:r>
        <w:rPr/>
        <w:t>” is defined in Section 10(a).</w:t>
      </w:r>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pPr>
      <w:r>
        <w:rPr/>
      </w:r>
    </w:p>
    <w:p>
      <w:pPr>
        <w:pStyle w:val="Normal"/>
        <w:widowControl/>
        <w:ind w:firstLine="1440" w:end="0"/>
        <w:rPr/>
      </w:pPr>
      <w:r>
        <w:rPr/>
        <w:t>“</w:t>
      </w:r>
      <w:r>
        <w:rPr>
          <w:u w:val="single"/>
        </w:rPr>
        <w:t>Employees</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Facility Agreement</w:t>
      </w:r>
      <w:r>
        <w:rPr/>
        <w:t xml:space="preserve">” is defined in Section 3.1.5. </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pPr>
      <w:r>
        <w:rPr/>
        <w:t>“</w:t>
      </w:r>
      <w:r>
        <w:rPr>
          <w:u w:val="single"/>
        </w:rPr>
        <w:t>GAAP</w:t>
      </w:r>
      <w:r>
        <w:rPr/>
        <w:t>” means generally accepted accounting principles as in effect in the United States of America.</w:t>
      </w:r>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Member</w:t>
      </w:r>
      <w:r>
        <w:rPr/>
        <w:t>” means ENA or TEH .</w:t>
      </w:r>
    </w:p>
    <w:p>
      <w:pPr>
        <w:pStyle w:val="Normal"/>
        <w:widowControl/>
        <w:rPr/>
      </w:pPr>
      <w:r>
        <w:rPr/>
      </w:r>
    </w:p>
    <w:p>
      <w:pPr>
        <w:pStyle w:val="Normal"/>
        <w:widowControl/>
        <w:ind w:firstLine="1440" w:end="0"/>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rPr/>
      </w:pPr>
      <w:r>
        <w:rPr/>
      </w:r>
    </w:p>
    <w:p>
      <w:pPr>
        <w:pStyle w:val="Normal"/>
        <w:widowControl/>
        <w:ind w:firstLine="1440" w:end="0"/>
        <w:rPr/>
      </w:pPr>
      <w:r>
        <w:rPr/>
        <w:t>“</w:t>
      </w:r>
      <w:r>
        <w:rPr>
          <w:u w:val="single"/>
        </w:rPr>
        <w:t>Minimum Gain</w:t>
      </w:r>
      <w:r>
        <w:rPr/>
        <w:t>” shall have the meaning set forth in Regulations Section 1.704</w:t>
        <w:noBreakHyphen/>
        <w:t xml:space="preserve">2(b)(2). </w:t>
      </w:r>
    </w:p>
    <w:p>
      <w:pPr>
        <w:pStyle w:val="Normal"/>
        <w:widowControl/>
        <w:rPr/>
      </w:pPr>
      <w:r>
        <w:rPr/>
      </w:r>
    </w:p>
    <w:p>
      <w:pPr>
        <w:pStyle w:val="Normal"/>
        <w:widowControl/>
        <w:ind w:firstLine="1440" w:end="0"/>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rPr/>
      </w:pPr>
      <w:r>
        <w:rPr/>
      </w:r>
    </w:p>
    <w:p>
      <w:pPr>
        <w:pStyle w:val="Normal"/>
        <w:widowControl/>
        <w:ind w:firstLine="1440" w:end="0"/>
        <w:rPr/>
      </w:pPr>
      <w:r>
        <w:rPr/>
        <w:t>“</w:t>
      </w:r>
      <w:r>
        <w:rPr>
          <w:u w:val="single"/>
        </w:rPr>
        <w:t>Nonrecourse Deductions</w:t>
      </w:r>
      <w:r>
        <w:rPr/>
        <w:t>” shall have the meaning set forth in Regulations Section 1.704</w:t>
        <w:noBreakHyphen/>
        <w:t xml:space="preserve">2(c). </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pPr>
      <w:r>
        <w:rPr/>
      </w:r>
    </w:p>
    <w:p>
      <w:pPr>
        <w:pStyle w:val="Normal"/>
        <w:widowControl/>
        <w:ind w:firstLine="1440" w:end="0"/>
        <w:rPr/>
      </w:pPr>
      <w:r>
        <w:rPr/>
        <w:t>“</w:t>
      </w:r>
      <w:r>
        <w:rPr>
          <w:u w:val="single"/>
        </w:rPr>
        <w:t>Response Period</w:t>
      </w:r>
      <w:r>
        <w:rPr/>
        <w:t xml:space="preserve">” is defined in Section 10(b)(ii). </w:t>
      </w:r>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pPr>
      <w:r>
        <w:rPr/>
      </w:r>
    </w:p>
    <w:p>
      <w:pPr>
        <w:pStyle w:val="Normal"/>
        <w:widowControl/>
        <w:ind w:firstLine="1440" w:end="0"/>
        <w:rPr/>
      </w:pPr>
      <w:r>
        <w:rPr/>
        <w:t>“</w:t>
      </w:r>
      <w:r>
        <w:rPr>
          <w:u w:val="single"/>
        </w:rPr>
        <w:t>Rules</w:t>
      </w:r>
      <w:r>
        <w:rPr/>
        <w:t>” is defined in Section 10(a).</w:t>
      </w:r>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Subject Unit</w:t>
      </w:r>
      <w:r>
        <w:rPr/>
        <w:t>” is defined in Section 3.1.5.</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TEH</w:t>
      </w:r>
      <w:r>
        <w:rPr/>
        <w:t>” is defined in the preamble.</w:t>
      </w:r>
    </w:p>
    <w:p>
      <w:pPr>
        <w:pStyle w:val="Normal"/>
        <w:widowControl/>
        <w:rPr/>
      </w:pPr>
      <w:r>
        <w:rPr/>
      </w:r>
    </w:p>
    <w:p>
      <w:pPr>
        <w:pStyle w:val="Normal"/>
        <w:widowControl/>
        <w:ind w:firstLine="1440" w:end="0"/>
        <w:rPr/>
      </w:pPr>
      <w:r>
        <w:rPr/>
        <w:t>“</w:t>
      </w:r>
      <w:r>
        <w:rPr>
          <w:u w:val="single"/>
        </w:rPr>
        <w:t>TEH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u w:val="single"/>
        </w:rPr>
      </w:pPr>
      <w:r>
        <w:rPr>
          <w:b/>
          <w:u w:val="single"/>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TEH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w:t>
        <w:noBreakHyphen/>
        <w:t>how proprietary to ENA, that is disclosed to TEH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TEH Confidential Information</w:t>
      </w:r>
      <w:r>
        <w:rPr/>
        <w:t>” shall mean any and all information, including trade secrets and know</w:t>
        <w:noBreakHyphen/>
        <w:t>how proprietary to TEH, that is disclosed to ENA by TEH 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pPr>
      <w:r>
        <w:rPr/>
        <w:t>(e)</w:t>
        <w:tab/>
        <w:t>Disclosures of Confidential Information by a Member to any of its employees, officers, agents, or consultants (hereinafter collectively referred to as “</w:t>
      </w:r>
      <w:r>
        <w:rPr>
          <w:u w:val="single"/>
        </w:rPr>
        <w:t>Employees</w:t>
      </w:r>
      <w:r>
        <w:rPr/>
        <w:t xml:space="preserve">”) who have a need to know related to the business of the Company; </w:t>
      </w:r>
      <w:r>
        <w:rPr>
          <w:u w:val="single"/>
        </w:rPr>
        <w:t>provided</w:t>
      </w:r>
      <w:r>
        <w:rPr/>
        <w:t xml:space="preserve"> that each Member shall instruct its Employees that any Confidential Information conveyed is proprietary to the Member involved and that it is to be held in strict confidence by said Employees, and each Member shall use its best efforts to ensure that all of its Employees to whom Confidential Information is disclosed will take all reasonable precautions to safeguard and preserve the confidential status of the Confidential Information.</w:t>
      </w:r>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(b) return to the other any documents and other materials produced from the Confidential Information by the receiving Member; and (c) certify in writing to the disclosing Member that the receiving Member has complied fully with the provisions of this Section 3.1.</w:t>
      </w:r>
    </w:p>
    <w:p>
      <w:pPr>
        <w:pStyle w:val="Normal"/>
        <w:widowControl/>
        <w:rPr/>
      </w:pPr>
      <w:r>
        <w:rPr/>
      </w:r>
    </w:p>
    <w:p>
      <w:pPr>
        <w:pStyle w:val="Normal"/>
        <w:widowControl/>
        <w:rPr/>
      </w:pPr>
      <w:r>
        <w:rPr/>
      </w:r>
    </w:p>
    <w:p>
      <w:pPr>
        <w:pStyle w:val="Normal"/>
        <w:widowControl/>
        <w:jc w:val="center"/>
        <w:rPr>
          <w:b/>
          <w:u w:val="single"/>
        </w:rPr>
      </w:pPr>
      <w:r>
        <w:rPr>
          <w:b/>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rPr/>
      </w:pPr>
      <w:r>
        <w:rPr/>
      </w:r>
    </w:p>
    <w:p>
      <w:pPr>
        <w:pStyle w:val="Normal"/>
        <w:widowControl/>
        <w:jc w:val="center"/>
        <w:rPr>
          <w:b/>
          <w:u w:val="single"/>
        </w:rPr>
      </w:pPr>
      <w:r>
        <w:rPr>
          <w:b/>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61">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v4</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37490" cy="175260"/>
              <wp:effectExtent l="0" t="0" r="0" b="0"/>
              <wp:wrapSquare wrapText="bothSides"/>
              <wp:docPr id="3"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0">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v4</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2">
              <wp:simplePos x="0" y="0"/>
              <wp:positionH relativeFrom="margin">
                <wp:posOffset>0</wp:posOffset>
              </wp:positionH>
              <wp:positionV relativeFrom="paragraph">
                <wp:posOffset>635</wp:posOffset>
              </wp:positionV>
              <wp:extent cx="2743200" cy="457200"/>
              <wp:effectExtent l="0" t="0" r="0" b="0"/>
              <wp:wrapNone/>
              <wp:docPr id="5"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v4</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29235" cy="175260"/>
              <wp:effectExtent l="0" t="0" r="0" b="0"/>
              <wp:wrapSquare wrapText="bothSides"/>
              <wp:docPr id="6"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0">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v4</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3">
              <wp:simplePos x="0" y="0"/>
              <wp:positionH relativeFrom="margin">
                <wp:posOffset>0</wp:posOffset>
              </wp:positionH>
              <wp:positionV relativeFrom="paragraph">
                <wp:posOffset>635</wp:posOffset>
              </wp:positionV>
              <wp:extent cx="2743200" cy="457200"/>
              <wp:effectExtent l="0" t="0" r="0" b="0"/>
              <wp:wrapNone/>
              <wp:docPr id="8"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v4</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2000-12-01T12:42:00Z</dcterms:created>
  <dc:creator>Carolyn Campbell</dc:creator>
  <dc:description>Houston-128540 v4</dc:description>
  <dc:language>en-CA</dc:language>
  <cp:lastModifiedBy>Carolyn Campbell</cp:lastModifiedBy>
  <cp:lastPrinted>2000-12-01T09:14:00Z</cp:lastPrinted>
  <dcterms:modified xsi:type="dcterms:W3CDTF">2000-12-01T12:44:00Z</dcterms:modified>
  <cp:revision>3</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