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CA Energy Development I,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November ___, 2000 (the “</w:t>
      </w:r>
      <w:r>
        <w:rPr>
          <w:u w:val="single"/>
        </w:rPr>
        <w:t>Prior Agreement</w:t>
      </w:r>
      <w:r>
        <w:rPr/>
        <w:t>”);</w:t>
      </w:r>
    </w:p>
    <w:p>
      <w:pPr>
        <w:pStyle w:val="Normal"/>
        <w:widowControl/>
        <w:rPr/>
      </w:pPr>
      <w:r>
        <w:rPr/>
      </w:r>
    </w:p>
    <w:p>
      <w:pPr>
        <w:pStyle w:val="Normal"/>
        <w:widowControl/>
        <w:ind w:firstLine="720" w:end="0"/>
        <w:rPr/>
      </w:pPr>
      <w:r>
        <w:rPr/>
        <w:t>WHEREAS, TEH has become a Member of the Company, and ENA and TEH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CA Energy Development I, LLC on November ____,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November ____, 2000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purchase turbine generators and associated equipment and contribute such turbine generators and associated equipment to obtain a capital interest in (a) an entity that is engaged in the business of designing, constructing, owning and operating an electric generating facility in the continental United States (such facility, the “</w:t>
      </w:r>
      <w:r>
        <w:rPr>
          <w:u w:val="single"/>
        </w:rPr>
        <w:t>Project</w:t>
      </w:r>
      <w:r>
        <w:rPr/>
        <w:t>”), or (b) the Project,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is a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General Electric Company (the “</w:t>
      </w:r>
      <w:r>
        <w:rPr>
          <w:u w:val="single"/>
        </w:rPr>
        <w:t>Facility Agreement</w:t>
      </w:r>
      <w:r>
        <w:rPr/>
        <w:t>”), rights and obligations associated with the purchase of one LM6000 enhanced SPRINT dual-fuel combustion turbine generator set (the “</w:t>
      </w:r>
      <w:r>
        <w:rPr>
          <w:u w:val="single"/>
        </w:rPr>
        <w:t>Subject Unit</w:t>
      </w:r>
      <w:r>
        <w:rPr/>
        <w:t>”) from General Electric Company.</w:t>
      </w:r>
    </w:p>
    <w:p>
      <w:pPr>
        <w:pStyle w:val="Normal"/>
        <w:widowControl/>
        <w:rPr/>
      </w:pPr>
      <w:r>
        <w:rPr/>
      </w:r>
    </w:p>
    <w:p>
      <w:pPr>
        <w:pStyle w:val="Normal"/>
        <w:widowControl/>
        <w:ind w:firstLine="720" w:end="0"/>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TEH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is a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TEH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and each Member shall require the Directors appointed by it to discuss in good faith any topic brought to the attention of the Board by either Member.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together with an opportunity to discuss the matter, is provided to each Director not less than three (3) Business Days before the action is taken.  The dispute resolution procedures of Section 10 hereof do not apply to Board decisions.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other than that associated with the acquisition, ownership, operation, administration and disposition of the Subject Unit;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w:t>
      </w:r>
    </w:p>
    <w:p>
      <w:pPr>
        <w:pStyle w:val="Normal"/>
        <w:widowControl/>
        <w:rPr/>
      </w:pPr>
      <w:r>
        <w:rPr/>
      </w:r>
    </w:p>
    <w:p>
      <w:pPr>
        <w:pStyle w:val="Normal"/>
        <w:widowControl/>
        <w:ind w:firstLine="1440" w:end="0"/>
        <w:rPr/>
      </w:pPr>
      <w:r>
        <w:rPr/>
        <w:t>(d)</w:t>
        <w:tab/>
        <w:t>the approval of any amendments, modifications or supplements to, or transfers or assignments of, the Facility Agreement; or</w:t>
      </w:r>
    </w:p>
    <w:p>
      <w:pPr>
        <w:pStyle w:val="Normal"/>
        <w:widowControl/>
        <w:rPr/>
      </w:pPr>
      <w:r>
        <w:rPr/>
      </w:r>
    </w:p>
    <w:p>
      <w:pPr>
        <w:pStyle w:val="Normal"/>
        <w:widowControl/>
        <w:ind w:firstLine="1440" w:end="0"/>
        <w:rPr/>
      </w:pPr>
      <w:r>
        <w:rPr/>
        <w:t>(e)</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Certain Reimbursements and Certain Expenses Paid by the Company</w:t>
      </w:r>
      <w:r>
        <w:rPr/>
        <w:t>.  The Members will be reimbursed for the costs of incentive compensation plans, if any, that are approved by the Board for Members’ employees whose jobs principally benefit the Company.</w:t>
      </w:r>
    </w:p>
    <w:p>
      <w:pPr>
        <w:pStyle w:val="Normal"/>
        <w:widowControl/>
        <w:rPr/>
      </w:pPr>
      <w:r>
        <w:rPr/>
      </w:r>
    </w:p>
    <w:p>
      <w:pPr>
        <w:pStyle w:val="Normal"/>
        <w:widowControl/>
        <w:ind w:firstLine="720" w:end="0"/>
        <w:rPr/>
      </w:pPr>
      <w:r>
        <w:rPr/>
        <w:t>4.11</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TEH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TEH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TEH or the Put Rights of ENA; </w:t>
      </w:r>
    </w:p>
    <w:p>
      <w:pPr>
        <w:pStyle w:val="Normal"/>
        <w:widowControl/>
        <w:rPr/>
      </w:pPr>
      <w:r>
        <w:rPr/>
      </w:r>
    </w:p>
    <w:p>
      <w:pPr>
        <w:pStyle w:val="Normal"/>
        <w:widowControl/>
        <w:ind w:firstLine="2160" w:end="0"/>
        <w:rPr/>
      </w:pPr>
      <w:r>
        <w:rPr/>
        <w:t>(ii)</w:t>
        <w:tab/>
        <w:t>is to an Affiliate of the transferring Member; or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TEH shall have the right in its sole discretion to purchase ENA’s entire current interest in the Company (the “</w:t>
      </w:r>
      <w:r>
        <w:rPr>
          <w:u w:val="single"/>
        </w:rPr>
        <w:t>Call Right</w:t>
      </w:r>
      <w:r>
        <w:rPr/>
        <w:t>”) at any time following (i) the point at which the Subject Unit achieves Commercial Operation (as defined in the Facility Agreement) or (ii) the breach by any party to a contract relating to the Project in which the Company has a direct or indirect interest.  Notwithstanding the foregoing, TEH may exercise its Call Right on or after _________________.  The price to be paid upon exercise of the Call Right by TEH for the entire interest of ENA in the Company at such time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TEH may exercise its Call Right by delivering no less than five (5) Business Days prior written notice to ENA in accordance with this Agreement.  If TEH exercises the Call Right, then TEH shall be obligated to purchase ENA’s entire interest in the Company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title, free and clear of any liens, to its interest in the Company.</w:t>
        <w:tab/>
        <w:tab/>
      </w:r>
    </w:p>
    <w:p>
      <w:pPr>
        <w:pStyle w:val="Normal"/>
        <w:widowControl/>
        <w:ind w:firstLine="1440" w:end="0"/>
        <w:rPr/>
      </w:pPr>
      <w:r>
        <w:rPr/>
      </w:r>
    </w:p>
    <w:p>
      <w:pPr>
        <w:pStyle w:val="Normal"/>
        <w:widowControl/>
        <w:ind w:firstLine="1440" w:end="0"/>
        <w:rPr/>
      </w:pPr>
      <w:r>
        <w:rPr/>
        <w:t>(c)</w:t>
        <w:tab/>
        <w:t>ENA shall have the right in its sole discretion to require TEH to purchase the entire interest of ENA in the Company (the “</w:t>
      </w:r>
      <w:r>
        <w:rPr>
          <w:u w:val="single"/>
        </w:rPr>
        <w:t>Put Right</w:t>
      </w:r>
      <w:r>
        <w:rPr/>
        <w:t>”) at any time following the point at which the Subject Unit achieves Commercial Operation (as defined in the Facility Agreement).  Notwithstanding the foregoing, ENA may exercise its Put Right on or after ___________________.  The price to be paid by TEH upon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TEH in accordance with this Agreement.  If ENA exercises the Put Right, then TEH shall be obligated to purchase ENA’s entire interest in the Company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title, free and clear of any liens, to its interest in the Company.</w:t>
      </w:r>
    </w:p>
    <w:p>
      <w:pPr>
        <w:pStyle w:val="Normal"/>
        <w:widowControl/>
        <w:ind w:firstLine="1440" w:end="0"/>
        <w:rPr/>
      </w:pPr>
      <w:r>
        <w:rPr/>
      </w:r>
    </w:p>
    <w:p>
      <w:pPr>
        <w:pStyle w:val="Normal"/>
        <w:widowControl/>
        <w:ind w:firstLine="1440" w:end="0"/>
        <w:rPr/>
      </w:pPr>
      <w:r>
        <w:rPr/>
        <w:t>(e)</w:t>
        <w:tab/>
        <w:t>At the Call Closing or Put Closing, ENA will provide customary representations and warranties to TEH concerning its interest.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w:t>
      </w:r>
    </w:p>
    <w:p>
      <w:pPr>
        <w:pStyle w:val="Normal"/>
        <w:widowControl/>
        <w:rPr/>
      </w:pPr>
      <w:r>
        <w:rPr/>
      </w:r>
    </w:p>
    <w:p>
      <w:pPr>
        <w:pStyle w:val="Normal"/>
        <w:keepNext w:val="true"/>
        <w:widowControl/>
        <w:jc w:val="center"/>
        <w:rPr>
          <w:b/>
        </w:rPr>
      </w:pPr>
      <w:r>
        <w:rPr>
          <w:b/>
        </w:rPr>
        <w:t>SECTION 10</w:t>
      </w:r>
    </w:p>
    <w:p>
      <w:pPr>
        <w:pStyle w:val="Normal"/>
        <w:keepNext w:val="true"/>
        <w:widowControl/>
        <w:jc w:val="center"/>
        <w:rPr>
          <w:b/>
        </w:rPr>
      </w:pPr>
      <w:r>
        <w:rPr>
          <w:b/>
        </w:rPr>
        <w:t>DISPUTE RESOLUTION</w:t>
      </w:r>
    </w:p>
    <w:p>
      <w:pPr>
        <w:pStyle w:val="Normal"/>
        <w:keepNext w:val="true"/>
        <w:widowControl/>
        <w:rPr/>
      </w:pPr>
      <w:r>
        <w:rPr/>
      </w:r>
    </w:p>
    <w:p>
      <w:pPr>
        <w:pStyle w:val="Normal"/>
        <w:keepNext w:val="true"/>
        <w:widowControl/>
        <w:ind w:firstLine="720" w:end="0"/>
        <w:rPr/>
      </w:pPr>
      <w:r>
        <w:rPr/>
        <w:t>(a)</w:t>
        <w:tab/>
      </w:r>
      <w:r>
        <w:rPr>
          <w:u w:val="single"/>
        </w:rPr>
        <w:t>Mediation</w:t>
      </w:r>
      <w:r>
        <w:rPr/>
        <w:t>.  Each Member agrees to cause the Directors designated by it to discuss in good faith any dispute, controversy or claim arising under this Agreement that has not otherwise been resolved by discussions between the Members (a “</w:t>
      </w:r>
      <w:r>
        <w:rPr>
          <w:u w:val="single"/>
        </w:rPr>
        <w:t>Claim</w:t>
      </w:r>
      <w:r>
        <w:rPr/>
        <w:t>”).  If the Claim has not been resolved after it has been discussed at a Board meeting, and if either Member so requests after 30 days have elapsed since the Board meeting at which the Claim was discussed, the Members will attempt in good faith to resolve the Claim by mediation in accordance with the American Arbitration Association Commercial Mediation Rules (the “</w:t>
      </w:r>
      <w:r>
        <w:rPr>
          <w:u w:val="single"/>
        </w:rPr>
        <w:t>Rules</w:t>
      </w:r>
      <w:r>
        <w:rPr/>
        <w:t>”).  There shall be one mediator chosen by the parties.  If the Members are not able to agree upon a mediator within ten (10) days after either Member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Delaware.  The place of mediation shall be Wilmington, Delaware.  Each Member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Members themselves.  If the mediation is successfully concluded, the Members shall enter into a settlement agreement setting forth the terms thereof and the settlement of the Claim.  Such settlement agreement shall be final and binding on the Members, each of which agrees to waive any right of appeal thereon.  Judgment may be entered in relation to the settlement agreement in any court of competent jurisdiction.</w:t>
      </w:r>
    </w:p>
    <w:p>
      <w:pPr>
        <w:pStyle w:val="Normal"/>
        <w:widowControl/>
        <w:rPr/>
      </w:pPr>
      <w:r>
        <w:rPr/>
      </w:r>
    </w:p>
    <w:p>
      <w:pPr>
        <w:pStyle w:val="Normal"/>
        <w:widowControl/>
        <w:ind w:firstLine="720" w:end="0"/>
        <w:rPr/>
      </w:pPr>
      <w:r>
        <w:rPr/>
        <w:t>(b)</w:t>
        <w:tab/>
      </w:r>
      <w:r>
        <w:rPr>
          <w:u w:val="single"/>
        </w:rPr>
        <w:t>Binding Arbitration</w:t>
      </w:r>
      <w:r>
        <w:rPr/>
        <w:t>.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permitted by Section 11.15.</w:t>
      </w:r>
    </w:p>
    <w:p>
      <w:pPr>
        <w:pStyle w:val="Normal"/>
        <w:widowControl/>
        <w:rPr/>
      </w:pPr>
      <w:r>
        <w:rPr/>
      </w:r>
    </w:p>
    <w:p>
      <w:pPr>
        <w:pStyle w:val="Normal"/>
        <w:widowControl/>
        <w:ind w:firstLine="720" w:start="1440" w:end="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rPr/>
      </w:pPr>
      <w:r>
        <w:rPr/>
      </w:r>
    </w:p>
    <w:p>
      <w:pPr>
        <w:pStyle w:val="Normal"/>
        <w:widowControl/>
        <w:ind w:firstLine="720" w:start="1440" w:end="0"/>
        <w:rPr/>
      </w:pPr>
      <w:r>
        <w:rPr/>
        <w:t>(ii)</w:t>
        <w:tab/>
        <w:t>The respondent Member shall have twenty (20) days (the “</w:t>
      </w:r>
      <w:r>
        <w:rPr>
          <w:u w:val="single"/>
        </w:rPr>
        <w:t>Response Period</w:t>
      </w:r>
      <w:r>
        <w:rPr/>
        <w:t>”) to respond to the demand, in writing, setting out its answer and/or counterclaims.</w:t>
      </w:r>
    </w:p>
    <w:p>
      <w:pPr>
        <w:pStyle w:val="Normal"/>
        <w:widowControl/>
        <w:rPr/>
      </w:pPr>
      <w:r>
        <w:rPr/>
      </w:r>
    </w:p>
    <w:p>
      <w:pPr>
        <w:pStyle w:val="Normal"/>
        <w:widowControl/>
        <w:ind w:firstLine="720" w:start="1440" w:end="0"/>
        <w:rPr/>
      </w:pPr>
      <w:r>
        <w:rPr/>
        <w:t>(iii)</w:t>
        <w:tab/>
        <w:t>After the arbitration demand and response have been exchanged, a three-member arbitration panel shall be selected as follows:</w:t>
      </w:r>
    </w:p>
    <w:p>
      <w:pPr>
        <w:pStyle w:val="Normal"/>
        <w:widowControl/>
        <w:rPr/>
      </w:pPr>
      <w:r>
        <w:rPr/>
      </w:r>
    </w:p>
    <w:p>
      <w:pPr>
        <w:pStyle w:val="Normal"/>
        <w:widowControl/>
        <w:ind w:firstLine="720" w:start="2160" w:end="0"/>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Normal"/>
        <w:widowControl/>
        <w:rPr/>
      </w:pPr>
      <w:r>
        <w:rPr/>
      </w:r>
    </w:p>
    <w:p>
      <w:pPr>
        <w:pStyle w:val="Normal"/>
        <w:widowControl/>
        <w:ind w:firstLine="720" w:start="2160" w:end="0"/>
        <w:rPr/>
      </w:pPr>
      <w:r>
        <w:rPr/>
        <w:t>(2)</w:t>
        <w:tab/>
        <w: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t>
      </w:r>
    </w:p>
    <w:p>
      <w:pPr>
        <w:pStyle w:val="Normal"/>
        <w:widowControl/>
        <w:rPr/>
      </w:pPr>
      <w:r>
        <w:rPr/>
      </w:r>
    </w:p>
    <w:p>
      <w:pPr>
        <w:pStyle w:val="Normal"/>
        <w:widowControl/>
        <w:ind w:firstLine="720" w:start="2160" w:end="0"/>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rPr/>
      </w:pPr>
      <w:r>
        <w:rPr/>
      </w:r>
    </w:p>
    <w:p>
      <w:pPr>
        <w:pStyle w:val="Normal"/>
        <w:widowControl/>
        <w:ind w:firstLine="720" w:start="1440" w:end="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rPr/>
      </w:pPr>
      <w:r>
        <w:rPr/>
      </w:r>
    </w:p>
    <w:p>
      <w:pPr>
        <w:pStyle w:val="Normal"/>
        <w:widowControl/>
        <w:ind w:firstLine="720" w:start="1440" w:end="0"/>
        <w:rPr/>
      </w:pPr>
      <w:r>
        <w:rPr/>
        <w:t>(v)</w:t>
        <w:tab/>
        <w:t>Within thirty (30) days after the final appointment to the arbitration panel, the arbitration hearing shall proceed, subject to the following requirements and procedures:</w:t>
      </w:r>
    </w:p>
    <w:p>
      <w:pPr>
        <w:pStyle w:val="Normal"/>
        <w:widowControl/>
        <w:rPr/>
      </w:pPr>
      <w:r>
        <w:rPr/>
      </w:r>
    </w:p>
    <w:p>
      <w:pPr>
        <w:pStyle w:val="Normal"/>
        <w:widowControl/>
        <w:ind w:firstLine="720" w:start="2160" w:end="0"/>
        <w:rPr/>
      </w:pPr>
      <w:r>
        <w:rPr/>
        <w:t>(1)</w:t>
        <w:tab/>
        <w:t>The arbitration hearing shall be held in Wilmington, Delaware, at a location mutually agreed by the Members, or failing such agreement, at a location determined by the arbitration panel;</w:t>
      </w:r>
    </w:p>
    <w:p>
      <w:pPr>
        <w:pStyle w:val="Normal"/>
        <w:widowControl/>
        <w:rPr/>
      </w:pPr>
      <w:r>
        <w:rPr/>
      </w:r>
    </w:p>
    <w:p>
      <w:pPr>
        <w:pStyle w:val="Normal"/>
        <w:widowControl/>
        <w:ind w:firstLine="720" w:start="2160" w:end="0"/>
        <w:rPr/>
      </w:pPr>
      <w:r>
        <w:rPr/>
        <w:t>(2)</w:t>
        <w:tab/>
        <w:t>Strict rules of evidence shall not be applied in the arbitration hearing.  The parties may offer such evidence as they desire and the arbitrators shall accept such evidence and accord it such weight as the arbitrators deem appropriate.  Cross</w:t>
        <w:noBreakHyphen/>
        <w:t>examination of witnesses and rebuttal testimony shall be permitted; and</w:t>
      </w:r>
    </w:p>
    <w:p>
      <w:pPr>
        <w:pStyle w:val="Normal"/>
        <w:widowControl/>
        <w:rPr/>
      </w:pPr>
      <w:r>
        <w:rPr/>
      </w:r>
    </w:p>
    <w:p>
      <w:pPr>
        <w:pStyle w:val="Normal"/>
        <w:widowControl/>
        <w:ind w:firstLine="720" w:start="2160" w:end="0"/>
        <w:rPr/>
      </w:pPr>
      <w:r>
        <w:rPr/>
        <w:t>(3)</w:t>
        <w:tab/>
        <w:t>Each Member may, but is not required to, submit one (1) pre</w:t>
        <w:noBreakHyphen/>
        <w:t>arbitration hearing brief (of not more than ten (10) pages (excluding exhibits)) no later than five (5) days prior to commencement of the arbitration hearing, and may also submit one (1) post</w:t>
        <w:noBreakHyphen/>
        <w:t>arbitration hearing brief (of not more than ten (10) pages (excluding exhibits)) no later than ten (10) days after the close of the arbitration hearing.  A copy of any brief submitted to the arbitration panel shall also be served on the other Member.</w:t>
      </w:r>
    </w:p>
    <w:p>
      <w:pPr>
        <w:pStyle w:val="Normal"/>
        <w:widowControl/>
        <w:rPr/>
      </w:pPr>
      <w:r>
        <w:rPr/>
      </w:r>
    </w:p>
    <w:p>
      <w:pPr>
        <w:pStyle w:val="Normal"/>
        <w:widowControl/>
        <w:ind w:firstLine="720" w:start="1440" w:end="0"/>
        <w:rPr/>
      </w:pPr>
      <w:r>
        <w:rPr/>
        <w:t>(vi)</w:t>
        <w:tab/>
        <w:t>After submission of any post</w:t>
        <w:noBreakHyphen/>
        <w:t>arbitration hearing briefs and within thirty (30) days after the close of the arbitration hearing, the arbitrators shall render an award upon a majority vote, subject to the following requirements and procedures:</w:t>
      </w:r>
    </w:p>
    <w:p>
      <w:pPr>
        <w:pStyle w:val="Normal"/>
        <w:widowControl/>
        <w:rPr/>
      </w:pPr>
      <w:r>
        <w:rPr/>
      </w:r>
    </w:p>
    <w:p>
      <w:pPr>
        <w:pStyle w:val="Normal"/>
        <w:widowControl/>
        <w:ind w:firstLine="720" w:start="2160" w:end="0"/>
        <w:rPr/>
      </w:pPr>
      <w:r>
        <w:rPr/>
        <w:t>(1)</w:t>
        <w:tab/>
        <w:t>The arbitration panel shall weigh evidence and make its award, taking into account, to the extent it deems applicable, custom and usage of the Company’s industry;</w:t>
      </w:r>
    </w:p>
    <w:p>
      <w:pPr>
        <w:pStyle w:val="Normal"/>
        <w:widowControl/>
        <w:rPr/>
      </w:pPr>
      <w:r>
        <w:rPr/>
      </w:r>
    </w:p>
    <w:p>
      <w:pPr>
        <w:pStyle w:val="Normal"/>
        <w:widowControl/>
        <w:ind w:firstLine="720" w:start="2160" w:end="0"/>
        <w:rPr/>
      </w:pPr>
      <w:r>
        <w:rPr/>
        <w:t>(2)</w:t>
        <w:tab/>
        <w:t>The arbitration panel’s award shall be issued in writing and shall state the factual bases and reasoning of the award; and,</w:t>
      </w:r>
    </w:p>
    <w:p>
      <w:pPr>
        <w:pStyle w:val="Normal"/>
        <w:widowControl/>
        <w:rPr/>
      </w:pPr>
      <w:r>
        <w:rPr/>
      </w:r>
    </w:p>
    <w:p>
      <w:pPr>
        <w:pStyle w:val="Normal"/>
        <w:widowControl/>
        <w:ind w:firstLine="720" w:start="2160" w:end="0"/>
        <w:rPr/>
      </w:pPr>
      <w:r>
        <w:rPr/>
        <w:t>(3)</w:t>
        <w:tab/>
        <w:t>The arbitrators may award costs of the arbitration proceeding, excluding attorneys’ fees and also excluding the costs apportioned pursuant to clause (vii) below.</w:t>
      </w:r>
    </w:p>
    <w:p>
      <w:pPr>
        <w:pStyle w:val="Normal"/>
        <w:widowControl/>
        <w:rPr/>
      </w:pPr>
      <w:r>
        <w:rPr/>
      </w:r>
    </w:p>
    <w:p>
      <w:pPr>
        <w:pStyle w:val="Normal"/>
        <w:widowControl/>
        <w:ind w:firstLine="720" w:start="1440" w:end="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w:t>
        <w:noBreakHyphen/>
        <w:t>selected arbitrator.</w:t>
      </w:r>
    </w:p>
    <w:p>
      <w:pPr>
        <w:pStyle w:val="Normal"/>
        <w:widowControl/>
        <w:rPr/>
      </w:pPr>
      <w:r>
        <w:rPr/>
      </w:r>
    </w:p>
    <w:p>
      <w:pPr>
        <w:pStyle w:val="Normal"/>
        <w:widowControl/>
        <w:ind w:firstLine="720" w:start="1440" w:end="0"/>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rPr/>
      </w:pPr>
      <w:r>
        <w:rPr/>
      </w:r>
    </w:p>
    <w:p>
      <w:pPr>
        <w:pStyle w:val="Normal"/>
        <w:widowControl/>
        <w:ind w:firstLine="720" w:start="1440" w:end="0"/>
        <w:rPr/>
      </w:pPr>
      <w:r>
        <w:rPr/>
        <w:t>(ix)</w:t>
        <w:tab/>
        <w:t>All time limits stated in this section are for the convenience of the Members and may be altered upon mutual agreement of the parties.</w:t>
      </w:r>
    </w:p>
    <w:p>
      <w:pPr>
        <w:pStyle w:val="Normal"/>
        <w:widowControl/>
        <w:rPr/>
      </w:pPr>
      <w:r>
        <w:rPr/>
      </w:r>
    </w:p>
    <w:p>
      <w:pPr>
        <w:pStyle w:val="Normal"/>
        <w:widowControl/>
        <w:ind w:firstLine="1440" w:end="0"/>
        <w:rPr/>
      </w:pPr>
      <w:r>
        <w:rPr/>
        <w:t>(c)</w:t>
        <w:tab/>
      </w:r>
      <w:r>
        <w:rPr>
          <w:u w:val="single"/>
        </w:rPr>
        <w:t>Sole and Exclusive Remedy</w:t>
      </w:r>
      <w:r>
        <w:rPr/>
        <w:t>.  The procedures specified in this Section shall be the sole and exclusive procedures for the resolution of any Claim between the parties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p>
    <w:p>
      <w:pPr>
        <w:pStyle w:val="Normal"/>
        <w:widowControl/>
        <w:rPr/>
      </w:pPr>
      <w:r>
        <w:rPr/>
      </w:r>
    </w:p>
    <w:p>
      <w:pPr>
        <w:pStyle w:val="Normal"/>
        <w:widowControl/>
        <w:jc w:val="center"/>
        <w:rPr>
          <w:b/>
        </w:rPr>
      </w:pPr>
      <w:r>
        <w:rPr>
          <w:b/>
        </w:rPr>
        <w:t>SECTION 11</w:t>
      </w:r>
    </w:p>
    <w:p>
      <w:pPr>
        <w:pStyle w:val="Normal"/>
        <w:widowControl/>
        <w:jc w:val="center"/>
        <w:rPr>
          <w:b/>
        </w:rPr>
      </w:pPr>
      <w:r>
        <w:rPr>
          <w:b/>
        </w:rPr>
        <w:t>MISCELLANEOUS</w:t>
      </w:r>
    </w:p>
    <w:p>
      <w:pPr>
        <w:pStyle w:val="Normal"/>
        <w:widowControl/>
        <w:rPr/>
      </w:pPr>
      <w:r>
        <w:rPr/>
      </w:r>
    </w:p>
    <w:p>
      <w:pPr>
        <w:pStyle w:val="Normal"/>
        <w:widowControl/>
        <w:ind w:firstLine="720" w:end="0"/>
        <w:rPr/>
      </w:pPr>
      <w:r>
        <w:rPr/>
        <w:t>11.1</w:t>
        <w:tab/>
      </w:r>
      <w:r>
        <w:rPr>
          <w:u w:val="single"/>
        </w:rPr>
        <w:t>Notices</w:t>
      </w:r>
      <w:r>
        <w:rPr/>
        <w:t>.  Any notice, payment, demand, or communication required or permitted to be given pursuant to any provision of this Agreement shall be in writing and shall be (i) delivered personally, (ii) sent by postage prepaid, certified mail, (iii) transmitted by telecopy, or (iv) delivered by nationally recognized overnight courier, addressed as follows, or to such other address as such Person may from time to time specify by notice to the Members:</w:t>
      </w:r>
    </w:p>
    <w:p>
      <w:pPr>
        <w:pStyle w:val="Normal"/>
        <w:widowControl/>
        <w:rPr/>
      </w:pPr>
      <w:r>
        <w:rPr/>
      </w:r>
    </w:p>
    <w:p>
      <w:pPr>
        <w:pStyle w:val="Normal"/>
        <w:keepNext w:val="true"/>
        <w:widowControl/>
        <w:ind w:firstLine="1440" w:end="0"/>
        <w:rPr/>
      </w:pPr>
      <w:r>
        <w:rPr/>
        <w:t>(a)</w:t>
        <w:tab/>
        <w:t>If to TEH, to:</w:t>
      </w:r>
    </w:p>
    <w:p>
      <w:pPr>
        <w:pStyle w:val="Normal"/>
        <w:keepNext w:val="true"/>
        <w:widowControl/>
        <w:rPr/>
      </w:pPr>
      <w:r>
        <w:rPr/>
      </w:r>
    </w:p>
    <w:p>
      <w:pPr>
        <w:pStyle w:val="Normal"/>
        <w:keepNext w:val="true"/>
        <w:widowControl/>
        <w:ind w:firstLine="2160" w:end="0"/>
        <w:rPr/>
      </w:pPr>
      <w:r>
        <w:rPr/>
        <w:t>Tejas Energy N S Holding, LLC</w:t>
      </w:r>
    </w:p>
    <w:p>
      <w:pPr>
        <w:pStyle w:val="Normal"/>
        <w:keepNext w:val="true"/>
        <w:widowControl/>
        <w:ind w:firstLine="2160" w:end="0"/>
        <w:rPr/>
      </w:pPr>
      <w:r>
        <w:rPr/>
        <w:t>c/o Coral Power, LLC</w:t>
      </w:r>
    </w:p>
    <w:p>
      <w:pPr>
        <w:pStyle w:val="Normal"/>
        <w:keepNext w:val="true"/>
        <w:widowControl/>
        <w:ind w:firstLine="2160" w:end="0"/>
        <w:rPr/>
      </w:pPr>
      <w:r>
        <w:rPr/>
        <w:t>909 Fannin, Suite 700</w:t>
      </w:r>
    </w:p>
    <w:p>
      <w:pPr>
        <w:pStyle w:val="Normal"/>
        <w:keepNext w:val="true"/>
        <w:widowControl/>
        <w:ind w:firstLine="2160" w:end="0"/>
        <w:rPr/>
      </w:pPr>
      <w:r>
        <w:rPr/>
        <w:t>Houston, Texas  77010</w:t>
      </w:r>
    </w:p>
    <w:p>
      <w:pPr>
        <w:pStyle w:val="Normal"/>
        <w:keepNext w:val="true"/>
        <w:widowControl/>
        <w:ind w:firstLine="2160" w:end="0"/>
        <w:rPr/>
      </w:pPr>
      <w:r>
        <w:rPr/>
        <w:t>Attn:  Mr. Tom Seigler</w:t>
      </w:r>
    </w:p>
    <w:p>
      <w:pPr>
        <w:pStyle w:val="Normal"/>
        <w:keepNext w:val="true"/>
        <w:widowControl/>
        <w:ind w:firstLine="2160" w:end="0"/>
        <w:rPr/>
      </w:pPr>
      <w:r>
        <w:rPr/>
        <w:t>Telecopy:  713-265-5672</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Mr. Ben F. Jacoby</w:t>
      </w:r>
    </w:p>
    <w:p>
      <w:pPr>
        <w:pStyle w:val="Normal"/>
        <w:widowControl/>
        <w:ind w:firstLine="2160" w:end="0"/>
        <w:rPr/>
      </w:pPr>
      <w:r>
        <w:rPr/>
        <w:t>Telecopy:  713-646-3037</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________________</w:t>
      </w:r>
    </w:p>
    <w:p>
      <w:pPr>
        <w:pStyle w:val="Normal"/>
        <w:widowControl/>
        <w:rPr/>
      </w:pPr>
      <w:r>
        <w:rPr/>
      </w:r>
    </w:p>
    <w:p>
      <w:pPr>
        <w:pStyle w:val="Normal"/>
        <w:widowControl/>
        <w:ind w:firstLine="1440" w:end="0"/>
        <w:rPr/>
      </w:pPr>
      <w:r>
        <w:rPr/>
        <w:t>(c)</w:t>
        <w:tab/>
        <w:t>Any such notice, payment, demand, or communication shall be deemed to be delivered, given, and received for all purposes hereof (x) on the date of receipt if delivered personally or by courier, (y) two (2) business days after posting if transmitted by mail, or (z) on the date of transmission if transmitted by telecopy, provided that the sender obtains confirmation of transmission.</w:t>
      </w:r>
    </w:p>
    <w:p>
      <w:pPr>
        <w:pStyle w:val="Normal"/>
        <w:widowControl/>
        <w:rPr/>
      </w:pPr>
      <w:r>
        <w:rPr/>
      </w:r>
    </w:p>
    <w:p>
      <w:pPr>
        <w:pStyle w:val="Normal"/>
        <w:widowControl/>
        <w:ind w:firstLine="720" w:end="0"/>
        <w:rPr/>
      </w:pPr>
      <w:r>
        <w:rPr/>
        <w:t>11.2</w:t>
        <w:tab/>
      </w:r>
      <w:r>
        <w:rPr>
          <w:u w:val="single"/>
        </w:rPr>
        <w:t>Entire Agreement; Duties and Obligations Limited to This Agreement</w:t>
      </w:r>
      <w:r>
        <w:rPr/>
        <w:t>.  The provisions of this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the Members shall between them have no separate obligations, duties, including fiduciary duties or implied duties or agreements to perform, except as may be agreed to in writing by the Members after the date hereof.</w:t>
      </w:r>
    </w:p>
    <w:p>
      <w:pPr>
        <w:pStyle w:val="Normal"/>
        <w:widowControl/>
        <w:rPr/>
      </w:pPr>
      <w:r>
        <w:rPr/>
      </w:r>
    </w:p>
    <w:p>
      <w:pPr>
        <w:pStyle w:val="Normal"/>
        <w:widowControl/>
        <w:ind w:firstLine="720" w:end="0"/>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11.5</w:t>
        <w:tab/>
      </w:r>
      <w:r>
        <w:rPr>
          <w:u w:val="single"/>
        </w:rPr>
        <w:t>Time</w:t>
      </w:r>
      <w:r>
        <w:rPr/>
        <w:t>.  Time is of the essence with respect to this Agreement.</w:t>
      </w:r>
    </w:p>
    <w:p>
      <w:pPr>
        <w:pStyle w:val="Normal"/>
        <w:widowControl/>
        <w:rPr/>
      </w:pPr>
      <w:r>
        <w:rPr/>
      </w:r>
    </w:p>
    <w:p>
      <w:pPr>
        <w:pStyle w:val="Normal"/>
        <w:widowControl/>
        <w:ind w:firstLine="720" w:end="0"/>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11.8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11.11</w:t>
        <w:tab/>
      </w:r>
      <w:r>
        <w:rPr>
          <w:u w:val="single"/>
        </w:rPr>
        <w:t>Waiver of Jury Trial</w:t>
      </w:r>
      <w:r>
        <w:rPr/>
        <w:t>.  Each Member waives, to the fullest extent permitted by applicable law, any right it may have to a trial by jury in respect of any action, suit or proceeding arising out of or relating to the Company or this Agreement.</w:t>
      </w:r>
    </w:p>
    <w:p>
      <w:pPr>
        <w:pStyle w:val="Normal"/>
        <w:widowControl/>
        <w:rPr/>
      </w:pPr>
      <w:r>
        <w:rPr/>
      </w:r>
    </w:p>
    <w:p>
      <w:pPr>
        <w:pStyle w:val="Normal"/>
        <w:widowControl/>
        <w:ind w:firstLine="720" w:end="0"/>
        <w:rPr/>
      </w:pPr>
      <w:r>
        <w:rPr/>
        <w:t>11.12</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11.13</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11.14</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11.15</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TEJAS ENERGY N S HOLDING, LLC</w:t>
      </w:r>
    </w:p>
    <w:p>
      <w:pPr>
        <w:pStyle w:val="Normal"/>
        <w:widowControl/>
        <w:tabs>
          <w:tab w:val="clear" w:pos="720"/>
          <w:tab w:val="left" w:pos="4320" w:leader="none"/>
          <w:tab w:val="left" w:pos="4680" w:leader="none"/>
        </w:tabs>
        <w:rPr>
          <w:b/>
        </w:rPr>
      </w:pPr>
      <w:r>
        <w:rPr>
          <w:b/>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(i) any Person directly or indirectly controlling, controlled by, or under common control with, such Person, (ii) any officer, director, or employee of such Person, or (iii) any Person who is an officer, director, or employee of any Person described in clause (i) of this definition.</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November ____, 2000.</w:t>
      </w:r>
    </w:p>
    <w:p>
      <w:pPr>
        <w:pStyle w:val="Normal"/>
        <w:widowControl/>
        <w:rPr/>
      </w:pPr>
      <w:r>
        <w:rPr/>
      </w:r>
    </w:p>
    <w:p>
      <w:pPr>
        <w:pStyle w:val="Normal"/>
        <w:widowControl/>
        <w:ind w:firstLine="1440" w:end="0"/>
        <w:rPr/>
      </w:pPr>
      <w:r>
        <w:rPr/>
        <w:t>“</w:t>
      </w:r>
      <w:r>
        <w:rPr>
          <w:u w:val="single"/>
        </w:rPr>
        <w:t>Claim</w:t>
      </w:r>
      <w:r>
        <w:rPr/>
        <w:t>” is defined in Section 10(a).</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Employees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Facility Agreement</w:t>
      </w:r>
      <w:r>
        <w:rPr/>
        <w:t xml:space="preserve">” is defined in Section 3.1.5. </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TEH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Response Period</w:t>
      </w:r>
      <w:r>
        <w:rPr/>
        <w:t xml:space="preserve">” is defined in Section 10(b)(ii).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Rules</w:t>
      </w:r>
      <w:r>
        <w:rPr/>
        <w:t>” is defined in Section 10(a).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Subject Unit</w:t>
      </w:r>
      <w:r>
        <w:rPr/>
        <w:t>” is defined in Section 3.1.5.</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TEH</w:t>
      </w:r>
      <w:r>
        <w:rPr/>
        <w:t>” is defined in the preamble.</w:t>
      </w:r>
    </w:p>
    <w:p>
      <w:pPr>
        <w:pStyle w:val="Normal"/>
        <w:widowControl/>
        <w:rPr/>
      </w:pPr>
      <w:r>
        <w:rPr/>
      </w:r>
    </w:p>
    <w:p>
      <w:pPr>
        <w:pStyle w:val="Normal"/>
        <w:widowControl/>
        <w:ind w:firstLine="1440" w:end="0"/>
        <w:rPr/>
      </w:pPr>
      <w:r>
        <w:rPr/>
        <w:t>“</w:t>
      </w:r>
      <w:r>
        <w:rPr>
          <w:u w:val="single"/>
        </w:rPr>
        <w:t>TEH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TEH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TEH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TEH Confidential Information</w:t>
      </w:r>
      <w:r>
        <w:rPr/>
        <w:t>” shall mean any and all information, including trade secrets and know</w:t>
        <w:noBreakHyphen/>
        <w:t>how proprietary to TEH, that is disclosed to ENA by TEH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or consultants (hereinafter collectively referred to as “</w:t>
      </w:r>
      <w:r>
        <w:rPr>
          <w:u w:val="single"/>
        </w:rPr>
        <w:t>Employees</w:t>
      </w:r>
      <w:r>
        <w:rPr/>
        <w:t xml:space="preserve">”) who have a need to know related to the business of the Company; </w:t>
      </w:r>
      <w:r>
        <w:rPr>
          <w:u w:val="single"/>
        </w:rPr>
        <w:t>provided</w:t>
      </w:r>
      <w:r>
        <w:rPr/>
        <w:t xml:space="preserve"> that each Member shall instruct its Employees that any Confidential Information conveyed is proprietary to the Member involved and that it is to be held in strict confidence by said Employees, and each Member shall use its best efforts to ensure that all of its Employees to whom Confidential Information is disclosed will take all reasonable precautions to safeguard and preserve the confidential status of the Confidential Information.</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(b) return to the other any documents and other materials produced from the Confidential Information by the receiving Member; and (c)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61">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2">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3">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2000-12-01T00:07:00Z</dcterms:created>
  <dc:creator>Carolyn Campbell</dc:creator>
  <dc:description>Houston-128540 v3</dc:description>
  <dc:language>en-CA</dc:language>
  <cp:lastModifiedBy>Carolyn Campbell</cp:lastModifiedBy>
  <cp:lastPrinted>2000-11-30T09:48:00Z</cp:lastPrinted>
  <dcterms:modified xsi:type="dcterms:W3CDTF">2000-12-01T00:21:00Z</dcterms:modified>
  <cp:revision>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