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283" w:type="dxa"/>
        <w:jc w:val="start"/>
        <w:tblInd w:w="0" w:type="dxa"/>
        <w:tblLayout w:type="fixed"/>
        <w:tblCellMar>
          <w:top w:w="0" w:type="dxa"/>
          <w:start w:w="108" w:type="dxa"/>
          <w:bottom w:w="0" w:type="dxa"/>
          <w:end w:w="108" w:type="dxa"/>
        </w:tblCellMar>
      </w:tblPr>
      <w:tblGrid>
        <w:gridCol w:w="3794"/>
        <w:gridCol w:w="2268"/>
        <w:gridCol w:w="3119"/>
        <w:gridCol w:w="3043"/>
        <w:gridCol w:w="2059"/>
      </w:tblGrid>
      <w:tr>
        <w:trPr/>
        <w:tc>
          <w:tcPr>
            <w:tcW w:w="14283" w:type="dxa"/>
            <w:gridSpan w:val="5"/>
            <w:tcBorders>
              <w:top w:val="single" w:sz="12" w:space="0" w:color="000000"/>
              <w:bottom w:val="single" w:sz="12" w:space="0" w:color="000000"/>
            </w:tcBorders>
          </w:tcPr>
          <w:p>
            <w:pPr>
              <w:pStyle w:val="Heading2"/>
              <w:ind w:hanging="0" w:start="0"/>
              <w:rPr/>
            </w:pPr>
            <w:r>
              <w:rPr/>
              <w:t>OVERVIEW OF PROCEEDINGS</w:t>
            </w:r>
          </w:p>
          <w:p>
            <w:pPr>
              <w:pStyle w:val="Normal"/>
              <w:jc w:val="center"/>
              <w:rPr>
                <w:b/>
                <w:color w:val="000080"/>
              </w:rPr>
            </w:pPr>
            <w:r>
              <w:rPr>
                <w:b/>
                <w:color w:val="000080"/>
              </w:rPr>
            </w:r>
          </w:p>
          <w:p>
            <w:pPr>
              <w:pStyle w:val="Heading2"/>
              <w:ind w:hanging="0" w:start="0"/>
              <w:rPr/>
            </w:pPr>
            <w:r>
              <w:rPr/>
              <w:t>ENRON</w:t>
            </w:r>
          </w:p>
          <w:p>
            <w:pPr>
              <w:pStyle w:val="Normal"/>
              <w:jc w:val="center"/>
              <w:rPr>
                <w:b/>
                <w:color w:val="000080"/>
              </w:rPr>
            </w:pPr>
            <w:r>
              <w:rPr>
                <w:b/>
                <w:color w:val="000080"/>
              </w:rPr>
            </w:r>
          </w:p>
          <w:p>
            <w:pPr>
              <w:pStyle w:val="Normal"/>
              <w:jc w:val="center"/>
              <w:rPr>
                <w:b/>
                <w:i/>
                <w:i/>
                <w:color w:val="000080"/>
              </w:rPr>
            </w:pPr>
            <w:r>
              <w:rPr>
                <w:b/>
                <w:i/>
                <w:color w:val="000080"/>
              </w:rPr>
              <w:t>text in Italics are “optionals”</w:t>
            </w:r>
          </w:p>
          <w:p>
            <w:pPr>
              <w:pStyle w:val="Normal"/>
              <w:jc w:val="center"/>
              <w:rPr>
                <w:b/>
                <w:i/>
                <w:i/>
                <w:color w:val="000080"/>
              </w:rPr>
            </w:pPr>
            <w:r>
              <w:rPr>
                <w:b/>
                <w:i/>
                <w:color w:val="000080"/>
              </w:rPr>
            </w:r>
          </w:p>
        </w:tc>
      </w:tr>
      <w:tr>
        <w:trPr/>
        <w:tc>
          <w:tcPr>
            <w:tcW w:w="3794" w:type="dxa"/>
            <w:tcBorders>
              <w:top w:val="single" w:sz="6" w:space="0" w:color="000000"/>
              <w:bottom w:val="single" w:sz="6" w:space="0" w:color="000000"/>
            </w:tcBorders>
          </w:tcPr>
          <w:p>
            <w:pPr>
              <w:pStyle w:val="Normal"/>
              <w:spacing w:before="120" w:after="0"/>
              <w:rPr>
                <w:b/>
                <w:u w:val="single"/>
              </w:rPr>
            </w:pPr>
            <w:r>
              <w:rPr>
                <w:b/>
                <w:u w:val="single"/>
              </w:rPr>
              <w:t>PROCEEDINGS</w:t>
            </w:r>
          </w:p>
          <w:p>
            <w:pPr>
              <w:pStyle w:val="Normal"/>
              <w:spacing w:before="120" w:after="0"/>
              <w:rPr>
                <w:b/>
                <w:u w:val="single"/>
              </w:rPr>
            </w:pPr>
            <w:r>
              <w:rPr>
                <w:b/>
                <w:u w:val="single"/>
              </w:rPr>
            </w:r>
          </w:p>
        </w:tc>
        <w:tc>
          <w:tcPr>
            <w:tcW w:w="2268" w:type="dxa"/>
            <w:tcBorders>
              <w:top w:val="single" w:sz="6" w:space="0" w:color="000000"/>
              <w:bottom w:val="single" w:sz="6" w:space="0" w:color="000000"/>
            </w:tcBorders>
          </w:tcPr>
          <w:p>
            <w:pPr>
              <w:pStyle w:val="Heading3"/>
              <w:spacing w:before="120" w:after="0"/>
              <w:rPr/>
            </w:pPr>
            <w:r>
              <w:rPr/>
              <w:t>WHERE</w:t>
            </w:r>
          </w:p>
        </w:tc>
        <w:tc>
          <w:tcPr>
            <w:tcW w:w="3119" w:type="dxa"/>
            <w:tcBorders>
              <w:top w:val="single" w:sz="6" w:space="0" w:color="000000"/>
              <w:bottom w:val="single" w:sz="6" w:space="0" w:color="000000"/>
            </w:tcBorders>
          </w:tcPr>
          <w:p>
            <w:pPr>
              <w:pStyle w:val="Normal"/>
              <w:spacing w:before="120" w:after="0"/>
              <w:rPr>
                <w:b/>
                <w:u w:val="single"/>
              </w:rPr>
            </w:pPr>
            <w:r>
              <w:rPr>
                <w:b/>
                <w:u w:val="single"/>
              </w:rPr>
              <w:t>STATUS</w:t>
            </w:r>
          </w:p>
        </w:tc>
        <w:tc>
          <w:tcPr>
            <w:tcW w:w="3043" w:type="dxa"/>
            <w:tcBorders>
              <w:top w:val="single" w:sz="6" w:space="0" w:color="000000"/>
              <w:bottom w:val="single" w:sz="6" w:space="0" w:color="000000"/>
            </w:tcBorders>
          </w:tcPr>
          <w:p>
            <w:pPr>
              <w:pStyle w:val="Heading1"/>
              <w:spacing w:before="120" w:after="0"/>
              <w:ind w:hanging="0" w:start="0"/>
              <w:rPr>
                <w:i w:val="false"/>
                <w:i w:val="false"/>
                <w:u w:val="none"/>
              </w:rPr>
            </w:pPr>
            <w:r>
              <w:rPr>
                <w:i w:val="false"/>
              </w:rPr>
              <w:t>DATE</w:t>
            </w:r>
          </w:p>
        </w:tc>
        <w:tc>
          <w:tcPr>
            <w:tcW w:w="2059" w:type="dxa"/>
            <w:tcBorders>
              <w:top w:val="single" w:sz="6" w:space="0" w:color="000000"/>
              <w:bottom w:val="single" w:sz="6" w:space="0" w:color="000000"/>
            </w:tcBorders>
          </w:tcPr>
          <w:p>
            <w:pPr>
              <w:pStyle w:val="Heading1"/>
              <w:spacing w:before="120" w:after="0"/>
              <w:ind w:hanging="0" w:start="0"/>
              <w:rPr>
                <w:i w:val="false"/>
                <w:i w:val="false"/>
              </w:rPr>
            </w:pPr>
            <w:r>
              <w:rPr>
                <w:i w:val="false"/>
              </w:rPr>
              <w:t>WHO</w:t>
            </w:r>
          </w:p>
        </w:tc>
      </w:tr>
      <w:tr>
        <w:trPr/>
        <w:tc>
          <w:tcPr>
            <w:tcW w:w="3794" w:type="dxa"/>
            <w:tcBorders>
              <w:top w:val="single" w:sz="6" w:space="0" w:color="000000"/>
              <w:bottom w:val="single" w:sz="6" w:space="0" w:color="000000"/>
            </w:tcBorders>
          </w:tcPr>
          <w:p>
            <w:pPr>
              <w:pStyle w:val="Normal"/>
              <w:numPr>
                <w:ilvl w:val="0"/>
                <w:numId w:val="2"/>
              </w:numPr>
              <w:spacing w:before="120" w:after="0"/>
              <w:rPr/>
            </w:pPr>
            <w:r>
              <w:rPr/>
              <w:t>Appeal against civil judgement of 12 May 2000 in summary proceedings</w:t>
            </w:r>
          </w:p>
          <w:p>
            <w:pPr>
              <w:pStyle w:val="Normal"/>
              <w:spacing w:before="120" w:after="0"/>
              <w:rPr/>
            </w:pPr>
            <w:r>
              <w:rPr/>
            </w:r>
          </w:p>
        </w:tc>
        <w:tc>
          <w:tcPr>
            <w:tcW w:w="2268" w:type="dxa"/>
            <w:tcBorders>
              <w:top w:val="single" w:sz="6" w:space="0" w:color="000000"/>
              <w:bottom w:val="single" w:sz="6" w:space="0" w:color="000000"/>
            </w:tcBorders>
          </w:tcPr>
          <w:p>
            <w:pPr>
              <w:pStyle w:val="Normal"/>
              <w:spacing w:before="120" w:after="0"/>
              <w:rPr/>
            </w:pPr>
            <w:r>
              <w:rPr/>
              <w:t>Court of Appeal</w:t>
              <w:br/>
              <w:t>Arnhem</w:t>
            </w:r>
          </w:p>
        </w:tc>
        <w:tc>
          <w:tcPr>
            <w:tcW w:w="3119" w:type="dxa"/>
            <w:tcBorders>
              <w:top w:val="single" w:sz="6" w:space="0" w:color="000000"/>
              <w:bottom w:val="single" w:sz="6" w:space="0" w:color="000000"/>
            </w:tcBorders>
          </w:tcPr>
          <w:p>
            <w:pPr>
              <w:pStyle w:val="Normal"/>
              <w:spacing w:before="120" w:after="0"/>
              <w:rPr/>
            </w:pPr>
            <w:r>
              <w:rPr/>
              <w:t>Notice and grounds of appeal served on or before Friday 26 May 2000</w:t>
            </w:r>
          </w:p>
        </w:tc>
        <w:tc>
          <w:tcPr>
            <w:tcW w:w="3043" w:type="dxa"/>
            <w:tcBorders>
              <w:top w:val="single" w:sz="6" w:space="0" w:color="000000"/>
              <w:bottom w:val="single" w:sz="6" w:space="0" w:color="000000"/>
            </w:tcBorders>
          </w:tcPr>
          <w:p>
            <w:pPr>
              <w:pStyle w:val="Normal"/>
              <w:spacing w:before="120" w:after="0"/>
              <w:rPr/>
            </w:pPr>
            <w:r>
              <w:rPr/>
              <w:t>Court session expected to take place by the end of June; judgement expected by August</w:t>
            </w:r>
          </w:p>
          <w:p>
            <w:pPr>
              <w:pStyle w:val="Normal"/>
              <w:spacing w:before="120" w:after="0"/>
              <w:rPr/>
            </w:pPr>
            <w:r>
              <w:rPr/>
            </w:r>
          </w:p>
        </w:tc>
        <w:tc>
          <w:tcPr>
            <w:tcW w:w="2059" w:type="dxa"/>
            <w:tcBorders>
              <w:top w:val="single" w:sz="6" w:space="0" w:color="000000"/>
              <w:bottom w:val="single" w:sz="6" w:space="0" w:color="000000"/>
            </w:tcBorders>
          </w:tcPr>
          <w:p>
            <w:pPr>
              <w:pStyle w:val="Normal"/>
              <w:spacing w:before="120" w:after="0"/>
              <w:rPr/>
            </w:pPr>
            <w:r>
              <w:rPr/>
              <w:t>D.J. Oranje, T.H. van Voorst Vader, P. Keijsers</w:t>
            </w:r>
          </w:p>
        </w:tc>
      </w:tr>
      <w:tr>
        <w:trPr/>
        <w:tc>
          <w:tcPr>
            <w:tcW w:w="3794" w:type="dxa"/>
            <w:tcBorders>
              <w:top w:val="single" w:sz="6" w:space="0" w:color="000000"/>
              <w:bottom w:val="single" w:sz="6" w:space="0" w:color="000000"/>
            </w:tcBorders>
          </w:tcPr>
          <w:p>
            <w:pPr>
              <w:pStyle w:val="Normal"/>
              <w:numPr>
                <w:ilvl w:val="0"/>
                <w:numId w:val="2"/>
              </w:numPr>
              <w:spacing w:before="120" w:after="0"/>
              <w:rPr/>
            </w:pPr>
            <w:r>
              <w:rPr/>
              <w:t xml:space="preserve">Objection against DTe Decision 005 </w:t>
              <w:br/>
            </w:r>
          </w:p>
          <w:p>
            <w:pPr>
              <w:pStyle w:val="BodyText"/>
              <w:ind w:hanging="426" w:start="426" w:end="0"/>
              <w:rPr/>
            </w:pPr>
            <w:r>
              <w:rPr/>
            </w:r>
          </w:p>
        </w:tc>
        <w:tc>
          <w:tcPr>
            <w:tcW w:w="2268" w:type="dxa"/>
            <w:tcBorders>
              <w:top w:val="single" w:sz="6" w:space="0" w:color="000000"/>
              <w:bottom w:val="single" w:sz="6" w:space="0" w:color="000000"/>
            </w:tcBorders>
          </w:tcPr>
          <w:p>
            <w:pPr>
              <w:pStyle w:val="Normal"/>
              <w:spacing w:before="120" w:after="0"/>
              <w:rPr/>
            </w:pPr>
            <w:r>
              <w:rPr/>
              <w:t>DTe</w:t>
            </w:r>
          </w:p>
          <w:p>
            <w:pPr>
              <w:pStyle w:val="Header"/>
              <w:tabs>
                <w:tab w:val="clear" w:pos="4153"/>
                <w:tab w:val="clear" w:pos="8306"/>
              </w:tabs>
              <w:rPr/>
            </w:pPr>
            <w:r>
              <w:rPr/>
            </w:r>
          </w:p>
          <w:p>
            <w:pPr>
              <w:pStyle w:val="Normal"/>
              <w:rPr/>
            </w:pPr>
            <w:r>
              <w:rPr/>
            </w:r>
          </w:p>
        </w:tc>
        <w:tc>
          <w:tcPr>
            <w:tcW w:w="3119" w:type="dxa"/>
            <w:tcBorders>
              <w:top w:val="single" w:sz="6" w:space="0" w:color="000000"/>
              <w:bottom w:val="single" w:sz="6" w:space="0" w:color="000000"/>
            </w:tcBorders>
          </w:tcPr>
          <w:p>
            <w:pPr>
              <w:pStyle w:val="Normal"/>
              <w:spacing w:before="120" w:after="0"/>
              <w:rPr/>
            </w:pPr>
            <w:r>
              <w:rPr/>
              <w:t xml:space="preserve">DTe to issue decision. </w:t>
            </w:r>
          </w:p>
          <w:p>
            <w:pPr>
              <w:pStyle w:val="Normal"/>
              <w:rPr>
                <w:i/>
                <w:i/>
              </w:rPr>
            </w:pPr>
            <w:r>
              <w:rPr>
                <w:i/>
              </w:rPr>
            </w:r>
          </w:p>
        </w:tc>
        <w:tc>
          <w:tcPr>
            <w:tcW w:w="3043" w:type="dxa"/>
            <w:tcBorders>
              <w:top w:val="single" w:sz="6" w:space="0" w:color="000000"/>
              <w:bottom w:val="single" w:sz="6" w:space="0" w:color="000000"/>
            </w:tcBorders>
          </w:tcPr>
          <w:p>
            <w:pPr>
              <w:pStyle w:val="Normal"/>
              <w:rPr/>
            </w:pPr>
            <w:r>
              <w:rPr/>
              <w:t>Mid-June (expected)</w:t>
            </w:r>
          </w:p>
          <w:p>
            <w:pPr>
              <w:pStyle w:val="Normal"/>
              <w:rPr>
                <w:i/>
                <w:i/>
              </w:rPr>
            </w:pPr>
            <w:r>
              <w:rPr>
                <w:i/>
              </w:rPr>
            </w:r>
          </w:p>
        </w:tc>
        <w:tc>
          <w:tcPr>
            <w:tcW w:w="2059" w:type="dxa"/>
            <w:tcBorders>
              <w:top w:val="single" w:sz="6" w:space="0" w:color="000000"/>
              <w:bottom w:val="single" w:sz="6" w:space="0" w:color="000000"/>
            </w:tcBorders>
          </w:tcPr>
          <w:p>
            <w:pPr>
              <w:pStyle w:val="Normal"/>
              <w:rPr>
                <w:i/>
                <w:i/>
              </w:rPr>
            </w:pPr>
            <w:r>
              <w:rPr>
                <w:i/>
              </w:rPr>
              <w:t>D.J. Oranje, P. Keijsers, T.H. van Voorst Vader</w:t>
            </w:r>
          </w:p>
        </w:tc>
      </w:tr>
      <w:tr>
        <w:trPr/>
        <w:tc>
          <w:tcPr>
            <w:tcW w:w="3794" w:type="dxa"/>
            <w:tcBorders>
              <w:top w:val="single" w:sz="6" w:space="0" w:color="000000"/>
              <w:bottom w:val="single" w:sz="6" w:space="0" w:color="000000"/>
            </w:tcBorders>
          </w:tcPr>
          <w:p>
            <w:pPr>
              <w:pStyle w:val="BodyText"/>
              <w:numPr>
                <w:ilvl w:val="0"/>
                <w:numId w:val="2"/>
              </w:numPr>
              <w:spacing w:before="120" w:after="0"/>
              <w:rPr/>
            </w:pPr>
            <w:r>
              <w:rPr/>
              <w:t>Appeal of DTe’s rejection of Enron’s objection against DTe Decision 005</w:t>
            </w:r>
          </w:p>
        </w:tc>
        <w:tc>
          <w:tcPr>
            <w:tcW w:w="2268" w:type="dxa"/>
            <w:tcBorders>
              <w:top w:val="single" w:sz="6" w:space="0" w:color="000000"/>
              <w:bottom w:val="single" w:sz="6" w:space="0" w:color="000000"/>
            </w:tcBorders>
          </w:tcPr>
          <w:p>
            <w:pPr>
              <w:pStyle w:val="Normal"/>
              <w:spacing w:before="120" w:after="0"/>
              <w:rPr>
                <w:i/>
                <w:i/>
              </w:rPr>
            </w:pPr>
            <w:r>
              <w:rPr>
                <w:i/>
              </w:rPr>
              <w:t xml:space="preserve">CBB </w:t>
            </w:r>
          </w:p>
          <w:p>
            <w:pPr>
              <w:pStyle w:val="Normal"/>
              <w:spacing w:before="120" w:after="0"/>
              <w:rPr>
                <w:i/>
                <w:i/>
              </w:rPr>
            </w:pPr>
            <w:r>
              <w:rPr>
                <w:i/>
              </w:rPr>
              <w:t>(possibly in summary proceedings)</w:t>
            </w:r>
          </w:p>
        </w:tc>
        <w:tc>
          <w:tcPr>
            <w:tcW w:w="3119" w:type="dxa"/>
            <w:tcBorders>
              <w:top w:val="single" w:sz="6" w:space="0" w:color="000000"/>
              <w:bottom w:val="single" w:sz="6" w:space="0" w:color="000000"/>
            </w:tcBorders>
          </w:tcPr>
          <w:p>
            <w:pPr>
              <w:pStyle w:val="Normal"/>
              <w:spacing w:before="120" w:after="0"/>
              <w:rPr>
                <w:i/>
                <w:i/>
              </w:rPr>
            </w:pPr>
            <w:r>
              <w:rPr>
                <w:i/>
              </w:rPr>
              <w:t>Dependent on DTe’s decision on Enron’s objection on DTe Decision 005</w:t>
            </w:r>
          </w:p>
        </w:tc>
        <w:tc>
          <w:tcPr>
            <w:tcW w:w="3043" w:type="dxa"/>
            <w:tcBorders>
              <w:top w:val="single" w:sz="6" w:space="0" w:color="000000"/>
              <w:bottom w:val="single" w:sz="6" w:space="0" w:color="000000"/>
            </w:tcBorders>
          </w:tcPr>
          <w:p>
            <w:pPr>
              <w:pStyle w:val="Header"/>
              <w:tabs>
                <w:tab w:val="clear" w:pos="4153"/>
                <w:tab w:val="clear" w:pos="8306"/>
              </w:tabs>
              <w:snapToGrid w:val="false"/>
              <w:rPr/>
            </w:pPr>
            <w:r>
              <w:rPr/>
            </w:r>
          </w:p>
          <w:p>
            <w:pPr>
              <w:pStyle w:val="Header"/>
              <w:tabs>
                <w:tab w:val="clear" w:pos="4153"/>
                <w:tab w:val="clear" w:pos="8306"/>
              </w:tabs>
              <w:rPr/>
            </w:pPr>
            <w:r>
              <w:rPr/>
            </w:r>
          </w:p>
          <w:p>
            <w:pPr>
              <w:pStyle w:val="Heading4"/>
              <w:ind w:hanging="0" w:start="0"/>
              <w:rPr>
                <w:i w:val="false"/>
                <w:i w:val="false"/>
              </w:rPr>
            </w:pPr>
            <w:r>
              <w:rPr>
                <w:i w:val="false"/>
              </w:rPr>
              <w:t>Note: if DTe’s rejection is adverse, strongly consider dropping civil appeal</w:t>
            </w:r>
          </w:p>
        </w:tc>
        <w:tc>
          <w:tcPr>
            <w:tcW w:w="2059" w:type="dxa"/>
            <w:tcBorders>
              <w:top w:val="single" w:sz="6" w:space="0" w:color="000000"/>
              <w:bottom w:val="single" w:sz="6" w:space="0" w:color="000000"/>
            </w:tcBorders>
          </w:tcPr>
          <w:p>
            <w:pPr>
              <w:pStyle w:val="Heading4"/>
              <w:spacing w:before="120" w:after="0"/>
              <w:ind w:hanging="0" w:start="0"/>
              <w:rPr/>
            </w:pPr>
            <w:r>
              <w:rPr/>
              <w:t>T.H. van Voorst Vader, B. Koolhaas, H.J. Bos</w:t>
            </w:r>
          </w:p>
        </w:tc>
      </w:tr>
      <w:tr>
        <w:trPr/>
        <w:tc>
          <w:tcPr>
            <w:tcW w:w="3794" w:type="dxa"/>
            <w:tcBorders>
              <w:top w:val="single" w:sz="6" w:space="0" w:color="000000"/>
              <w:bottom w:val="single" w:sz="6" w:space="0" w:color="000000"/>
            </w:tcBorders>
          </w:tcPr>
          <w:p>
            <w:pPr>
              <w:pStyle w:val="Normal"/>
              <w:numPr>
                <w:ilvl w:val="0"/>
                <w:numId w:val="2"/>
              </w:numPr>
              <w:spacing w:before="120" w:after="0"/>
              <w:rPr/>
            </w:pPr>
            <w:r>
              <w:rPr/>
              <w:t>Objection against DTe Decision not to provide information under Wob</w:t>
            </w:r>
          </w:p>
          <w:p>
            <w:pPr>
              <w:pStyle w:val="Normal"/>
              <w:spacing w:before="120" w:after="0"/>
              <w:rPr/>
            </w:pPr>
            <w:r>
              <w:rPr/>
            </w:r>
          </w:p>
        </w:tc>
        <w:tc>
          <w:tcPr>
            <w:tcW w:w="2268" w:type="dxa"/>
            <w:tcBorders>
              <w:top w:val="single" w:sz="6" w:space="0" w:color="000000"/>
              <w:bottom w:val="single" w:sz="6" w:space="0" w:color="000000"/>
            </w:tcBorders>
          </w:tcPr>
          <w:p>
            <w:pPr>
              <w:pStyle w:val="Normal"/>
              <w:spacing w:before="120" w:after="0"/>
              <w:rPr/>
            </w:pPr>
            <w:r>
              <w:rPr/>
              <w:t>DTe</w:t>
            </w:r>
          </w:p>
        </w:tc>
        <w:tc>
          <w:tcPr>
            <w:tcW w:w="3119" w:type="dxa"/>
            <w:tcBorders>
              <w:top w:val="single" w:sz="6" w:space="0" w:color="000000"/>
              <w:bottom w:val="single" w:sz="6" w:space="0" w:color="000000"/>
            </w:tcBorders>
          </w:tcPr>
          <w:p>
            <w:pPr>
              <w:pStyle w:val="Normal"/>
              <w:spacing w:before="120" w:after="0"/>
              <w:rPr/>
            </w:pPr>
            <w:r>
              <w:rPr/>
              <w:t>Notice and grounds filed.</w:t>
            </w:r>
          </w:p>
        </w:tc>
        <w:tc>
          <w:tcPr>
            <w:tcW w:w="3043" w:type="dxa"/>
            <w:tcBorders>
              <w:top w:val="single" w:sz="6" w:space="0" w:color="000000"/>
              <w:bottom w:val="single" w:sz="6" w:space="0" w:color="000000"/>
            </w:tcBorders>
          </w:tcPr>
          <w:p>
            <w:pPr>
              <w:pStyle w:val="Normal"/>
              <w:spacing w:before="120" w:after="0"/>
              <w:rPr/>
            </w:pPr>
            <w:r>
              <w:rPr/>
              <w:t>DTE to decide</w:t>
            </w:r>
          </w:p>
        </w:tc>
        <w:tc>
          <w:tcPr>
            <w:tcW w:w="2059" w:type="dxa"/>
            <w:tcBorders>
              <w:top w:val="single" w:sz="6" w:space="0" w:color="000000"/>
              <w:bottom w:val="single" w:sz="6" w:space="0" w:color="000000"/>
            </w:tcBorders>
          </w:tcPr>
          <w:p>
            <w:pPr>
              <w:pStyle w:val="Normal"/>
              <w:spacing w:before="120" w:after="0"/>
              <w:rPr/>
            </w:pPr>
            <w:r>
              <w:rPr/>
              <w:t>T.H. van Voorst Vader, B. Koolhaas, H.J. Bos</w:t>
            </w:r>
          </w:p>
        </w:tc>
      </w:tr>
      <w:tr>
        <w:trPr/>
        <w:tc>
          <w:tcPr>
            <w:tcW w:w="3794" w:type="dxa"/>
            <w:tcBorders>
              <w:top w:val="single" w:sz="6" w:space="0" w:color="000000"/>
              <w:bottom w:val="single" w:sz="6" w:space="0" w:color="000000"/>
            </w:tcBorders>
          </w:tcPr>
          <w:p>
            <w:pPr>
              <w:pStyle w:val="Normal"/>
              <w:numPr>
                <w:ilvl w:val="0"/>
                <w:numId w:val="2"/>
              </w:numPr>
              <w:spacing w:before="120" w:after="0"/>
              <w:rPr/>
            </w:pPr>
            <w:r>
              <w:rPr/>
              <w:t>Appeal against TenneT Decision not to provide information under Wob</w:t>
            </w:r>
          </w:p>
          <w:p>
            <w:pPr>
              <w:pStyle w:val="Normal"/>
              <w:spacing w:before="120" w:after="0"/>
              <w:rPr/>
            </w:pPr>
            <w:r>
              <w:rPr/>
            </w:r>
          </w:p>
        </w:tc>
        <w:tc>
          <w:tcPr>
            <w:tcW w:w="2268" w:type="dxa"/>
            <w:tcBorders>
              <w:top w:val="single" w:sz="6" w:space="0" w:color="000000"/>
              <w:bottom w:val="single" w:sz="6" w:space="0" w:color="000000"/>
            </w:tcBorders>
          </w:tcPr>
          <w:p>
            <w:pPr>
              <w:pStyle w:val="Normal"/>
              <w:spacing w:before="120" w:after="0"/>
              <w:rPr/>
            </w:pPr>
            <w:r>
              <w:rPr/>
              <w:t>District Court of Arnhem</w:t>
            </w:r>
          </w:p>
        </w:tc>
        <w:tc>
          <w:tcPr>
            <w:tcW w:w="3119" w:type="dxa"/>
            <w:tcBorders>
              <w:top w:val="single" w:sz="6" w:space="0" w:color="000000"/>
              <w:bottom w:val="single" w:sz="6" w:space="0" w:color="000000"/>
            </w:tcBorders>
          </w:tcPr>
          <w:p>
            <w:pPr>
              <w:pStyle w:val="Normal"/>
              <w:spacing w:before="120" w:after="0"/>
              <w:rPr/>
            </w:pPr>
            <w:r>
              <w:rPr/>
              <w:t xml:space="preserve">Notice filed on 16 May 2000. </w:t>
            </w:r>
          </w:p>
        </w:tc>
        <w:tc>
          <w:tcPr>
            <w:tcW w:w="3043" w:type="dxa"/>
            <w:tcBorders>
              <w:top w:val="single" w:sz="6" w:space="0" w:color="000000"/>
              <w:bottom w:val="single" w:sz="6" w:space="0" w:color="000000"/>
            </w:tcBorders>
          </w:tcPr>
          <w:p>
            <w:pPr>
              <w:pStyle w:val="Normal"/>
              <w:spacing w:before="120" w:after="0"/>
              <w:rPr/>
            </w:pPr>
            <w:r>
              <w:rPr/>
              <w:t>Grounds of appeal to be filed within 4 weeks after 24 May 2000</w:t>
            </w:r>
          </w:p>
        </w:tc>
        <w:tc>
          <w:tcPr>
            <w:tcW w:w="2059" w:type="dxa"/>
            <w:tcBorders>
              <w:top w:val="single" w:sz="6" w:space="0" w:color="000000"/>
              <w:bottom w:val="single" w:sz="6" w:space="0" w:color="000000"/>
            </w:tcBorders>
          </w:tcPr>
          <w:p>
            <w:pPr>
              <w:pStyle w:val="Normal"/>
              <w:spacing w:before="120" w:after="0"/>
              <w:rPr/>
            </w:pPr>
            <w:r>
              <w:rPr/>
              <w:t>T.H. van Voorst Vader, B. Koolhaas, H.J. Bos</w:t>
            </w:r>
          </w:p>
          <w:p>
            <w:pPr>
              <w:pStyle w:val="Normal"/>
              <w:spacing w:before="120" w:after="0"/>
              <w:rPr/>
            </w:pPr>
            <w:r>
              <w:rPr/>
            </w:r>
          </w:p>
        </w:tc>
      </w:tr>
      <w:tr>
        <w:trPr/>
        <w:tc>
          <w:tcPr>
            <w:tcW w:w="3794" w:type="dxa"/>
            <w:tcBorders>
              <w:top w:val="single" w:sz="6" w:space="0" w:color="000000"/>
              <w:bottom w:val="single" w:sz="6" w:space="0" w:color="000000"/>
            </w:tcBorders>
          </w:tcPr>
          <w:p>
            <w:pPr>
              <w:pStyle w:val="Normal"/>
              <w:numPr>
                <w:ilvl w:val="0"/>
                <w:numId w:val="2"/>
              </w:numPr>
              <w:spacing w:before="120" w:after="0"/>
              <w:rPr/>
            </w:pPr>
            <w:r>
              <w:rPr/>
              <w:t>Objection against TenneT Decision not to allocate capacity for Enron annual contracts</w:t>
            </w:r>
          </w:p>
          <w:p>
            <w:pPr>
              <w:pStyle w:val="Normal"/>
              <w:spacing w:before="120" w:after="0"/>
              <w:rPr/>
            </w:pPr>
            <w:r>
              <w:rPr/>
            </w:r>
          </w:p>
        </w:tc>
        <w:tc>
          <w:tcPr>
            <w:tcW w:w="2268" w:type="dxa"/>
            <w:tcBorders>
              <w:top w:val="single" w:sz="6" w:space="0" w:color="000000"/>
              <w:bottom w:val="single" w:sz="6" w:space="0" w:color="000000"/>
            </w:tcBorders>
          </w:tcPr>
          <w:p>
            <w:pPr>
              <w:pStyle w:val="Normal"/>
              <w:spacing w:before="120" w:after="0"/>
              <w:rPr/>
            </w:pPr>
            <w:r>
              <w:rPr/>
              <w:t>TenneT</w:t>
            </w:r>
          </w:p>
        </w:tc>
        <w:tc>
          <w:tcPr>
            <w:tcW w:w="3119" w:type="dxa"/>
            <w:tcBorders>
              <w:top w:val="single" w:sz="6" w:space="0" w:color="000000"/>
              <w:bottom w:val="single" w:sz="6" w:space="0" w:color="000000"/>
            </w:tcBorders>
          </w:tcPr>
          <w:p>
            <w:pPr>
              <w:pStyle w:val="Normal"/>
              <w:spacing w:before="120" w:after="0"/>
              <w:rPr/>
            </w:pPr>
            <w:r>
              <w:rPr/>
              <w:t>TenneT to await CBB decision on whether it is an administrative body.</w:t>
            </w:r>
          </w:p>
          <w:p>
            <w:pPr>
              <w:pStyle w:val="Normal"/>
              <w:spacing w:before="120" w:after="0"/>
              <w:rPr/>
            </w:pPr>
            <w:r>
              <w:rPr/>
              <w:t>[See point 7 below.]</w:t>
            </w:r>
          </w:p>
        </w:tc>
        <w:tc>
          <w:tcPr>
            <w:tcW w:w="3043" w:type="dxa"/>
            <w:tcBorders>
              <w:top w:val="single" w:sz="6" w:space="0" w:color="000000"/>
              <w:bottom w:val="single" w:sz="6" w:space="0" w:color="000000"/>
            </w:tcBorders>
          </w:tcPr>
          <w:p>
            <w:pPr>
              <w:pStyle w:val="Normal"/>
              <w:spacing w:before="120" w:after="0"/>
              <w:rPr/>
            </w:pPr>
            <w:r>
              <w:rPr/>
              <w:t>TenneT expected to submit documents within 12 weeks.</w:t>
            </w:r>
          </w:p>
        </w:tc>
        <w:tc>
          <w:tcPr>
            <w:tcW w:w="2059" w:type="dxa"/>
            <w:tcBorders>
              <w:top w:val="single" w:sz="6" w:space="0" w:color="000000"/>
              <w:bottom w:val="single" w:sz="6" w:space="0" w:color="000000"/>
            </w:tcBorders>
          </w:tcPr>
          <w:p>
            <w:pPr>
              <w:pStyle w:val="Normal"/>
              <w:spacing w:before="120" w:after="0"/>
              <w:rPr/>
            </w:pPr>
            <w:r>
              <w:rPr/>
              <w:t>T.H. van Voorst Vader, B. Koolhaas, H.J. Bos</w:t>
            </w:r>
          </w:p>
        </w:tc>
      </w:tr>
      <w:tr>
        <w:trPr/>
        <w:tc>
          <w:tcPr>
            <w:tcW w:w="3794" w:type="dxa"/>
            <w:tcBorders>
              <w:top w:val="single" w:sz="6" w:space="0" w:color="000000"/>
              <w:bottom w:val="single" w:sz="6" w:space="0" w:color="000000"/>
            </w:tcBorders>
          </w:tcPr>
          <w:p>
            <w:pPr>
              <w:pStyle w:val="Normal"/>
              <w:numPr>
                <w:ilvl w:val="0"/>
                <w:numId w:val="2"/>
              </w:numPr>
              <w:spacing w:before="120" w:after="0"/>
              <w:rPr/>
            </w:pPr>
            <w:r>
              <w:rPr/>
              <w:t>Appeal against TenneT Decision that it is not an administrative body.</w:t>
            </w:r>
          </w:p>
        </w:tc>
        <w:tc>
          <w:tcPr>
            <w:tcW w:w="2268" w:type="dxa"/>
            <w:tcBorders>
              <w:top w:val="single" w:sz="6" w:space="0" w:color="000000"/>
              <w:bottom w:val="single" w:sz="6" w:space="0" w:color="000000"/>
            </w:tcBorders>
          </w:tcPr>
          <w:p>
            <w:pPr>
              <w:pStyle w:val="Header"/>
              <w:tabs>
                <w:tab w:val="clear" w:pos="4153"/>
                <w:tab w:val="clear" w:pos="8306"/>
              </w:tabs>
              <w:spacing w:before="120" w:after="0"/>
              <w:rPr/>
            </w:pPr>
            <w:r>
              <w:rPr/>
              <w:t>CBB</w:t>
            </w:r>
          </w:p>
        </w:tc>
        <w:tc>
          <w:tcPr>
            <w:tcW w:w="3119" w:type="dxa"/>
            <w:tcBorders>
              <w:top w:val="single" w:sz="6" w:space="0" w:color="000000"/>
              <w:bottom w:val="single" w:sz="6" w:space="0" w:color="000000"/>
            </w:tcBorders>
          </w:tcPr>
          <w:p>
            <w:pPr>
              <w:pStyle w:val="Normal"/>
              <w:spacing w:before="120" w:after="120"/>
              <w:rPr/>
            </w:pPr>
            <w:r>
              <w:rPr/>
              <w:t>Notice and grounds of appeal filed with CBB on 5 and 6 April 2000. TenneT to reply.</w:t>
            </w:r>
          </w:p>
        </w:tc>
        <w:tc>
          <w:tcPr>
            <w:tcW w:w="3043" w:type="dxa"/>
            <w:tcBorders>
              <w:top w:val="single" w:sz="6" w:space="0" w:color="000000"/>
              <w:bottom w:val="single" w:sz="6" w:space="0" w:color="000000"/>
            </w:tcBorders>
          </w:tcPr>
          <w:p>
            <w:pPr>
              <w:pStyle w:val="Normal"/>
              <w:spacing w:before="120" w:after="0"/>
              <w:rPr/>
            </w:pPr>
            <w:r>
              <w:rPr/>
              <w:t>TenneT expected to submit documents within 12 weeks</w:t>
            </w:r>
          </w:p>
          <w:p>
            <w:pPr>
              <w:pStyle w:val="Normal"/>
              <w:spacing w:before="120" w:after="0"/>
              <w:rPr/>
            </w:pPr>
            <w:r>
              <w:rPr/>
              <w:t>CBB decision expected May 2001</w:t>
            </w:r>
          </w:p>
          <w:p>
            <w:pPr>
              <w:pStyle w:val="Normal"/>
              <w:spacing w:before="120" w:after="0"/>
              <w:rPr/>
            </w:pPr>
            <w:r>
              <w:rPr/>
              <w:t>Unlikely that CBB will accept accelerated proceedings, in view of fact that this matter relates to 2000 and decision is not expected before the end of 2000 anyway (it directly relates to point 6)</w:t>
            </w:r>
          </w:p>
        </w:tc>
        <w:tc>
          <w:tcPr>
            <w:tcW w:w="2059" w:type="dxa"/>
            <w:tcBorders>
              <w:top w:val="single" w:sz="6" w:space="0" w:color="000000"/>
              <w:bottom w:val="single" w:sz="6" w:space="0" w:color="000000"/>
            </w:tcBorders>
          </w:tcPr>
          <w:p>
            <w:pPr>
              <w:pStyle w:val="Normal"/>
              <w:spacing w:before="120" w:after="0"/>
              <w:rPr/>
            </w:pPr>
            <w:r>
              <w:rPr/>
              <w:t>T.H. van Voorst Vader, B. Koolhaas, H.J. Bos</w:t>
            </w:r>
          </w:p>
        </w:tc>
      </w:tr>
      <w:tr>
        <w:trPr/>
        <w:tc>
          <w:tcPr>
            <w:tcW w:w="3794" w:type="dxa"/>
            <w:tcBorders>
              <w:top w:val="single" w:sz="6" w:space="0" w:color="000000"/>
            </w:tcBorders>
          </w:tcPr>
          <w:p>
            <w:pPr>
              <w:pStyle w:val="Normal"/>
              <w:numPr>
                <w:ilvl w:val="0"/>
                <w:numId w:val="2"/>
              </w:numPr>
              <w:spacing w:before="120" w:after="0"/>
              <w:rPr/>
            </w:pPr>
            <w:r>
              <w:rPr/>
              <w:t>Complaint under competition law</w:t>
            </w:r>
          </w:p>
          <w:p>
            <w:pPr>
              <w:pStyle w:val="Normal"/>
              <w:spacing w:before="120" w:after="0"/>
              <w:rPr/>
            </w:pPr>
            <w:r>
              <w:rPr/>
            </w:r>
          </w:p>
          <w:p>
            <w:pPr>
              <w:pStyle w:val="Normal"/>
              <w:spacing w:before="120" w:after="0"/>
              <w:rPr/>
            </w:pPr>
            <w:r>
              <w:rPr/>
            </w:r>
          </w:p>
        </w:tc>
        <w:tc>
          <w:tcPr>
            <w:tcW w:w="2268" w:type="dxa"/>
            <w:tcBorders>
              <w:top w:val="single" w:sz="6" w:space="0" w:color="000000"/>
              <w:bottom w:val="single" w:sz="6" w:space="0" w:color="000000"/>
            </w:tcBorders>
          </w:tcPr>
          <w:p>
            <w:pPr>
              <w:pStyle w:val="Normal"/>
              <w:spacing w:before="120" w:after="0"/>
              <w:rPr/>
            </w:pPr>
            <w:r>
              <w:rPr/>
              <w:t>NMa</w:t>
            </w:r>
          </w:p>
          <w:p>
            <w:pPr>
              <w:pStyle w:val="Normal"/>
              <w:spacing w:before="120" w:after="0"/>
              <w:rPr/>
            </w:pPr>
            <w:r>
              <w:rPr/>
            </w:r>
          </w:p>
        </w:tc>
        <w:tc>
          <w:tcPr>
            <w:tcW w:w="3119" w:type="dxa"/>
            <w:tcBorders>
              <w:top w:val="single" w:sz="6" w:space="0" w:color="000000"/>
              <w:bottom w:val="single" w:sz="6" w:space="0" w:color="000000"/>
            </w:tcBorders>
          </w:tcPr>
          <w:p>
            <w:pPr>
              <w:pStyle w:val="Normal"/>
              <w:spacing w:before="120" w:after="0"/>
              <w:rPr/>
            </w:pPr>
            <w:r>
              <w:rPr/>
              <w:t>NMa to decide.</w:t>
            </w:r>
          </w:p>
        </w:tc>
        <w:tc>
          <w:tcPr>
            <w:tcW w:w="3043" w:type="dxa"/>
            <w:tcBorders>
              <w:top w:val="single" w:sz="6" w:space="0" w:color="000000"/>
              <w:bottom w:val="single" w:sz="6" w:space="0" w:color="000000"/>
            </w:tcBorders>
          </w:tcPr>
          <w:p>
            <w:pPr>
              <w:pStyle w:val="Normal"/>
              <w:spacing w:before="120" w:after="0"/>
              <w:rPr/>
            </w:pPr>
            <w:r>
              <w:rPr/>
              <w:t>NMa to send questionnaires to TenneT/Sep. NMa report on investigations and hearing expected in July/August</w:t>
            </w:r>
          </w:p>
        </w:tc>
        <w:tc>
          <w:tcPr>
            <w:tcW w:w="2059" w:type="dxa"/>
            <w:tcBorders>
              <w:top w:val="single" w:sz="6" w:space="0" w:color="000000"/>
              <w:bottom w:val="single" w:sz="6" w:space="0" w:color="000000"/>
            </w:tcBorders>
          </w:tcPr>
          <w:p>
            <w:pPr>
              <w:pStyle w:val="Normal"/>
              <w:spacing w:before="120" w:after="0"/>
              <w:rPr/>
            </w:pPr>
            <w:r>
              <w:rPr/>
              <w:t>G.W. van der Klis, B. B. de Vet</w:t>
            </w:r>
          </w:p>
        </w:tc>
      </w:tr>
      <w:tr>
        <w:trPr/>
        <w:tc>
          <w:tcPr>
            <w:tcW w:w="3794" w:type="dxa"/>
            <w:tcBorders>
              <w:top w:val="single" w:sz="6" w:space="0" w:color="000000"/>
            </w:tcBorders>
          </w:tcPr>
          <w:p>
            <w:pPr>
              <w:pStyle w:val="Normal"/>
              <w:numPr>
                <w:ilvl w:val="0"/>
                <w:numId w:val="2"/>
              </w:numPr>
              <w:spacing w:before="120" w:after="0"/>
              <w:rPr>
                <w:i/>
                <w:i/>
              </w:rPr>
            </w:pPr>
            <w:r>
              <w:rPr>
                <w:i/>
              </w:rPr>
              <w:t>Consider complaint under competition law (re collusive behaviour Protocol parties)</w:t>
            </w:r>
          </w:p>
          <w:p>
            <w:pPr>
              <w:pStyle w:val="Normal"/>
              <w:spacing w:before="120" w:after="0"/>
              <w:ind w:hanging="301" w:start="301" w:end="0"/>
              <w:rPr>
                <w:i/>
                <w:i/>
              </w:rPr>
            </w:pPr>
            <w:r>
              <w:rPr>
                <w:i/>
              </w:rPr>
            </w:r>
          </w:p>
        </w:tc>
        <w:tc>
          <w:tcPr>
            <w:tcW w:w="2268" w:type="dxa"/>
            <w:tcBorders>
              <w:top w:val="single" w:sz="6" w:space="0" w:color="000000"/>
              <w:bottom w:val="single" w:sz="6" w:space="0" w:color="000000"/>
            </w:tcBorders>
          </w:tcPr>
          <w:p>
            <w:pPr>
              <w:pStyle w:val="Normal"/>
              <w:spacing w:before="120" w:after="0"/>
              <w:rPr>
                <w:i/>
                <w:i/>
              </w:rPr>
            </w:pPr>
            <w:r>
              <w:rPr>
                <w:i/>
              </w:rPr>
              <w:t>NMa</w:t>
            </w:r>
          </w:p>
        </w:tc>
        <w:tc>
          <w:tcPr>
            <w:tcW w:w="3119" w:type="dxa"/>
            <w:tcBorders>
              <w:top w:val="single" w:sz="6" w:space="0" w:color="000000"/>
              <w:bottom w:val="single" w:sz="6" w:space="0" w:color="000000"/>
            </w:tcBorders>
          </w:tcPr>
          <w:p>
            <w:pPr>
              <w:pStyle w:val="Normal"/>
              <w:snapToGrid w:val="false"/>
              <w:spacing w:before="120" w:after="0"/>
              <w:rPr>
                <w:i/>
                <w:i/>
              </w:rPr>
            </w:pPr>
            <w:r>
              <w:rPr>
                <w:i/>
              </w:rPr>
            </w:r>
          </w:p>
        </w:tc>
        <w:tc>
          <w:tcPr>
            <w:tcW w:w="3043" w:type="dxa"/>
            <w:tcBorders>
              <w:top w:val="single" w:sz="6" w:space="0" w:color="000000"/>
              <w:bottom w:val="single" w:sz="6" w:space="0" w:color="000000"/>
            </w:tcBorders>
          </w:tcPr>
          <w:p>
            <w:pPr>
              <w:pStyle w:val="Normal"/>
              <w:snapToGrid w:val="false"/>
              <w:spacing w:before="120" w:after="0"/>
              <w:rPr/>
            </w:pPr>
            <w:r>
              <w:rPr/>
            </w:r>
          </w:p>
        </w:tc>
        <w:tc>
          <w:tcPr>
            <w:tcW w:w="2059" w:type="dxa"/>
            <w:tcBorders>
              <w:top w:val="single" w:sz="6" w:space="0" w:color="000000"/>
              <w:bottom w:val="single" w:sz="6" w:space="0" w:color="000000"/>
            </w:tcBorders>
          </w:tcPr>
          <w:p>
            <w:pPr>
              <w:pStyle w:val="Normal"/>
              <w:spacing w:before="120" w:after="0"/>
              <w:rPr>
                <w:i/>
                <w:i/>
              </w:rPr>
            </w:pPr>
            <w:r>
              <w:rPr>
                <w:i/>
              </w:rPr>
              <w:t>G.W. van der Klis, B. B. de Vet</w:t>
            </w:r>
          </w:p>
        </w:tc>
      </w:tr>
      <w:tr>
        <w:trPr/>
        <w:tc>
          <w:tcPr>
            <w:tcW w:w="3794" w:type="dxa"/>
            <w:tcBorders>
              <w:top w:val="single" w:sz="4" w:space="0" w:color="000000"/>
              <w:bottom w:val="single" w:sz="6" w:space="0" w:color="000000"/>
            </w:tcBorders>
          </w:tcPr>
          <w:p>
            <w:pPr>
              <w:pStyle w:val="Normal"/>
              <w:numPr>
                <w:ilvl w:val="0"/>
                <w:numId w:val="2"/>
              </w:numPr>
              <w:spacing w:before="120" w:after="0"/>
              <w:rPr/>
            </w:pPr>
            <w:r>
              <w:rPr/>
              <w:t xml:space="preserve">Complaint under competition law </w:t>
              <w:br/>
              <w:t>[to be decided]</w:t>
              <w:br/>
            </w:r>
          </w:p>
        </w:tc>
        <w:tc>
          <w:tcPr>
            <w:tcW w:w="2268" w:type="dxa"/>
            <w:tcBorders>
              <w:top w:val="single" w:sz="6" w:space="0" w:color="000000"/>
              <w:bottom w:val="single" w:sz="6" w:space="0" w:color="000000"/>
            </w:tcBorders>
          </w:tcPr>
          <w:p>
            <w:pPr>
              <w:pStyle w:val="Normal"/>
              <w:spacing w:before="120" w:after="0"/>
              <w:rPr/>
            </w:pPr>
            <w:r>
              <w:rPr/>
              <w:t>European Commission</w:t>
            </w:r>
          </w:p>
        </w:tc>
        <w:tc>
          <w:tcPr>
            <w:tcW w:w="3119" w:type="dxa"/>
            <w:tcBorders>
              <w:top w:val="single" w:sz="6" w:space="0" w:color="000000"/>
              <w:bottom w:val="single" w:sz="6" w:space="0" w:color="000000"/>
            </w:tcBorders>
          </w:tcPr>
          <w:p>
            <w:pPr>
              <w:pStyle w:val="Normal"/>
              <w:spacing w:before="120" w:after="0"/>
              <w:rPr/>
            </w:pPr>
            <w:r>
              <w:rPr/>
              <w:t xml:space="preserve">Consider complaint. </w:t>
              <w:br/>
              <w:t>Develop arguments (draft) Electricity Bill violate EC law..</w:t>
            </w:r>
          </w:p>
        </w:tc>
        <w:tc>
          <w:tcPr>
            <w:tcW w:w="3043" w:type="dxa"/>
            <w:tcBorders>
              <w:top w:val="single" w:sz="6" w:space="0" w:color="000000"/>
              <w:bottom w:val="single" w:sz="6" w:space="0" w:color="000000"/>
            </w:tcBorders>
          </w:tcPr>
          <w:p>
            <w:pPr>
              <w:pStyle w:val="Normal"/>
              <w:snapToGrid w:val="false"/>
              <w:spacing w:before="120" w:after="0"/>
              <w:rPr/>
            </w:pPr>
            <w:r>
              <w:rPr/>
            </w:r>
          </w:p>
        </w:tc>
        <w:tc>
          <w:tcPr>
            <w:tcW w:w="2059" w:type="dxa"/>
            <w:tcBorders>
              <w:top w:val="single" w:sz="6" w:space="0" w:color="000000"/>
              <w:bottom w:val="single" w:sz="6" w:space="0" w:color="000000"/>
            </w:tcBorders>
          </w:tcPr>
          <w:p>
            <w:pPr>
              <w:pStyle w:val="Normal"/>
              <w:spacing w:before="120" w:after="0"/>
              <w:rPr/>
            </w:pPr>
            <w:r>
              <w:rPr/>
              <w:t>G.W. van der Klis, P. Keijsers, B. de Vet?</w:t>
            </w:r>
          </w:p>
        </w:tc>
      </w:tr>
      <w:tr>
        <w:trPr/>
        <w:tc>
          <w:tcPr>
            <w:tcW w:w="3794" w:type="dxa"/>
            <w:tcBorders>
              <w:top w:val="single" w:sz="6" w:space="0" w:color="000000"/>
              <w:bottom w:val="single" w:sz="6" w:space="0" w:color="000000"/>
            </w:tcBorders>
          </w:tcPr>
          <w:p>
            <w:pPr>
              <w:pStyle w:val="Normal"/>
              <w:numPr>
                <w:ilvl w:val="0"/>
                <w:numId w:val="2"/>
              </w:numPr>
              <w:spacing w:before="120" w:after="0"/>
              <w:rPr>
                <w:i/>
                <w:i/>
              </w:rPr>
            </w:pPr>
            <w:r>
              <w:rPr>
                <w:i/>
              </w:rPr>
              <w:t>Lobbying efforts for new law</w:t>
            </w:r>
          </w:p>
        </w:tc>
        <w:tc>
          <w:tcPr>
            <w:tcW w:w="2268" w:type="dxa"/>
            <w:tcBorders>
              <w:top w:val="single" w:sz="6" w:space="0" w:color="000000"/>
              <w:bottom w:val="single" w:sz="6" w:space="0" w:color="000000"/>
            </w:tcBorders>
          </w:tcPr>
          <w:p>
            <w:pPr>
              <w:pStyle w:val="Normal"/>
              <w:spacing w:before="120" w:after="0"/>
              <w:rPr>
                <w:i/>
                <w:i/>
              </w:rPr>
            </w:pPr>
            <w:r>
              <w:rPr>
                <w:i/>
              </w:rPr>
              <w:t>Parliament</w:t>
            </w:r>
          </w:p>
        </w:tc>
        <w:tc>
          <w:tcPr>
            <w:tcW w:w="3119" w:type="dxa"/>
            <w:tcBorders>
              <w:top w:val="single" w:sz="6" w:space="0" w:color="000000"/>
              <w:bottom w:val="single" w:sz="6" w:space="0" w:color="000000"/>
            </w:tcBorders>
          </w:tcPr>
          <w:p>
            <w:pPr>
              <w:pStyle w:val="Normal"/>
              <w:spacing w:before="120" w:after="0"/>
              <w:rPr>
                <w:i/>
                <w:i/>
              </w:rPr>
            </w:pPr>
            <w:r>
              <w:rPr>
                <w:i/>
              </w:rPr>
              <w:t>Bill now at Council of State. Await passage to Parliament.</w:t>
            </w:r>
          </w:p>
        </w:tc>
        <w:tc>
          <w:tcPr>
            <w:tcW w:w="3043" w:type="dxa"/>
            <w:tcBorders>
              <w:top w:val="single" w:sz="6" w:space="0" w:color="000000"/>
              <w:bottom w:val="single" w:sz="6" w:space="0" w:color="000000"/>
            </w:tcBorders>
          </w:tcPr>
          <w:p>
            <w:pPr>
              <w:pStyle w:val="Normal"/>
              <w:spacing w:before="120" w:after="0"/>
              <w:rPr>
                <w:i/>
                <w:i/>
              </w:rPr>
            </w:pPr>
            <w:r>
              <w:rPr>
                <w:i/>
              </w:rPr>
              <w:t>Expected in July. Adoption of Bill probably to take place by the end of this year.</w:t>
            </w:r>
          </w:p>
        </w:tc>
        <w:tc>
          <w:tcPr>
            <w:tcW w:w="2059" w:type="dxa"/>
            <w:tcBorders>
              <w:top w:val="single" w:sz="6" w:space="0" w:color="000000"/>
              <w:bottom w:val="single" w:sz="6" w:space="0" w:color="000000"/>
            </w:tcBorders>
          </w:tcPr>
          <w:p>
            <w:pPr>
              <w:pStyle w:val="Normal"/>
              <w:snapToGrid w:val="false"/>
              <w:spacing w:before="120" w:after="0"/>
              <w:rPr>
                <w:i/>
                <w:i/>
              </w:rPr>
            </w:pPr>
            <w:r>
              <w:rPr>
                <w:i/>
              </w:rPr>
            </w:r>
          </w:p>
        </w:tc>
      </w:tr>
      <w:tr>
        <w:trPr/>
        <w:tc>
          <w:tcPr>
            <w:tcW w:w="3794" w:type="dxa"/>
            <w:tcBorders>
              <w:top w:val="single" w:sz="6" w:space="0" w:color="000000"/>
              <w:bottom w:val="single" w:sz="12" w:space="0" w:color="000000"/>
            </w:tcBorders>
          </w:tcPr>
          <w:p>
            <w:pPr>
              <w:pStyle w:val="Normal"/>
              <w:numPr>
                <w:ilvl w:val="0"/>
                <w:numId w:val="2"/>
              </w:numPr>
              <w:spacing w:before="120" w:after="0"/>
              <w:rPr>
                <w:i/>
                <w:i/>
              </w:rPr>
            </w:pPr>
            <w:r>
              <w:rPr>
                <w:i/>
              </w:rPr>
              <w:t>Alert relevant people/institutions on article 21.2 OvS</w:t>
            </w:r>
          </w:p>
        </w:tc>
        <w:tc>
          <w:tcPr>
            <w:tcW w:w="2268" w:type="dxa"/>
            <w:tcBorders>
              <w:top w:val="single" w:sz="6" w:space="0" w:color="000000"/>
              <w:bottom w:val="single" w:sz="12" w:space="0" w:color="000000"/>
            </w:tcBorders>
          </w:tcPr>
          <w:p>
            <w:pPr>
              <w:pStyle w:val="Normal"/>
              <w:spacing w:before="120" w:after="0"/>
              <w:rPr>
                <w:i/>
                <w:i/>
              </w:rPr>
            </w:pPr>
            <w:r>
              <w:rPr>
                <w:i/>
              </w:rPr>
              <w:t>Parliament/</w:t>
            </w:r>
          </w:p>
          <w:p>
            <w:pPr>
              <w:pStyle w:val="Header"/>
              <w:tabs>
                <w:tab w:val="clear" w:pos="4153"/>
                <w:tab w:val="clear" w:pos="8306"/>
              </w:tabs>
              <w:rPr>
                <w:i/>
                <w:i/>
              </w:rPr>
            </w:pPr>
            <w:r>
              <w:rPr>
                <w:i/>
              </w:rPr>
              <w:t>Ministry/</w:t>
            </w:r>
          </w:p>
          <w:p>
            <w:pPr>
              <w:pStyle w:val="Header"/>
              <w:tabs>
                <w:tab w:val="clear" w:pos="4153"/>
                <w:tab w:val="clear" w:pos="8306"/>
              </w:tabs>
              <w:rPr>
                <w:i/>
                <w:i/>
              </w:rPr>
            </w:pPr>
            <w:r>
              <w:rPr>
                <w:i/>
              </w:rPr>
              <w:t>Nma</w:t>
            </w:r>
          </w:p>
        </w:tc>
        <w:tc>
          <w:tcPr>
            <w:tcW w:w="3119" w:type="dxa"/>
            <w:tcBorders>
              <w:top w:val="single" w:sz="6" w:space="0" w:color="000000"/>
              <w:bottom w:val="single" w:sz="12" w:space="0" w:color="000000"/>
            </w:tcBorders>
          </w:tcPr>
          <w:p>
            <w:pPr>
              <w:pStyle w:val="Normal"/>
              <w:spacing w:before="120" w:after="0"/>
              <w:rPr>
                <w:i/>
                <w:i/>
              </w:rPr>
            </w:pPr>
            <w:r>
              <w:rPr>
                <w:i/>
              </w:rPr>
              <w:t>Consider lobbying efforts/writing information to relevant parties.</w:t>
            </w:r>
          </w:p>
        </w:tc>
        <w:tc>
          <w:tcPr>
            <w:tcW w:w="3043" w:type="dxa"/>
            <w:tcBorders>
              <w:top w:val="single" w:sz="6" w:space="0" w:color="000000"/>
              <w:bottom w:val="single" w:sz="12" w:space="0" w:color="000000"/>
            </w:tcBorders>
          </w:tcPr>
          <w:p>
            <w:pPr>
              <w:pStyle w:val="Normal"/>
              <w:snapToGrid w:val="false"/>
              <w:spacing w:before="120" w:after="0"/>
              <w:rPr>
                <w:i/>
                <w:i/>
              </w:rPr>
            </w:pPr>
            <w:r>
              <w:rPr>
                <w:i/>
              </w:rPr>
            </w:r>
          </w:p>
        </w:tc>
        <w:tc>
          <w:tcPr>
            <w:tcW w:w="2059" w:type="dxa"/>
            <w:tcBorders>
              <w:top w:val="single" w:sz="6" w:space="0" w:color="000000"/>
              <w:bottom w:val="single" w:sz="12" w:space="0" w:color="000000"/>
            </w:tcBorders>
          </w:tcPr>
          <w:p>
            <w:pPr>
              <w:pStyle w:val="Normal"/>
              <w:snapToGrid w:val="false"/>
              <w:spacing w:before="120" w:after="0"/>
              <w:rPr/>
            </w:pPr>
            <w:r>
              <w:rPr/>
            </w:r>
          </w:p>
        </w:tc>
      </w:tr>
    </w:tbl>
    <w:p>
      <w:pPr>
        <w:pStyle w:val="Normal"/>
        <w:spacing w:before="120" w:after="0"/>
        <w:rPr/>
      </w:pPr>
      <w:r>
        <w:rPr/>
      </w:r>
    </w:p>
    <w:sectPr>
      <w:footerReference w:type="default" r:id="rId2"/>
      <w:type w:val="nextPage"/>
      <w:pgSz w:orient="landscape" w:w="16838" w:h="11906"/>
      <w:pgMar w:left="1440" w:right="1440" w:gutter="0" w:header="0" w:top="1134" w:footer="720" w:bottom="179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Amsdam-1/115938/03</w:t>
      <w:tab/>
    </w:r>
    <w:r>
      <w:rPr>
        <w:sz w:val="22"/>
        <w:lang w:val="en-CA"/>
      </w:rPr>
      <w:fldChar w:fldCharType="begin"/>
    </w:r>
    <w:r>
      <w:rPr>
        <w:sz w:val="22"/>
        <w:lang w:val="en-CA"/>
      </w:rPr>
      <w:instrText xml:space="preserve"> IF  "" ""</w:instrText>
    </w:r>
    <w:r>
      <w:rPr>
        <w:sz w:val="22"/>
        <w:lang w:val="en-CA"/>
      </w:rPr>
      <w:fldChar w:fldCharType="separate"/>
    </w:r>
    <w:r>
      <w:rPr>
        <w:sz w:val="22"/>
        <w:lang w:val="en-CA"/>
      </w:rPr>
    </w:r>
    <w:r>
      <w:rPr>
        <w:sz w:val="22"/>
        <w:lang w:val="en-CA"/>
      </w:rPr>
      <w:fldChar w:fldCharType="end"/>
    </w:r>
    <w:r>
      <w:rPr>
        <w:sz w:val="22"/>
      </w:rPr>
      <w:tab/>
    </w:r>
    <w:r>
      <w:rPr>
        <w:sz w:val="16"/>
      </w:rPr>
      <w:t>E3270-ams/00012-ams</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spacing w:before="120" w:after="0"/>
      <w:outlineLvl w:val="0"/>
    </w:pPr>
    <w:rPr>
      <w:b/>
      <w:i/>
      <w:u w:val="single"/>
    </w:rPr>
  </w:style>
  <w:style w:type="paragraph" w:styleId="Heading2">
    <w:name w:val="heading 2"/>
    <w:basedOn w:val="Normal"/>
    <w:next w:val="Normal"/>
    <w:qFormat/>
    <w:pPr>
      <w:keepNext w:val="true"/>
      <w:numPr>
        <w:ilvl w:val="1"/>
        <w:numId w:val="1"/>
      </w:numPr>
      <w:jc w:val="center"/>
      <w:outlineLvl w:val="1"/>
    </w:pPr>
    <w:rPr>
      <w:b/>
      <w:color w:val="000080"/>
    </w:rPr>
  </w:style>
  <w:style w:type="paragraph" w:styleId="Heading3">
    <w:name w:val="heading 3"/>
    <w:basedOn w:val="Normal"/>
    <w:next w:val="Normal"/>
    <w:qFormat/>
    <w:pPr>
      <w:keepNext w:val="true"/>
      <w:numPr>
        <w:ilvl w:val="2"/>
        <w:numId w:val="1"/>
      </w:numPr>
      <w:spacing w:before="120" w:after="0"/>
      <w:ind w:firstLine="250" w:start="-250" w:end="0"/>
      <w:outlineLvl w:val="2"/>
    </w:pPr>
    <w:rPr>
      <w:b/>
      <w:u w:val="single"/>
    </w:rPr>
  </w:style>
  <w:style w:type="paragraph" w:styleId="Heading4">
    <w:name w:val="heading 4"/>
    <w:basedOn w:val="Normal"/>
    <w:next w:val="Normal"/>
    <w:qFormat/>
    <w:pPr>
      <w:keepNext w:val="true"/>
      <w:numPr>
        <w:ilvl w:val="3"/>
        <w:numId w:val="1"/>
      </w:numPr>
      <w:spacing w:before="120" w:after="0"/>
      <w:outlineLvl w:val="3"/>
    </w:pPr>
    <w:rPr>
      <w:i/>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0"/>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2000-05-30T13:36:00Z</dcterms:created>
  <dc:creator>Michiel Mulder</dc:creator>
  <dc:description/>
  <dc:language>en-CA</dc:language>
  <cp:lastModifiedBy>Patrick Keijsers</cp:lastModifiedBy>
  <cp:lastPrinted>2000-06-14T12:10:00Z</cp:lastPrinted>
  <dcterms:modified xsi:type="dcterms:W3CDTF">2000-06-14T07:42:00Z</dcterms:modified>
  <cp:revision>13</cp:revision>
  <dc:subject/>
  <dc:title>OVERVIEW OF PROCEEDINGS</dc:title>
</cp:coreProperties>
</file>