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2Advanced Studios</w:t>
      </w:r>
    </w:p>
    <w:p>
      <w:pPr>
        <w:pStyle w:val="Normal"/>
        <w:jc w:val="both"/>
        <w:rPr>
          <w:rFonts w:ascii="Times New Roman" w:hAnsi="Times New Roman" w:cs="Times New Roman"/>
          <w:sz w:val="22"/>
        </w:rPr>
      </w:pPr>
      <w:r>
        <w:rPr>
          <w:rFonts w:cs="Times New Roman" w:ascii="Times New Roman" w:hAnsi="Times New Roman"/>
          <w:sz w:val="22"/>
        </w:rPr>
        <w:t>34145 Pacific Coast Highway, #327</w:t>
      </w:r>
    </w:p>
    <w:p>
      <w:pPr>
        <w:pStyle w:val="Normal"/>
        <w:jc w:val="both"/>
        <w:rPr>
          <w:rFonts w:ascii="Times New Roman" w:hAnsi="Times New Roman" w:cs="Times New Roman"/>
          <w:sz w:val="22"/>
        </w:rPr>
      </w:pPr>
      <w:r>
        <w:rPr>
          <w:rFonts w:cs="Times New Roman" w:ascii="Times New Roman" w:hAnsi="Times New Roman"/>
          <w:sz w:val="22"/>
        </w:rPr>
        <w:t>Dana Point, California 92629-2808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2Advanced Studios and Enron Net Works LLC and EnronOnline,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the EnronOnline website design and branding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2ADVANCED STUDIOS</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/mnt/main-storage/datasets/enron-docs/doc/2advanced_studios.doc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2Advanced Studios</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2001-10-18T12:07:00Z</dcterms:created>
  <dc:creator>ECT</dc:creator>
  <dc:description/>
  <dc:language>en-CA</dc:language>
  <cp:lastModifiedBy>tjones</cp:lastModifiedBy>
  <cp:lastPrinted>2001-10-18T10:14:00Z</cp:lastPrinted>
  <dcterms:modified xsi:type="dcterms:W3CDTF">2001-10-18T13:04:00Z</dcterms:modified>
  <cp:revision>8</cp:revision>
  <dc:subject/>
  <dc:title>Reciprocal Confidentiality Agreement</dc:title>
</cp:coreProperties>
</file>