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pPr>
      <w:r>
        <w:rPr/>
        <w:t>TERMINATION AGREEMENT</w:t>
      </w:r>
    </w:p>
    <w:p>
      <w:pPr>
        <w:pStyle w:val="Normal"/>
        <w:rPr>
          <w:sz w:val="22"/>
        </w:rPr>
      </w:pPr>
      <w:r>
        <w:rPr>
          <w:sz w:val="22"/>
        </w:rPr>
      </w:r>
    </w:p>
    <w:p>
      <w:pPr>
        <w:pStyle w:val="Normal"/>
        <w:jc w:val="both"/>
        <w:rPr>
          <w:sz w:val="22"/>
        </w:rPr>
      </w:pPr>
      <w:r>
        <w:rPr>
          <w:sz w:val="22"/>
        </w:rPr>
        <w:tab/>
        <w:t>This Termination Agreement is made and entered into effective ____ __, 2001 by and between ____________ (“Counterparty”) and Enron Power Marketing, Inc. (“EPMI”) (each of such entities referred to individually as “Party” or collectively referred to as “Parties”).</w:t>
      </w:r>
    </w:p>
    <w:p>
      <w:pPr>
        <w:pStyle w:val="Normal"/>
        <w:tabs>
          <w:tab w:val="left" w:pos="720" w:leader="none"/>
        </w:tabs>
        <w:ind w:hanging="720" w:start="1440" w:end="0"/>
        <w:jc w:val="both"/>
        <w:rPr>
          <w:sz w:val="22"/>
        </w:rPr>
      </w:pPr>
      <w:r>
        <w:rPr>
          <w:sz w:val="22"/>
        </w:rPr>
      </w:r>
    </w:p>
    <w:p>
      <w:pPr>
        <w:pStyle w:val="BodyText"/>
        <w:rPr/>
      </w:pPr>
      <w:r>
        <w:rPr/>
        <w:tab/>
        <w:t xml:space="preserve">WHEREAS, Counterparty and EPMI entered into and entered into those transactions referenced in Exhibit A hereto (“Transaction Agreements”). </w:t>
      </w:r>
    </w:p>
    <w:p>
      <w:pPr>
        <w:pStyle w:val="Normal"/>
        <w:jc w:val="both"/>
        <w:rPr>
          <w:sz w:val="22"/>
        </w:rPr>
      </w:pPr>
      <w:r>
        <w:rPr>
          <w:sz w:val="22"/>
        </w:rPr>
      </w:r>
    </w:p>
    <w:p>
      <w:pPr>
        <w:pStyle w:val="Normal"/>
        <w:jc w:val="both"/>
        <w:rPr>
          <w:sz w:val="22"/>
        </w:rPr>
      </w:pPr>
      <w:r>
        <w:rPr>
          <w:sz w:val="22"/>
        </w:rPr>
        <w:tab/>
        <w:t>WHEREAS, the Parties desire to terminate the Transaction Agreement subject to the terms hereof, effective as of the occurrence of the Triggering Event, as defined below;</w:t>
      </w:r>
    </w:p>
    <w:p>
      <w:pPr>
        <w:pStyle w:val="Normal"/>
        <w:jc w:val="both"/>
        <w:rPr>
          <w:sz w:val="22"/>
        </w:rPr>
      </w:pPr>
      <w:r>
        <w:rPr>
          <w:sz w:val="22"/>
        </w:rPr>
      </w:r>
    </w:p>
    <w:p>
      <w:pPr>
        <w:pStyle w:val="Normal"/>
        <w:jc w:val="both"/>
        <w:rPr>
          <w:sz w:val="22"/>
        </w:rPr>
      </w:pPr>
      <w:r>
        <w:rPr>
          <w:sz w:val="22"/>
        </w:rPr>
        <w:tab/>
        <w:t>NOW THEREFORE, for and in consideration of payment of the Lump Sum Payment specified below, the mutual promises stated herein and other good and valuable consideration the receipt and sufficiency of which are hereby acknowledged by both Parties, the undersigned Parties do hereby covenant and agree as follows:</w:t>
      </w:r>
    </w:p>
    <w:p>
      <w:pPr>
        <w:pStyle w:val="Normal"/>
        <w:jc w:val="both"/>
        <w:rPr>
          <w:sz w:val="22"/>
        </w:rPr>
      </w:pPr>
      <w:r>
        <w:rPr>
          <w:sz w:val="22"/>
        </w:rPr>
      </w:r>
    </w:p>
    <w:p>
      <w:pPr>
        <w:pStyle w:val="Normal"/>
        <w:numPr>
          <w:ilvl w:val="0"/>
          <w:numId w:val="2"/>
        </w:numPr>
        <w:tabs>
          <w:tab w:val="clear" w:pos="720"/>
          <w:tab w:val="left" w:pos="-1440" w:leader="none"/>
          <w:tab w:val="left" w:pos="0" w:leader="none"/>
        </w:tabs>
        <w:ind w:firstLine="360" w:start="0" w:end="0"/>
        <w:jc w:val="both"/>
        <w:rPr/>
      </w:pPr>
      <w:r>
        <w:rPr>
          <w:sz w:val="22"/>
          <w:u w:val="single"/>
        </w:rPr>
        <w:t>Termination of the Transaction Agreements</w:t>
      </w:r>
      <w:r>
        <w:rPr>
          <w:sz w:val="22"/>
        </w:rPr>
        <w:t xml:space="preserve">.  </w:t>
      </w:r>
      <w:r>
        <w:rPr/>
        <w:t>Effective upon EPMI's receipt of funds as described in Section 2, (the "Triggering Event")</w:t>
      </w:r>
      <w:r>
        <w:rPr>
          <w:sz w:val="22"/>
        </w:rPr>
        <w:t>, the Transaction Agreements are terminated and of no further force and effect, including but not limited to the Parties’ respective obligations to sell/deliver and purchase/receive energy thereunder, provided however that all sums due and owing in the monthly invoice settlement with respect to either Party’s performance under the Transaction Agreements prior to the Triggering Event shall remain due and owing until paid.</w:t>
      </w:r>
    </w:p>
    <w:p>
      <w:pPr>
        <w:pStyle w:val="Normal"/>
        <w:tabs>
          <w:tab w:val="clear" w:pos="720"/>
          <w:tab w:val="left" w:pos="-1440" w:leader="none"/>
        </w:tabs>
        <w:jc w:val="both"/>
        <w:rPr/>
      </w:pPr>
      <w:r>
        <w:rPr/>
      </w:r>
    </w:p>
    <w:p>
      <w:pPr>
        <w:pStyle w:val="Normal"/>
        <w:numPr>
          <w:ilvl w:val="0"/>
          <w:numId w:val="2"/>
        </w:numPr>
        <w:tabs>
          <w:tab w:val="clear" w:pos="720"/>
          <w:tab w:val="left" w:pos="-1440" w:leader="none"/>
          <w:tab w:val="left" w:pos="0" w:leader="none"/>
        </w:tabs>
        <w:ind w:firstLine="360" w:start="0" w:end="0"/>
        <w:jc w:val="both"/>
        <w:rPr>
          <w:sz w:val="22"/>
        </w:rPr>
      </w:pPr>
      <w:r>
        <w:rPr>
          <w:sz w:val="22"/>
          <w:u w:val="single"/>
        </w:rPr>
        <w:t>Payment of Lump Sum Payment</w:t>
      </w:r>
      <w:r>
        <w:rPr>
          <w:sz w:val="22"/>
        </w:rPr>
        <w:t xml:space="preserve">.  Consistent with the terms hereof, Counterparty will pay to EPMI </w:t>
      </w:r>
      <w:r>
        <w:rPr/>
        <w:t xml:space="preserve">no later than ___ CST, November __, 2001, </w:t>
      </w:r>
      <w:r>
        <w:rPr>
          <w:sz w:val="22"/>
        </w:rPr>
        <w:t>the aggregate sum of ________ ($________.00) on or before __________ (such amount, the “Lump Sum Payment”).   Payment shall be made by wire transfer to:</w:t>
      </w:r>
    </w:p>
    <w:p>
      <w:pPr>
        <w:pStyle w:val="Normal"/>
        <w:jc w:val="both"/>
        <w:rPr>
          <w:sz w:val="22"/>
        </w:rPr>
      </w:pPr>
      <w:r>
        <w:rPr>
          <w:sz w:val="22"/>
        </w:rPr>
      </w:r>
    </w:p>
    <w:p>
      <w:pPr>
        <w:pStyle w:val="Normal"/>
        <w:ind w:start="1440" w:end="0"/>
        <w:jc w:val="both"/>
        <w:rPr>
          <w:sz w:val="22"/>
        </w:rPr>
      </w:pPr>
      <w:r>
        <w:rPr>
          <w:sz w:val="22"/>
        </w:rPr>
        <w:t>_________________</w:t>
      </w:r>
    </w:p>
    <w:p>
      <w:pPr>
        <w:pStyle w:val="Normal"/>
        <w:tabs>
          <w:tab w:val="clear" w:pos="720"/>
          <w:tab w:val="left" w:pos="-1440" w:leader="none"/>
        </w:tabs>
        <w:jc w:val="both"/>
        <w:rPr>
          <w:sz w:val="22"/>
          <w:u w:val="single"/>
        </w:rPr>
      </w:pPr>
      <w:r>
        <w:rPr>
          <w:sz w:val="22"/>
          <w:u w:val="single"/>
        </w:rPr>
      </w:r>
    </w:p>
    <w:p>
      <w:pPr>
        <w:pStyle w:val="Normal"/>
        <w:numPr>
          <w:ilvl w:val="0"/>
          <w:numId w:val="2"/>
        </w:numPr>
        <w:tabs>
          <w:tab w:val="clear" w:pos="720"/>
          <w:tab w:val="left" w:pos="-1440" w:leader="none"/>
          <w:tab w:val="left" w:pos="0" w:leader="none"/>
        </w:tabs>
        <w:ind w:firstLine="360" w:start="0" w:end="0"/>
        <w:jc w:val="both"/>
        <w:rPr>
          <w:sz w:val="22"/>
        </w:rPr>
      </w:pPr>
      <w:r>
        <w:rPr>
          <w:sz w:val="22"/>
          <w:u w:val="single"/>
        </w:rPr>
        <w:t>Release and Hold Harmless</w:t>
      </w:r>
      <w:r>
        <w:rPr>
          <w:sz w:val="22"/>
        </w:rPr>
        <w:t xml:space="preserve">.  Except as to settlement of invoice payment obligations in connection with the Parties’ performance under the Transaction Agreements as specifically referenced in Section 1 hereof, each Party on behalf of itself, its affiliates, successors and assigns hereby agrees to release and hold harmless the other Party and any of its affiliates, successors and assigns of and from any and all liabilities, losses, damages and causes of action of any kind or nature relating to the Transaction Agreements and its termination which such Party or any of its affiliates, successors and assigns may or might incur from and after the Effective Date hereof, and of and from any and all claims and demands whatsoever which may be asserted against any of them, including but not limited to those asserted by shareholders, ratepayers, noteholders or other stakeholders or creditors of such Party or any of its affiliates, successors and assigns.  </w:t>
      </w:r>
    </w:p>
    <w:p>
      <w:pPr>
        <w:pStyle w:val="Normal"/>
        <w:tabs>
          <w:tab w:val="clear" w:pos="720"/>
          <w:tab w:val="left" w:pos="-1440" w:leader="none"/>
        </w:tabs>
        <w:jc w:val="both"/>
        <w:rPr>
          <w:sz w:val="22"/>
        </w:rPr>
      </w:pPr>
      <w:r>
        <w:rPr>
          <w:sz w:val="22"/>
        </w:rPr>
      </w:r>
    </w:p>
    <w:p>
      <w:pPr>
        <w:pStyle w:val="Normal"/>
        <w:numPr>
          <w:ilvl w:val="0"/>
          <w:numId w:val="2"/>
        </w:numPr>
        <w:tabs>
          <w:tab w:val="clear" w:pos="720"/>
          <w:tab w:val="left" w:pos="-1440" w:leader="none"/>
          <w:tab w:val="left" w:pos="0" w:leader="none"/>
        </w:tabs>
        <w:ind w:firstLine="360" w:start="0" w:end="0"/>
        <w:jc w:val="both"/>
        <w:rPr>
          <w:sz w:val="22"/>
        </w:rPr>
      </w:pPr>
      <w:r>
        <w:rPr>
          <w:sz w:val="22"/>
          <w:u w:val="single"/>
        </w:rPr>
        <w:t>Representations</w:t>
      </w:r>
      <w:r>
        <w:rPr>
          <w:sz w:val="22"/>
        </w:rPr>
        <w:t>.  Each of the Parties hereby represents and warrants that (i) it has all regulatory authorizations necessary for it to legally agree hereto and perform its obligations hereunder, (ii) the execution, delivery and performance hereof are within its powers, have been duly authorized by all necessary action and do not violate any of the terms and conditions in its governing documents, any contracts to which it is a party or any law or regulation applicable to it, and (iii) this Termination Agreement constitutes its legally valid and binding obligation enforceable against it in accordance with its terms, subject to any equitable defenses.</w:t>
      </w:r>
    </w:p>
    <w:p>
      <w:pPr>
        <w:pStyle w:val="Normal"/>
        <w:tabs>
          <w:tab w:val="clear" w:pos="720"/>
          <w:tab w:val="left" w:pos="-1440" w:leader="none"/>
        </w:tabs>
        <w:jc w:val="both"/>
        <w:rPr>
          <w:sz w:val="22"/>
        </w:rPr>
      </w:pPr>
      <w:r>
        <w:rPr>
          <w:sz w:val="22"/>
        </w:rPr>
      </w:r>
    </w:p>
    <w:p>
      <w:pPr>
        <w:pStyle w:val="Normal"/>
        <w:numPr>
          <w:ilvl w:val="0"/>
          <w:numId w:val="2"/>
        </w:numPr>
        <w:tabs>
          <w:tab w:val="clear" w:pos="720"/>
          <w:tab w:val="left" w:pos="-1440" w:leader="none"/>
          <w:tab w:val="left" w:pos="0" w:leader="none"/>
        </w:tabs>
        <w:ind w:firstLine="360" w:start="0" w:end="0"/>
        <w:jc w:val="both"/>
        <w:rPr>
          <w:sz w:val="22"/>
        </w:rPr>
      </w:pPr>
      <w:r>
        <w:rPr>
          <w:sz w:val="22"/>
          <w:u w:val="single"/>
        </w:rPr>
        <w:t>Confidentiality</w:t>
      </w:r>
      <w:r>
        <w:rPr>
          <w:sz w:val="22"/>
        </w:rPr>
        <w:t xml:space="preserve">.  Neither Party shall disclose the terms of this Termination Agreement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to actual, direct damages. </w:t>
      </w:r>
    </w:p>
    <w:p>
      <w:pPr>
        <w:pStyle w:val="Normal"/>
        <w:tabs>
          <w:tab w:val="clear" w:pos="720"/>
          <w:tab w:val="left" w:pos="-1440" w:leader="none"/>
        </w:tabs>
        <w:jc w:val="both"/>
        <w:rPr>
          <w:sz w:val="22"/>
        </w:rPr>
      </w:pPr>
      <w:r>
        <w:rPr>
          <w:sz w:val="22"/>
        </w:rPr>
      </w:r>
    </w:p>
    <w:p>
      <w:pPr>
        <w:pStyle w:val="Normal"/>
        <w:numPr>
          <w:ilvl w:val="0"/>
          <w:numId w:val="2"/>
        </w:numPr>
        <w:tabs>
          <w:tab w:val="clear" w:pos="720"/>
          <w:tab w:val="left" w:pos="-1440" w:leader="none"/>
          <w:tab w:val="left" w:pos="0" w:leader="none"/>
        </w:tabs>
        <w:ind w:firstLine="360" w:start="0" w:end="0"/>
        <w:jc w:val="both"/>
        <w:rPr>
          <w:sz w:val="22"/>
        </w:rPr>
      </w:pPr>
      <w:r>
        <w:rPr>
          <w:sz w:val="22"/>
          <w:u w:val="single"/>
        </w:rPr>
        <w:t>Governing Law</w:t>
      </w:r>
      <w:r>
        <w:rPr>
          <w:sz w:val="22"/>
        </w:rPr>
        <w:t>.  This Termination Agreement shall be governed by and construed in accordance with the laws of the State of Texas, without regard to the laws of such state requiring the application of the laws of another state.</w:t>
      </w:r>
    </w:p>
    <w:p>
      <w:pPr>
        <w:pStyle w:val="Normal"/>
        <w:tabs>
          <w:tab w:val="clear" w:pos="720"/>
          <w:tab w:val="left" w:pos="-1440" w:leader="none"/>
        </w:tabs>
        <w:jc w:val="both"/>
        <w:rPr>
          <w:sz w:val="22"/>
        </w:rPr>
      </w:pPr>
      <w:r>
        <w:rPr>
          <w:sz w:val="22"/>
        </w:rPr>
      </w:r>
    </w:p>
    <w:p>
      <w:pPr>
        <w:pStyle w:val="Normal"/>
        <w:numPr>
          <w:ilvl w:val="0"/>
          <w:numId w:val="2"/>
        </w:numPr>
        <w:tabs>
          <w:tab w:val="clear" w:pos="720"/>
          <w:tab w:val="left" w:pos="-1440" w:leader="none"/>
          <w:tab w:val="left" w:pos="0" w:leader="none"/>
        </w:tabs>
        <w:ind w:firstLine="360" w:start="0" w:end="0"/>
        <w:jc w:val="both"/>
        <w:rPr>
          <w:sz w:val="22"/>
        </w:rPr>
      </w:pPr>
      <w:r>
        <w:rPr>
          <w:sz w:val="22"/>
          <w:u w:val="single"/>
        </w:rPr>
        <w:t>Entire Agreement</w:t>
      </w:r>
      <w:r>
        <w:rPr>
          <w:sz w:val="22"/>
        </w:rPr>
        <w:t>.  This Termination Agreement constitutes the entire agreement of the Parties relating to the subject matter expressed herein.  No covenants, agreements, representations or warranties of any kind whatsoever have been made by any party with respect to the subject matter of this Termination Agreement except as specifically set forth herein.</w:t>
      </w:r>
    </w:p>
    <w:p>
      <w:pPr>
        <w:pStyle w:val="Normal"/>
        <w:tabs>
          <w:tab w:val="clear" w:pos="720"/>
          <w:tab w:val="left" w:pos="-1440" w:leader="none"/>
        </w:tabs>
        <w:jc w:val="both"/>
        <w:rPr>
          <w:sz w:val="22"/>
        </w:rPr>
      </w:pPr>
      <w:r>
        <w:rPr>
          <w:sz w:val="22"/>
        </w:rPr>
      </w:r>
    </w:p>
    <w:p>
      <w:pPr>
        <w:pStyle w:val="Normal"/>
        <w:numPr>
          <w:ilvl w:val="0"/>
          <w:numId w:val="2"/>
        </w:numPr>
        <w:tabs>
          <w:tab w:val="clear" w:pos="720"/>
          <w:tab w:val="left" w:pos="-1440" w:leader="none"/>
          <w:tab w:val="left" w:pos="0" w:leader="none"/>
        </w:tabs>
        <w:ind w:firstLine="360" w:start="0" w:end="0"/>
        <w:jc w:val="both"/>
        <w:rPr>
          <w:sz w:val="22"/>
        </w:rPr>
      </w:pPr>
      <w:r>
        <w:rPr>
          <w:sz w:val="22"/>
          <w:u w:val="single"/>
        </w:rPr>
        <w:t>Multiple Counterparts</w:t>
      </w:r>
      <w:r>
        <w:rPr>
          <w:sz w:val="22"/>
        </w:rPr>
        <w:t>. This Termination Agremeent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tab/>
      </w:r>
    </w:p>
    <w:p>
      <w:pPr>
        <w:pStyle w:val="Normal"/>
        <w:jc w:val="both"/>
        <w:rPr>
          <w:sz w:val="22"/>
        </w:rPr>
      </w:pPr>
      <w:r>
        <w:rPr>
          <w:sz w:val="22"/>
        </w:rPr>
        <w:t>IN WITNESS WHEREOF, the Parties hereto have caused this Termination Agreement to be executed in multiple originals on the Effective Date.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POWER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 xml:space="preserve">[COUNTERPARTY] </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sz w:val="22"/>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Justified"/>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outlineLvl w:val="6"/>
    </w:pPr>
    <w:rPr>
      <w:b/>
      <w:sz w:val="22"/>
    </w:rPr>
  </w:style>
  <w:style w:type="character" w:styleId="WW8Num1z0">
    <w:name w:val="WW8Num1z0"/>
    <w:qFormat/>
    <w:rPr>
      <w:b/>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2160" w:end="0"/>
      <w:jc w:val="center"/>
    </w:pPr>
    <w:rPr>
      <w:b/>
      <w:sz w:val="22"/>
      <w:u w:val="single"/>
    </w:rPr>
  </w:style>
  <w:style w:type="paragraph" w:styleId="BodyText">
    <w:name w:val="Body Text"/>
    <w:basedOn w:val="Normal"/>
    <w:pPr>
      <w:tabs>
        <w:tab w:val="clear" w:pos="720"/>
        <w:tab w:val="left" w:pos="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overflowPunct w:val="false"/>
      <w:autoSpaceDE w:val="false"/>
      <w:spacing w:before="0" w:after="120"/>
      <w:jc w:val="both"/>
      <w:textAlignment w:val="baseline"/>
    </w:pPr>
    <w:rPr>
      <w:sz w:val="26"/>
    </w:rPr>
  </w:style>
  <w:style w:type="paragraph" w:styleId="BodyTextIndent">
    <w:name w:val="Body Text Indent"/>
    <w:basedOn w:val="Normal"/>
    <w:pPr>
      <w:ind w:hanging="0" w:start="720" w:end="0"/>
      <w:jc w:val="both"/>
    </w:pPr>
    <w:rPr>
      <w:sz w:val="22"/>
    </w:rPr>
  </w:style>
  <w:style w:type="paragraph" w:styleId="Subtitle">
    <w:name w:val="Subtitle"/>
    <w:basedOn w:val="Normal"/>
    <w:next w:val="BodyText"/>
    <w:qFormat/>
    <w:pPr>
      <w:jc w:val="center"/>
    </w:pPr>
    <w:rPr>
      <w:b/>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2001-11-29T14:30:00Z</dcterms:created>
  <dc:creator>mheard</dc:creator>
  <dc:description/>
  <dc:language>en-CA</dc:language>
  <cp:lastModifiedBy>Harlan Murphy</cp:lastModifiedBy>
  <cp:lastPrinted>2001-11-29T20:20:00Z</cp:lastPrinted>
  <dcterms:modified xsi:type="dcterms:W3CDTF">2001-11-29T23:56:00Z</dcterms:modified>
  <cp:revision>5</cp:revision>
  <dc:subject/>
  <dc:title>AMENDMENT TO MASTER AGREEMENT</dc:title>
</cp:coreProperties>
</file>