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2 TO</w:t>
        <w:br/>
      </w:r>
      <w:r>
        <w:rPr>
          <w:u w:val="single"/>
        </w:rPr>
        <w:t>SECURITIES PURCHASE AGREEMENT</w:t>
      </w:r>
    </w:p>
    <w:p>
      <w:pPr>
        <w:pStyle w:val="BodyText"/>
        <w:rPr/>
      </w:pPr>
      <w:r>
        <w:rPr/>
        <w:t>AMENDMENT NO. 2 TO SECURITIES PURCHASE AGREEMENT, dated as of May 9, 2001 (“</w:t>
      </w:r>
      <w:r>
        <w:rPr>
          <w:b/>
        </w:rPr>
        <w:t>Amendment No. 2</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as amended by Amendment No. 1 thereto dated as of May 1, 2001 (as amended,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extend the Expiration Date thereunder; and</w:t>
      </w:r>
    </w:p>
    <w:p>
      <w:pPr>
        <w:pStyle w:val="BodyText"/>
        <w:rPr/>
      </w:pPr>
      <w:r>
        <w:rPr/>
        <w:t>WHEREAS, in connection therewith,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rPr/>
      </w:pPr>
      <w:r>
        <w:rPr>
          <w:u w:val="single"/>
        </w:rPr>
        <w:t>Amendments</w:t>
      </w:r>
      <w:r>
        <w:rPr/>
        <w:t>.</w:t>
      </w:r>
    </w:p>
    <w:p>
      <w:pPr>
        <w:pStyle w:val="ListBullet2"/>
        <w:numPr>
          <w:ilvl w:val="1"/>
          <w:numId w:val="3"/>
        </w:numPr>
        <w:ind w:hanging="0" w:start="0"/>
        <w:rPr/>
      </w:pPr>
      <w:r>
        <w:rPr/>
        <w:t>The SPA is hereby amended by deleting the reference to “May 9, 2001” in the defined term “Expiration Date” and replacing such reference with “May 11, 2001”.</w:t>
      </w:r>
    </w:p>
    <w:p>
      <w:pPr>
        <w:pStyle w:val="ListBullet"/>
        <w:numPr>
          <w:ilvl w:val="0"/>
          <w:numId w:val="3"/>
        </w:numPr>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2; the execution and delivery of this Amendment No. 2 has been duly authorized by all necessary company action on its part; and this Amendment No. 2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Purchaser of this Amendment No. 2 or for the validity or enforceability thereof.</w:t>
      </w:r>
    </w:p>
    <w:p>
      <w:pPr>
        <w:pStyle w:val="ListBullet"/>
        <w:numPr>
          <w:ilvl w:val="0"/>
          <w:numId w:val="3"/>
        </w:numPr>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2; the execution and delivery of this Amendment No. 2 have been duly authorized by all necessary company action on its part; and this Amendment No. 2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it of this Amendment No. 2 or for the validity or enforceability thereof.</w:t>
      </w:r>
    </w:p>
    <w:p>
      <w:pPr>
        <w:pStyle w:val="ListBullet"/>
        <w:keepNext w:val="true"/>
        <w:numPr>
          <w:ilvl w:val="0"/>
          <w:numId w:val="3"/>
        </w:numPr>
        <w:rPr/>
      </w:pPr>
      <w:r>
        <w:rPr>
          <w:u w:val="single"/>
        </w:rPr>
        <w:t>Binding Effect</w:t>
      </w:r>
      <w:r>
        <w:rPr/>
        <w:t>.</w:t>
      </w:r>
    </w:p>
    <w:p>
      <w:pPr>
        <w:pStyle w:val="BodyText"/>
        <w:keepNext w:val="true"/>
        <w:rPr/>
      </w:pPr>
      <w:r>
        <w:rPr/>
        <w:t>This Amendment No. 2 shall become effective when it shall have been executed by both of the Parties and thereafter shall be binding upon and inure to the benefit of their respective successors and assigns.</w:t>
      </w:r>
    </w:p>
    <w:p>
      <w:pPr>
        <w:pStyle w:val="ListBullet"/>
        <w:numPr>
          <w:ilvl w:val="0"/>
          <w:numId w:val="3"/>
        </w:numPr>
        <w:rPr/>
      </w:pPr>
      <w:r>
        <w:rPr>
          <w:u w:val="single"/>
        </w:rPr>
        <w:t>Miscellaneous</w:t>
      </w:r>
      <w:r>
        <w:rPr/>
        <w:t>.</w:t>
      </w:r>
    </w:p>
    <w:p>
      <w:pPr>
        <w:pStyle w:val="ListBullet2"/>
        <w:numPr>
          <w:ilvl w:val="1"/>
          <w:numId w:val="3"/>
        </w:numPr>
        <w:ind w:hanging="0" w:start="0"/>
        <w:rPr/>
      </w:pPr>
      <w:r>
        <w:rPr>
          <w:u w:val="single"/>
        </w:rPr>
        <w:t>Governing Law; Consent to Jurisdiction</w:t>
      </w:r>
      <w:r>
        <w:rPr/>
        <w:t>.  This Amendment No. 2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Headings in this Amendment No. 2 are included herein for convenience of reference only and shall not constitute a part of this Amendment No. 2 for any other purpose.</w:t>
      </w:r>
    </w:p>
    <w:p>
      <w:pPr>
        <w:pStyle w:val="ListBullet2"/>
        <w:numPr>
          <w:ilvl w:val="1"/>
          <w:numId w:val="3"/>
        </w:numPr>
        <w:ind w:hanging="0" w:start="0"/>
        <w:rPr/>
      </w:pPr>
      <w:r>
        <w:rPr>
          <w:u w:val="single"/>
        </w:rPr>
        <w:t>Counterparts</w:t>
      </w:r>
      <w:r>
        <w:rPr/>
        <w:t>.  This Amendment No. 2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rPr/>
      </w:pPr>
      <w:r>
        <w:rPr/>
        <w:t>The Parties hereto agree that the SPA, as amended hereby, is in full force and effect in accordance with its terms and is hereby ratified and confirmed.</w:t>
      </w:r>
    </w:p>
    <w:p>
      <w:pPr>
        <w:pStyle w:val="ListBullet3"/>
        <w:numPr>
          <w:ilvl w:val="2"/>
          <w:numId w:val="3"/>
        </w:numPr>
        <w:rPr/>
      </w:pPr>
      <w:r>
        <w:rPr/>
        <w:t>Upon the due execution and delivery of this Amendment No. 2 by the Parties, on and after the date hereof, each reference in the SPA to “this Agreement”, “hereunder”, “herein” and words of like import referring to the SPA shall mean and be a reference to the SPA as amended hereby.</w:t>
      </w:r>
    </w:p>
    <w:p>
      <w:pPr>
        <w:pStyle w:val="BodyText"/>
        <w:rPr/>
      </w:pPr>
      <w:r>
        <w:rPr/>
        <w:t>IN WITNESS WHEREOF, each party hereto has caused this Amendment No. 2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Header"/>
        <w:tabs>
          <w:tab w:val="clear" w:pos="4320"/>
          <w:tab w:val="clear" w:pos="8640"/>
        </w:tabs>
        <w:rPr>
          <w:lang w:eastAsia="en-CA"/>
        </w:rPr>
      </w:pPr>
      <w:r>
        <w:rPr>
          <w:lang w:eastAsia="en-CA"/>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Houston\1287074.1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360"/>
        </w:tabs>
        <w:ind w:start="360" w:hanging="360"/>
      </w:pPr>
      <w:rPr>
        <w:rFonts w:ascii="Tahoma" w:hAnsi="Tahoma" w:cs="Tahoma"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lang w:eastAsia="en-US"/>
    </w:rPr>
  </w:style>
  <w:style w:type="paragraph" w:styleId="Heading3">
    <w:name w:val="heading 3"/>
    <w:basedOn w:val="Normal"/>
    <w:next w:val="Normal"/>
    <w:qFormat/>
    <w:pPr>
      <w:spacing w:before="0" w:after="240"/>
      <w:jc w:val="both"/>
      <w:outlineLvl w:val="2"/>
    </w:pPr>
    <w:rPr>
      <w:lang w:eastAsia="en-US"/>
    </w:rPr>
  </w:style>
  <w:style w:type="paragraph" w:styleId="Heading4">
    <w:name w:val="heading 4"/>
    <w:basedOn w:val="Normal"/>
    <w:next w:val="Normal"/>
    <w:qFormat/>
    <w:pPr>
      <w:spacing w:before="0" w:after="240"/>
      <w:jc w:val="both"/>
      <w:outlineLvl w:val="3"/>
    </w:pPr>
    <w:rPr>
      <w:lang w:eastAsia="en-US"/>
    </w:rPr>
  </w:style>
  <w:style w:type="paragraph" w:styleId="Heading5">
    <w:name w:val="heading 5"/>
    <w:basedOn w:val="Normal"/>
    <w:next w:val="Normal"/>
    <w:qFormat/>
    <w:pPr>
      <w:spacing w:before="0" w:after="240"/>
      <w:jc w:val="both"/>
      <w:outlineLvl w:val="4"/>
    </w:pPr>
    <w:rPr>
      <w:lang w:eastAsia="en-US"/>
    </w:rPr>
  </w:style>
  <w:style w:type="paragraph" w:styleId="Heading6">
    <w:name w:val="heading 6"/>
    <w:basedOn w:val="Normal"/>
    <w:next w:val="Normal"/>
    <w:qFormat/>
    <w:pPr>
      <w:spacing w:before="0" w:after="240"/>
      <w:jc w:val="both"/>
      <w:outlineLvl w:val="5"/>
    </w:pPr>
    <w:rPr>
      <w:lang w:eastAsia="en-US"/>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lang w:eastAsia="en-US"/>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eastAsia="en-US"/>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lang w:eastAsia="en-US"/>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8"/>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lang w:eastAsia="en-US"/>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6"/>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6"/>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Courier New" w:hAnsi="Courier;Courier New" w:eastAsia="Times New Roman" w:cs="Courier;Courier New"/>
      <w:color w:val="auto"/>
      <w:sz w:val="20"/>
      <w:szCs w:val="20"/>
      <w:lang w:val="en-CA" w:eastAsia="zh-CN" w:bidi="hi-IN"/>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lang w:eastAsia="en-US"/>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lang w:eastAsia="en-US"/>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lang w:eastAsia="en-US"/>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lang w:eastAsia="en-US"/>
    </w:rPr>
  </w:style>
  <w:style w:type="paragraph" w:styleId="SignatureBlock">
    <w:name w:val="Signature Block"/>
    <w:basedOn w:val="Normal"/>
    <w:qFormat/>
    <w:pPr>
      <w:tabs>
        <w:tab w:val="clear" w:pos="720"/>
        <w:tab w:val="right" w:pos="9180" w:leader="none"/>
      </w:tabs>
      <w:spacing w:before="0" w:after="600"/>
      <w:ind w:hanging="450" w:start="4770" w:end="0"/>
    </w:pPr>
    <w:rPr>
      <w:lang w:eastAsia="en-US"/>
    </w:rPr>
  </w:style>
  <w:style w:type="paragraph" w:styleId="SignatureBlock-Center">
    <w:name w:val="Signature Block - Center"/>
    <w:basedOn w:val="Normal"/>
    <w:qFormat/>
    <w:pPr>
      <w:tabs>
        <w:tab w:val="clear" w:pos="720"/>
        <w:tab w:val="right" w:pos="9180" w:leader="none"/>
      </w:tabs>
      <w:spacing w:before="0" w:after="600"/>
      <w:ind w:hanging="450" w:start="4770" w:end="0"/>
    </w:pPr>
    <w:rPr>
      <w:lang w:eastAsia="en-US"/>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7"/>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lang w:eastAsia="en-CA"/>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ind w:hanging="0" w:start="720" w:end="0"/>
    </w:pPr>
    <w:rPr/>
  </w:style>
  <w:style w:type="paragraph" w:styleId="ListBullet2">
    <w:name w:val="List Bullet 2"/>
    <w:basedOn w:val="Normal"/>
    <w:next w:val="BodyText"/>
    <w:pPr>
      <w:numPr>
        <w:ilvl w:val="0"/>
        <w:numId w:val="3"/>
      </w:numPr>
      <w:tabs>
        <w:tab w:val="clear" w:pos="720"/>
      </w:tabs>
      <w:spacing w:before="0" w:after="240"/>
      <w:jc w:val="both"/>
    </w:pPr>
    <w:rPr/>
  </w:style>
  <w:style w:type="paragraph" w:styleId="ListBullet3">
    <w:name w:val="List Bullet 3"/>
    <w:basedOn w:val="Normal"/>
    <w:next w:val="BodyText"/>
    <w:pPr>
      <w:numPr>
        <w:ilvl w:val="0"/>
        <w:numId w:val="3"/>
      </w:numPr>
      <w:tabs>
        <w:tab w:val="clear" w:pos="720"/>
      </w:tabs>
      <w:spacing w:before="0" w:after="240"/>
      <w:ind w:firstLine="720" w:start="720" w:end="0"/>
      <w:jc w:val="both"/>
    </w:pPr>
    <w:rPr/>
  </w:style>
  <w:style w:type="paragraph" w:styleId="ListBullet4">
    <w:name w:val="List Bullet 4"/>
    <w:basedOn w:val="Normal"/>
    <w:pPr>
      <w:numPr>
        <w:ilvl w:val="0"/>
        <w:numId w:val="3"/>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2001-05-08T13:58:00Z</dcterms:created>
  <dc:creator>Audrey Louison</dc:creator>
  <dc:description/>
  <dc:language>en-CA</dc:language>
  <cp:lastModifiedBy>Bracewell &amp; Patterson, LLP</cp:lastModifiedBy>
  <cp:lastPrinted>2001-05-01T14:18:00Z</cp:lastPrinted>
  <dcterms:modified xsi:type="dcterms:W3CDTF">2001-05-08T13:58:00Z</dcterms:modified>
  <cp:revision>2</cp:revision>
  <dc:subject/>
  <dc:title>AMENDMENT NO</dc:title>
</cp:coreProperties>
</file>