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rPr/>
      </w:pPr>
      <w:r>
        <w:rPr/>
        <w:t>Enron North American - September 14 - 15, 2000</w:t>
        <w:br/>
        <w:br/>
        <w:t>Commodities Trading and Marketing</w:t>
        <w:br/>
      </w:r>
      <w:r>
        <w:rPr>
          <w:u w:val="single"/>
        </w:rPr>
        <w:t>Compliance Program Presentations</w:t>
      </w:r>
    </w:p>
    <w:p>
      <w:pPr>
        <w:pStyle w:val="indenttext"/>
        <w:rPr/>
      </w:pPr>
      <w:r>
        <w:rPr/>
        <w:t>Please read the following case study.</w:t>
      </w:r>
    </w:p>
    <w:p>
      <w:pPr>
        <w:pStyle w:val="indenttext"/>
        <w:rPr/>
      </w:pPr>
      <w:r>
        <w:rPr/>
        <w:t>As you reflect on the conduct described, place yourself in the position of each Oil and Gas, Inc. employee and evaluate that individual’s conduct and recommend what he/she should do.</w:t>
      </w:r>
    </w:p>
    <w:p>
      <w:pPr>
        <w:pStyle w:val="indenttext"/>
        <w:rPr/>
      </w:pPr>
      <w:r>
        <w:rPr/>
        <w:t>You will have approximately 30 minutes to prepare, in your pre-assigned group, your group’s answer on the “group score sheet”.  In the “score” column, record each character’s conduct on a sale of 0 (poor) to 100 (excellent).  In the “advice” column state what alternative conduct, if any, your group would recommend for each character.</w:t>
      </w:r>
    </w:p>
    <w:p>
      <w:pPr>
        <w:pStyle w:val="indenttext"/>
        <w:rPr/>
      </w:pPr>
      <w:r>
        <w:rPr/>
        <w:t>Please select a spokesperson for your group who will report on your group’s ideas and answers during the general discussion.</w:t>
      </w:r>
      <w:r>
        <w:br w:type="page"/>
      </w:r>
    </w:p>
    <w:p>
      <w:pPr>
        <w:pStyle w:val="heading11"/>
        <w:rPr/>
      </w:pPr>
      <w:r>
        <w:rPr/>
        <w:t>A Case Study</w:t>
      </w:r>
    </w:p>
    <w:p>
      <w:pPr>
        <w:pStyle w:val="subheading"/>
        <w:rPr/>
      </w:pPr>
      <w:r>
        <w:rPr/>
        <w:t>Introduction</w:t>
      </w:r>
    </w:p>
    <w:p>
      <w:pPr>
        <w:pStyle w:val="BodyText"/>
        <w:rPr/>
      </w:pPr>
      <w:r>
        <w:rPr/>
        <w:t>Oil and Gas, Inc. (“OGI”) is an integrated oil and natural gas company with onshore and offshore production facilities, pipeline and refining capacity and gas station and heating oil distributorships.  To manage its own oil and gas interests, it is an active trader in the futures and options markets and also engages in swaps and forward transactions.  In addition, as a service to the producers, middlemen and end-users that it buys from and markets and sells oil and gas and products to, OGI offers tailored risk management products including swaps.  OGI has a substantial number of traders and marketers that it has hired over the last several years.</w:t>
      </w:r>
    </w:p>
    <w:p>
      <w:pPr>
        <w:pStyle w:val="subheading"/>
        <w:rPr/>
      </w:pPr>
      <w:r>
        <w:rPr/>
        <w:t>Scene One*</w:t>
      </w:r>
    </w:p>
    <w:p>
      <w:pPr>
        <w:pStyle w:val="BodyText"/>
        <w:rPr/>
      </w:pPr>
      <w:r>
        <w:rPr/>
        <w:t>Platts Oil Daily has taken to calling Sam, OGI’s head crude oil trader, to collect information on the market and to confirm OGI’s cash market transactions.  Sam is generally very cooperative, giving Platts trade prices on confirmed transactions.  However, when Sam believes that the transaction is off market because of special pricing arrangements tied to other transactions or advice, he tells Platts that he cannot confirm that a transaction took place.  Linda, OGI’s chief market strategist, knowing that OGI has outstanding contracts to sell crude using Platts’ prices, suggests that Sam refuse to confirm trades to Platts that do not support OGI’s strategic position (trades below OGI’s target prices).  Sam says he will think about it and consider giving her proposal a try.</w:t>
      </w:r>
    </w:p>
    <w:p>
      <w:pPr>
        <w:pStyle w:val="subheading"/>
        <w:rPr/>
      </w:pPr>
      <w:r>
        <w:rPr/>
        <w:t>Scene Two</w:t>
      </w:r>
    </w:p>
    <w:p>
      <w:pPr>
        <w:pStyle w:val="BodyText"/>
        <w:rPr/>
      </w:pPr>
      <w:r>
        <w:rPr/>
        <w:t>George, one of OGI’s new hires, is responsible for developing trading strategies for OGI.  He prepared a memorandum for his boss, Terry.  In the memorandum he suggested that if OGI reverses its trans-north pipeline, it could severely disrupt the price for NGL in the Illinois area.  With strategic purchases of NGL and NGL swaps for delivery in Illinois, George suggests OGI could extract significant profits.  Terry, aware that there is no need to reverse the pipeline (which was last done some ten years ago), suggests that he explore a “justification” for the reversal to support George’s trading strategy.</w:t>
      </w:r>
    </w:p>
    <w:p>
      <w:pPr>
        <w:pStyle w:val="subheading"/>
        <w:rPr/>
      </w:pPr>
      <w:r>
        <w:rPr/>
        <w:t>Scene Three</w:t>
      </w:r>
    </w:p>
    <w:p>
      <w:pPr>
        <w:pStyle w:val="BodyText"/>
        <w:rPr/>
      </w:pPr>
      <w:r>
        <w:rPr/>
        <w:t>Holly, one of OGI’s crude marketers, is the company’s expert in the design of complex option structures.  She has had great success marketing these structures to OGI’s customers.  She prepares careful records of the daily valuation of these trades based on her computer model.  John, Holly’s supervisor, reviews the daily valuations but has never analyzed Holly’s model and admits he does not have the skill to do so.  When OGI’s Credit Department needs to mark the positions to market, they call Holly.  When customers need valuations, John asks Holly to provide them.  When John reviews the Credit and customer valuations, he realizes that they are different.  He keeps meaning to ask Holly to explain the differences to him.</w:t>
      </w:r>
    </w:p>
    <w:p>
      <w:pPr>
        <w:pStyle w:val="subheading"/>
        <w:rPr/>
      </w:pPr>
      <w:r>
        <w:rPr/>
        <w:t>Scene Four</w:t>
      </w:r>
    </w:p>
    <w:p>
      <w:pPr>
        <w:pStyle w:val="BodyText"/>
        <w:rPr/>
      </w:pPr>
      <w:r>
        <w:rPr/>
        <w:t>OGI has a 5000 contract NYMEX May short crude oil futures position.  Josh, OGI’s chief oil trading strategist, realizes that he can divert two cargos (1 million barrels) of unsold crude that he had planned for Gulf Coast delivery to Cushing pipeline delivery.  While selling into Cushing will cost him 50 cents per barrel compared to what he could sell the crude for in the Gulf Coast, Josh decides to make the change because he believes that selling the crude in Cushing will drive the price down, and he will get an overall better return taking into account OGI’s NYMEX short.</w:t>
      </w:r>
    </w:p>
    <w:p>
      <w:pPr>
        <w:pStyle w:val="subheading"/>
        <w:rPr/>
      </w:pPr>
      <w:r>
        <w:rPr/>
        <w:t>Scene Five*</w:t>
      </w:r>
    </w:p>
    <w:p>
      <w:pPr>
        <w:pStyle w:val="BodyText"/>
        <w:rPr/>
      </w:pPr>
      <w:r>
        <w:rPr/>
        <w:t>Phoenix Offshore, Inc.  with a number of off-shore production properties in various stages of development, went public with an offering of its shares last year.  The company, however, has experienced technical setbacks that have delayed bringing a number of its wells on-line.  Nonetheless, to impress its shareholders, Phoenix wants to show a substantial inventory of natural gas at year end.  Phoenix’s treasurer, Lisa, explains the situation to Terry, an OGI trader, and Terry offers few suggestions.  Lisa decides to do a transaction with OGI whereby gas will be delivered to Phoenix on December 15 and returned to OGI on January 15.  Before the deal is finalized, Terry has seconds thoughts and tells his senior vice president, Leo, that Phoenix may be attempting to use the transaction to deceive its investors.  Leo tells Terry that these are issues for Phoenix and that, if Phoenix doesn’t have a problem, it should not concern OGI.</w:t>
      </w:r>
    </w:p>
    <w:p>
      <w:pPr>
        <w:pStyle w:val="subheading"/>
        <w:rPr/>
      </w:pPr>
      <w:r>
        <w:rPr/>
        <w:t>Scene Six*</w:t>
      </w:r>
    </w:p>
    <w:p>
      <w:pPr>
        <w:pStyle w:val="BodyText"/>
        <w:rPr/>
      </w:pPr>
      <w:r>
        <w:rPr/>
        <w:t>Five minutes before the close, Eric, an upstairs trader of OGI calls one of the independent NYMEX floor brokerage firms that OGI uses and talks to Phil, a phone clerk.  Eric has actual buying needs but doesn’t need to trade on the close.  However, he is concerned about that day’s settlement price which will be used to price over 30 BCF of OGI’s swaps and cash gas deals.  He instructs Phil to watch the close carefully.  If the market starts to drop, Eric tells Phil to instruct his floor broker to buy the market aggressively up to 1000 contracts to make sure, in doing so, that the market does not drop on the close.</w:t>
      </w:r>
    </w:p>
    <w:p>
      <w:pPr>
        <w:pStyle w:val="subheading"/>
        <w:rPr/>
      </w:pPr>
      <w:r>
        <w:rPr/>
        <w:t>Scene Seven</w:t>
      </w:r>
    </w:p>
    <w:p>
      <w:pPr>
        <w:pStyle w:val="BodyText"/>
        <w:rPr/>
      </w:pPr>
      <w:r>
        <w:rPr/>
        <w:t>Dennis, OGI’s chief trader, is convinced that OGI has the only available natural gas deliverable in October into the West Delta hub.  Knowing that a number of companies have unfulfilled commitments to deliver into the hub and that OGI is prepared to sell, Dennis enters the market as a bidder above the market.  After raising the bid several times and not getting hit, David decides to offer at the last bid price.</w:t>
      </w:r>
    </w:p>
    <w:p>
      <w:pPr>
        <w:pStyle w:val="subheading"/>
        <w:rPr/>
      </w:pPr>
      <w:r>
        <w:rPr/>
        <w:t>Scene Eight*</w:t>
      </w:r>
    </w:p>
    <w:p>
      <w:pPr>
        <w:pStyle w:val="BodyText"/>
        <w:rPr/>
      </w:pPr>
      <w:r>
        <w:rPr/>
        <w:t>Michael, one of OGI’s salesman, visits Natural Gas Inc. (“NGI”), a small Southwest gas producer.  OGI buys small quantities of gas from NGI.  Michael suggests to Rick, his counterpart at NGI, that if NGI is concerned that natural gas prices may fall next summer, it purchase a “knock-in” cash settlement option that would compensate NGI in a falling market.  The next day Michael sends Rick a term sheet but, contrary to usual OGI practice, does not include any analysis explaining how the transaction would perform at various prices.  Rick tells Michael, “If that’s what you guys recommend, I’ll go for it.”  Michael executes the trade.</w:t>
      </w:r>
    </w:p>
    <w:p>
      <w:pPr>
        <w:pStyle w:val="subheading"/>
        <w:rPr/>
      </w:pPr>
      <w:r>
        <w:rPr/>
        <w:t>Scene Nine</w:t>
      </w:r>
    </w:p>
    <w:p>
      <w:pPr>
        <w:pStyle w:val="BodyText"/>
        <w:rPr/>
      </w:pPr>
      <w:r>
        <w:rPr/>
        <w:t xml:space="preserve">Nancy, one of OGI’s salesmen, negotiates a complex long-term option structure with her counterpart, Joe, at Gas and Pipeline Co.  (“G&amp;P”), a major natural gas and pipeline company.  Because OGI’s credit line with G&amp;P is at capacity, Nancy’s supervisor, Glen, tells her that they can’t do the trace OTC but should consider finding a way to do it on the NYMEX.  Nancy calls Joe and tells him that the trade cannot be done but that she is actively market-making long-dated options on NYMEX.  Over the next week, OGI is the only entity actively offering long-dated options.  Using an independent broker, OGI sells a series of options on NYMEX and G&amp;P buys the OGI-NYMEX options.  Glen compliments Nancy on a good job. </w:t>
      </w:r>
    </w:p>
    <w:p>
      <w:pPr>
        <w:pStyle w:val="subheading"/>
        <w:rPr/>
      </w:pPr>
      <w:r>
        <w:rPr/>
        <w:t>Scene Ten</w:t>
      </w:r>
    </w:p>
    <w:p>
      <w:pPr>
        <w:pStyle w:val="BodyText"/>
        <w:rPr/>
      </w:pPr>
      <w:r>
        <w:rPr/>
        <w:t>OGI has entered into an exclusive agreement to handle the natural gas liquids storage for GMI,  a major natural gas liquids supplier in the Gulf.  Earl, OGI’s manager in charge of the storage facilities, notices that GMI’s storage volumes are unusually low for the season and that GMI has placed a new order to ship out liquids.  He calls Sally, OGI’s head NGL trader and tells her what he knows, recommending that OGI go long NGL in the region.  Sally is concerned that OGI should not be profiting from using customer information but decides that this trade is too good to pass up.</w:t>
      </w:r>
    </w:p>
    <w:p>
      <w:pPr>
        <w:pStyle w:val="subheading"/>
        <w:rPr/>
      </w:pPr>
      <w:r>
        <w:rPr/>
        <w:t>Scene Eleven</w:t>
      </w:r>
    </w:p>
    <w:p>
      <w:pPr>
        <w:pStyle w:val="BodyText"/>
        <w:rPr/>
      </w:pPr>
      <w:r>
        <w:rPr/>
        <w:t>OGI has an established trading relationship with the Wisconsin Power Authority (“WPA”), an instrumentality of the state with responsibility to deliver power to other state agencies.  WPA’s own utilities historically have been inefficient for the state’s needs and WPA routinely is a buyer of power.  WPA has recently hired a new head trader, Brad. Ruth, OGI’s trader responsible for the WPA relationship, notices that WPA’s trading profile has changed, WPA is more often short to OGI and occasionally engages in short-term trades.  After Ruth observes that WPA is short each of the next six months, she consults with her `supervisor Henry who assures her that OGI’s contract with WPA authorizes Brad to trade.</w:t>
      </w:r>
    </w:p>
    <w:p>
      <w:pPr>
        <w:pStyle w:val="subheading"/>
        <w:rPr/>
      </w:pPr>
      <w:r>
        <w:rPr/>
        <w:t>Scene Twelve</w:t>
      </w:r>
    </w:p>
    <w:p>
      <w:pPr>
        <w:pStyle w:val="BodyText"/>
        <w:rPr/>
      </w:pPr>
      <w:r>
        <w:rPr/>
        <w:t>OGI occasionally dominates trading in the heating oil pit to such an extent that, when its usual floor broker actively trades, others watch his every move and trade on his “coat tails”.  This limits the broker’s ability to execute large orders at a good price.  In order to mislead the market when he need to hedge a large position quickly, Ivan, OGI’s senior trader, decided to send two orders to floor simultaneously.  The large order was sent to an independent broker and a smaller opposite order was sent to OGI’s usual floor broker.  Ivan gave both brokers discretion to work the orders, but he did not tell either of them of his strategy.  As it turned out, OGI’s floor broker bought a part of the OGI order being handled by the independent  broker.</w:t>
      </w:r>
    </w:p>
    <w:p>
      <w:pPr>
        <w:pStyle w:val="subheading"/>
        <w:rPr/>
      </w:pPr>
      <w:r>
        <w:rPr/>
        <w:t>Scene Thirteen*</w:t>
      </w:r>
    </w:p>
    <w:p>
      <w:pPr>
        <w:pStyle w:val="BodyText"/>
        <w:rPr/>
      </w:pPr>
      <w:r>
        <w:rPr/>
        <w:t>Sue, an OGI marketer, has begun to solicit the risk management and trading business of Cherokee Refinery, a major crude refiner in the Northwest.  Sue’s cousin, Al, is in charge of refinery operations for Cherokee.  Al informs Sue that, while he has not yet informed his supervisors, he is planning an unscheduled maintenance shutdown of Cherokee’s main refinery in Wyoming which should drive up refined prices in the area significantly.  Sue suggests that she discuss with Al’s trading people a trading strategy to benefit from the shutdown.  Meanwhile, Sue recommends that OGI immediately put on a long position in the relevant Wyoming products markets.</w:t>
      </w:r>
    </w:p>
    <w:p>
      <w:pPr>
        <w:pStyle w:val="subheading"/>
        <w:rPr/>
      </w:pPr>
      <w:r>
        <w:rPr/>
        <w:t>Scene Fourteen*</w:t>
      </w:r>
    </w:p>
    <w:p>
      <w:pPr>
        <w:pStyle w:val="BodyText"/>
        <w:spacing w:before="0" w:after="240"/>
        <w:rPr/>
      </w:pPr>
      <w:r>
        <w:rPr/>
        <w:t>Alan, trader for OGI, is asked to go on a client call to the Arizona Department of Water &amp; Power (“AWP”), a major purchaser of natural gas form OGI.  In the course of his discussions with AWP’s head trader, Steve, Alan discovers that DWP has never entered into a swap transaction.  Alan explains the benefits of a swap structure as a way to lock in natural gas prices.  He describes a structure to Steve that will allow AWP to make substantial profit if natural gas prices increase.  They do the transaction.  With natural gas prices declining rapidly, Steve calls Alan and asks him about getting out of the transaction.  Steve raises the question of whether AWP had the authority to enter into the transaction in the first place.  Knowing that if he responds to Steve’s request for an exit price the loss will likely result in the loss of the client, Alan suggests that Steve roll the transaction forward to capture the expected longer term price increases.  Howard, Alan’s boss congratulates him on a very profitable new trade.</w:t>
      </w:r>
    </w:p>
    <w:sectPr>
      <w:footerReference w:type="default" r:id="rId2"/>
      <w:footerReference w:type="first" r:id="rId3"/>
      <w:type w:val="nextPage"/>
      <w:pgSz w:w="12240" w:h="15840"/>
      <w:pgMar w:left="2160" w:right="1440" w:gutter="0" w:header="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p>
    <w:pPr>
      <w:pStyle w:val="Normal"/>
      <w:rPr/>
    </w:pPr>
    <w:r>
      <w:rPr>
        <w:sz w:val="16"/>
      </w:rPr>
      <w:t>NY12533: 125155.1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sz w:val="16"/>
      </w:rPr>
    </w:pPr>
    <w:r>
      <w:rPr>
        <w:sz w:val="16"/>
      </w:rPr>
      <w:t>NY12533: 125155.1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ing11">
    <w:name w:val="heading1"/>
    <w:basedOn w:val="Normal"/>
    <w:qFormat/>
    <w:pPr>
      <w:spacing w:before="0" w:after="360"/>
      <w:jc w:val="center"/>
    </w:pPr>
    <w:rPr>
      <w:b/>
    </w:rPr>
  </w:style>
  <w:style w:type="paragraph" w:styleId="indenttext">
    <w:name w:val="indent text"/>
    <w:basedOn w:val="Normal"/>
    <w:qFormat/>
    <w:pPr>
      <w:spacing w:before="0" w:after="240"/>
      <w:ind w:hanging="0" w:start="1440" w:end="1080"/>
      <w:jc w:val="both"/>
    </w:pPr>
    <w:rPr/>
  </w:style>
  <w:style w:type="paragraph" w:styleId="subheading">
    <w:name w:val="subheading"/>
    <w:basedOn w:val="Normal"/>
    <w:qFormat/>
    <w:pPr>
      <w:keepNext w:val="true"/>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2000-09-11T14:29:00Z</dcterms:created>
  <dc:creator>For Help Call PC Support, x 4277</dc:creator>
  <dc:description/>
  <dc:language>en-CA</dc:language>
  <cp:lastModifiedBy>For Help Call PC Support, x 4277</cp:lastModifiedBy>
  <cp:lastPrinted>2000-09-11T15:52:00Z</cp:lastPrinted>
  <dcterms:modified xsi:type="dcterms:W3CDTF">2000-09-11T17:22:00Z</dcterms:modified>
  <cp:revision>9</cp:revision>
  <dc:subject/>
  <dc:title>Enron North American - September 14 - 15, 2000</dc:title>
</cp:coreProperties>
</file>