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exact" w:line="160"/>
        <w:rPr>
          <w:spacing w:val="-2"/>
        </w:rPr>
      </w:pPr>
      <w:r>
        <w:fldChar w:fldCharType="begin"/>
      </w:r>
      <w:r>
        <w:rPr>
          <w:spacing w:val="-2"/>
        </w:rPr>
        <w:instrText xml:space="preserve">ADVANCE \U 21.60</w:instrText>
      </w:r>
      <w:r>
        <w:rPr>
          <w:spacing w:val="-2"/>
        </w:rPr>
      </w:r>
      <w:r>
        <w:rPr>
          <w:spacing w:val="-2"/>
        </w:rPr>
        <w:fldChar w:fldCharType="separate"/>
      </w:r>
      <w:r>
        <w:rPr>
          <w:spacing w:val="-2"/>
        </w:rPr>
      </w:r>
      <w:r/>
      <w:r>
        <w:rPr>
          <w:spacing w:val="-2"/>
        </w:rPr>
        <w:fldChar w:fldCharType="end"/>
      </w:r>
      <w:r>
        <w:rPr>
          <w:spacing w:val="-2"/>
        </w:rPr>
      </w:r>
      <w:r>
        <mc:AlternateContent>
          <mc:Choice Requires="wps">
            <w:drawing>
              <wp:anchor behindDoc="0" distT="155575" distB="155575" distL="155575" distR="155575" simplePos="0" locked="0" layoutInCell="0" allowOverlap="1" relativeHeight="2">
                <wp:simplePos x="0" y="0"/>
                <wp:positionH relativeFrom="page">
                  <wp:posOffset>1885950</wp:posOffset>
                </wp:positionH>
                <wp:positionV relativeFrom="paragraph">
                  <wp:posOffset>-367665</wp:posOffset>
                </wp:positionV>
                <wp:extent cx="4109085" cy="1099820"/>
                <wp:effectExtent l="0" t="0" r="0" b="0"/>
                <wp:wrapSquare wrapText="bothSides"/>
                <wp:docPr id="1" name="Frame1"/>
                <a:graphic xmlns:a="http://schemas.openxmlformats.org/drawingml/2006/main">
                  <a:graphicData uri="http://schemas.microsoft.com/office/word/2010/wordprocessingShape">
                    <wps:wsp>
                      <wps:cNvSpPr txBox="1"/>
                      <wps:spPr>
                        <a:xfrm>
                          <a:off x="0" y="0"/>
                          <a:ext cx="4109085" cy="1099820"/>
                        </a:xfrm>
                        <a:prstGeom prst="rect"/>
                        <a:solidFill>
                          <a:srgbClr val="FFFFFF">
                            <a:alpha val="0"/>
                          </a:srgbClr>
                        </a:solidFill>
                        <a:ln w="19050">
                          <a:solidFill>
                            <a:srgbClr val="FFFFFF"/>
                          </a:solidFill>
                        </a:ln>
                      </wps:spPr>
                      <wps:txbx>
                        <w:txbxContent>
                          <w:p>
                            <w:pPr>
                              <w:pStyle w:val="Normal"/>
                              <w:tabs>
                                <w:tab w:val="clear" w:pos="720"/>
                                <w:tab w:val="center" w:pos="4680" w:leader="none"/>
                              </w:tabs>
                              <w:suppressAutoHyphens w:val="true"/>
                              <w:jc w:val="center"/>
                              <w:rPr>
                                <w:b/>
                                <w:bCs/>
                                <w:position w:val="-40"/>
                                <w:sz w:val="32"/>
                                <w:szCs w:val="32"/>
                              </w:rPr>
                            </w:pPr>
                            <w:bookmarkStart w:id="0" w:name="zbkMemoHeading"/>
                            <w:bookmarkEnd w:id="0"/>
                            <w:r>
                              <w:rPr>
                                <w:b/>
                                <w:bCs/>
                                <w:position w:val="-40"/>
                                <w:sz w:val="32"/>
                                <w:szCs w:val="32"/>
                              </w:rPr>
                              <w:t xml:space="preserve">ARTER &amp; HADDEN </w:t>
                            </w:r>
                            <w:r>
                              <w:rPr>
                                <w:b/>
                                <w:bCs/>
                                <w:position w:val="-40"/>
                                <w:sz w:val="18"/>
                                <w:szCs w:val="18"/>
                              </w:rPr>
                              <w:t>LLP</w:t>
                            </w:r>
                          </w:p>
                          <w:p>
                            <w:pPr>
                              <w:pStyle w:val="Normal"/>
                              <w:tabs>
                                <w:tab w:val="clear" w:pos="720"/>
                                <w:tab w:val="center" w:pos="2718" w:leader="none"/>
                              </w:tabs>
                              <w:suppressAutoHyphens w:val="true"/>
                              <w:spacing w:before="280" w:after="0"/>
                              <w:jc w:val="center"/>
                              <w:rPr>
                                <w:spacing w:val="50"/>
                                <w:sz w:val="28"/>
                                <w:szCs w:val="28"/>
                                <w:u w:val="single"/>
                              </w:rPr>
                            </w:pPr>
                            <w:r>
                              <w:rPr>
                                <w:b/>
                                <w:bCs/>
                                <w:spacing w:val="50"/>
                                <w:sz w:val="28"/>
                                <w:szCs w:val="28"/>
                                <w:u w:val="single"/>
                              </w:rPr>
                              <w:t>MEMORANDUM</w:t>
                            </w:r>
                          </w:p>
                        </w:txbxContent>
                      </wps:txbx>
                      <wps:bodyPr anchor="t" lIns="50800" tIns="76200" rIns="50800" bIns="76200">
                        <a:noAutofit/>
                      </wps:bodyPr>
                    </wps:wsp>
                  </a:graphicData>
                </a:graphic>
              </wp:anchor>
            </w:drawing>
          </mc:Choice>
          <mc:Fallback>
            <w:pict>
              <v:rect fillcolor="#FFFFFF" strokecolor="#FFFFFF" strokeweight="1pt" style="position:absolute;rotation:-0;width:323.55pt;height:86.6pt;mso-wrap-distance-left:12.25pt;mso-wrap-distance-right:12.25pt;mso-wrap-distance-top:12.25pt;mso-wrap-distance-bottom:12.25pt;margin-top:-28.95pt;mso-position-vertical-relative:text;margin-left:148.5pt;mso-position-horizontal-relative:page">
                <v:fill opacity="0f"/>
                <v:textbox inset="0.0555555555555556in,0.0833333333333333in,0.0555555555555556in,0.0833333333333333in">
                  <w:txbxContent>
                    <w:p>
                      <w:pPr>
                        <w:pStyle w:val="Normal"/>
                        <w:tabs>
                          <w:tab w:val="clear" w:pos="720"/>
                          <w:tab w:val="center" w:pos="4680" w:leader="none"/>
                        </w:tabs>
                        <w:suppressAutoHyphens w:val="true"/>
                        <w:jc w:val="center"/>
                        <w:rPr>
                          <w:b/>
                          <w:bCs/>
                          <w:position w:val="-40"/>
                          <w:sz w:val="32"/>
                          <w:szCs w:val="32"/>
                        </w:rPr>
                      </w:pPr>
                      <w:bookmarkStart w:id="1" w:name="zbkMemoHeading"/>
                      <w:bookmarkEnd w:id="1"/>
                      <w:r>
                        <w:rPr>
                          <w:b/>
                          <w:bCs/>
                          <w:position w:val="-40"/>
                          <w:sz w:val="32"/>
                          <w:szCs w:val="32"/>
                        </w:rPr>
                        <w:t xml:space="preserve">ARTER &amp; HADDEN </w:t>
                      </w:r>
                      <w:r>
                        <w:rPr>
                          <w:b/>
                          <w:bCs/>
                          <w:position w:val="-40"/>
                          <w:sz w:val="18"/>
                          <w:szCs w:val="18"/>
                        </w:rPr>
                        <w:t>LLP</w:t>
                      </w:r>
                    </w:p>
                    <w:p>
                      <w:pPr>
                        <w:pStyle w:val="Normal"/>
                        <w:tabs>
                          <w:tab w:val="clear" w:pos="720"/>
                          <w:tab w:val="center" w:pos="2718" w:leader="none"/>
                        </w:tabs>
                        <w:suppressAutoHyphens w:val="true"/>
                        <w:spacing w:before="280" w:after="0"/>
                        <w:jc w:val="center"/>
                        <w:rPr>
                          <w:spacing w:val="50"/>
                          <w:sz w:val="28"/>
                          <w:szCs w:val="28"/>
                          <w:u w:val="single"/>
                        </w:rPr>
                      </w:pPr>
                      <w:r>
                        <w:rPr>
                          <w:b/>
                          <w:bCs/>
                          <w:spacing w:val="50"/>
                          <w:sz w:val="28"/>
                          <w:szCs w:val="28"/>
                          <w:u w:val="single"/>
                        </w:rPr>
                        <w:t>MEMORANDUM</w:t>
                      </w:r>
                    </w:p>
                  </w:txbxContent>
                </v:textbox>
                <w10:wrap type="square"/>
              </v:rect>
            </w:pict>
          </mc:Fallback>
        </mc:AlternateContent>
      </w:r>
    </w:p>
    <w:tbl>
      <w:tblPr>
        <w:tblW w:w="9570" w:type="dxa"/>
        <w:jc w:val="start"/>
        <w:tblInd w:w="0" w:type="dxa"/>
        <w:tblLayout w:type="fixed"/>
        <w:tblCellMar>
          <w:top w:w="0" w:type="dxa"/>
          <w:start w:w="120" w:type="dxa"/>
          <w:bottom w:w="0" w:type="dxa"/>
          <w:end w:w="120" w:type="dxa"/>
        </w:tblCellMar>
      </w:tblPr>
      <w:tblGrid>
        <w:gridCol w:w="1470"/>
        <w:gridCol w:w="8100"/>
      </w:tblGrid>
      <w:tr>
        <w:trPr/>
        <w:tc>
          <w:tcPr>
            <w:tcW w:w="9570" w:type="dxa"/>
            <w:gridSpan w:val="2"/>
            <w:tcBorders/>
          </w:tcPr>
          <w:p>
            <w:pPr>
              <w:pStyle w:val="Normal"/>
              <w:tabs>
                <w:tab w:val="clear" w:pos="720"/>
                <w:tab w:val="left" w:pos="-720" w:leader="none"/>
              </w:tabs>
              <w:suppressAutoHyphens w:val="true"/>
              <w:spacing w:before="66" w:after="112"/>
              <w:jc w:val="center"/>
              <w:rPr>
                <w:color w:val="000000"/>
                <w:sz w:val="22"/>
                <w:szCs w:val="22"/>
              </w:rPr>
            </w:pPr>
            <w:r>
              <w:rPr>
                <w:b/>
                <w:bCs/>
                <w:color w:val="000000"/>
                <w:sz w:val="22"/>
                <w:szCs w:val="22"/>
                <w:u w:val="single"/>
              </w:rPr>
              <w:t>CONFIDENTIAL:  ATTORNEY-CLIENT</w:t>
            </w:r>
            <w:r>
              <w:rPr>
                <w:color w:val="000000"/>
                <w:sz w:val="22"/>
                <w:szCs w:val="22"/>
              </w:rPr>
              <w:br/>
            </w:r>
            <w:r>
              <w:rPr>
                <w:b/>
                <w:bCs/>
                <w:color w:val="000000"/>
                <w:sz w:val="22"/>
                <w:szCs w:val="22"/>
                <w:u w:val="single"/>
              </w:rPr>
              <w:t>PRIVILEGED COMMUNICATION</w:t>
            </w:r>
            <w:bookmarkStart w:id="2" w:name="bkClause"/>
            <w:bookmarkEnd w:id="2"/>
          </w:p>
        </w:tc>
      </w:tr>
      <w:tr>
        <w:trPr/>
        <w:tc>
          <w:tcPr>
            <w:tcW w:w="1470" w:type="dxa"/>
            <w:tcBorders/>
          </w:tcPr>
          <w:p>
            <w:pPr>
              <w:pStyle w:val="Normal"/>
              <w:tabs>
                <w:tab w:val="clear" w:pos="720"/>
                <w:tab w:val="left" w:pos="-720" w:leader="none"/>
              </w:tabs>
              <w:suppressAutoHyphens w:val="true"/>
              <w:spacing w:before="66" w:after="112"/>
              <w:ind w:start="-144" w:end="0"/>
              <w:rPr>
                <w:rStyle w:val="zMemoHdg"/>
                <w:b/>
                <w:bCs/>
                <w:spacing w:val="-3"/>
              </w:rPr>
            </w:pPr>
            <w:r>
              <w:rPr>
                <w:rStyle w:val="zMemoHdg"/>
                <w:spacing w:val="-3"/>
              </w:rPr>
              <w:t>TO:</w:t>
            </w:r>
          </w:p>
        </w:tc>
        <w:tc>
          <w:tcPr>
            <w:tcW w:w="8100" w:type="dxa"/>
            <w:tcBorders/>
          </w:tcPr>
          <w:p>
            <w:pPr>
              <w:pStyle w:val="zMemoInfo"/>
              <w:suppressAutoHyphens w:val="true"/>
              <w:spacing w:before="66" w:after="112"/>
              <w:jc w:val="start"/>
              <w:rPr/>
            </w:pPr>
            <w:bookmarkStart w:id="3" w:name="bkTo"/>
            <w:bookmarkEnd w:id="3"/>
            <w:r>
              <w:rPr/>
              <w:t>WPTF Board of Directors</w:t>
            </w:r>
          </w:p>
        </w:tc>
      </w:tr>
      <w:tr>
        <w:trPr/>
        <w:tc>
          <w:tcPr>
            <w:tcW w:w="1470" w:type="dxa"/>
            <w:tcBorders/>
          </w:tcPr>
          <w:p>
            <w:pPr>
              <w:pStyle w:val="Normal"/>
              <w:tabs>
                <w:tab w:val="clear" w:pos="720"/>
                <w:tab w:val="left" w:pos="-720" w:leader="none"/>
              </w:tabs>
              <w:suppressAutoHyphens w:val="true"/>
              <w:spacing w:before="66" w:after="112"/>
              <w:ind w:start="-144" w:end="0"/>
              <w:rPr>
                <w:rStyle w:val="zMemoHdg"/>
                <w:b/>
                <w:bCs/>
                <w:spacing w:val="-3"/>
              </w:rPr>
            </w:pPr>
            <w:r>
              <w:rPr>
                <w:rStyle w:val="zMemoHdg"/>
                <w:spacing w:val="-3"/>
              </w:rPr>
              <w:t>FROM:</w:t>
            </w:r>
          </w:p>
        </w:tc>
        <w:tc>
          <w:tcPr>
            <w:tcW w:w="8100" w:type="dxa"/>
            <w:tcBorders/>
          </w:tcPr>
          <w:p>
            <w:pPr>
              <w:pStyle w:val="zMemoInfo"/>
              <w:suppressAutoHyphens w:val="true"/>
              <w:spacing w:before="66" w:after="112"/>
              <w:jc w:val="start"/>
              <w:rPr/>
            </w:pPr>
            <w:bookmarkStart w:id="4" w:name="bkFrom"/>
            <w:bookmarkEnd w:id="4"/>
            <w:r>
              <w:rPr/>
              <w:t>Daniel W. Douglass</w:t>
            </w:r>
          </w:p>
        </w:tc>
      </w:tr>
      <w:tr>
        <w:trPr/>
        <w:tc>
          <w:tcPr>
            <w:tcW w:w="1470" w:type="dxa"/>
            <w:tcBorders/>
          </w:tcPr>
          <w:p>
            <w:pPr>
              <w:pStyle w:val="Normal"/>
              <w:tabs>
                <w:tab w:val="clear" w:pos="720"/>
                <w:tab w:val="left" w:pos="-720" w:leader="none"/>
              </w:tabs>
              <w:suppressAutoHyphens w:val="true"/>
              <w:spacing w:before="66" w:after="112"/>
              <w:ind w:start="-144" w:end="0"/>
              <w:rPr/>
            </w:pPr>
            <w:r>
              <w:rPr>
                <w:rStyle w:val="zMemoHdg"/>
                <w:spacing w:val="-3"/>
              </w:rPr>
              <w:t>CC:</w:t>
            </w:r>
          </w:p>
        </w:tc>
        <w:tc>
          <w:tcPr>
            <w:tcW w:w="8100" w:type="dxa"/>
            <w:tcBorders/>
          </w:tcPr>
          <w:p>
            <w:pPr>
              <w:pStyle w:val="zMemoInfo"/>
              <w:suppressAutoHyphens w:val="true"/>
              <w:spacing w:before="66" w:after="112"/>
              <w:jc w:val="start"/>
              <w:rPr/>
            </w:pPr>
            <w:bookmarkStart w:id="5" w:name="bkcc"/>
            <w:bookmarkEnd w:id="5"/>
            <w:r>
              <w:rPr/>
              <w:t>Gary Ackerman</w:t>
            </w:r>
          </w:p>
        </w:tc>
      </w:tr>
      <w:tr>
        <w:trPr/>
        <w:tc>
          <w:tcPr>
            <w:tcW w:w="1470" w:type="dxa"/>
            <w:tcBorders/>
          </w:tcPr>
          <w:p>
            <w:pPr>
              <w:pStyle w:val="Normal"/>
              <w:tabs>
                <w:tab w:val="clear" w:pos="720"/>
                <w:tab w:val="left" w:pos="-720" w:leader="none"/>
              </w:tabs>
              <w:suppressAutoHyphens w:val="true"/>
              <w:spacing w:before="66" w:after="112"/>
              <w:ind w:start="-144" w:end="0"/>
              <w:rPr/>
            </w:pPr>
            <w:r>
              <w:rPr>
                <w:rStyle w:val="zMemoHdg"/>
                <w:spacing w:val="-3"/>
              </w:rPr>
              <w:t>DATE:</w:t>
            </w:r>
          </w:p>
        </w:tc>
        <w:tc>
          <w:tcPr>
            <w:tcW w:w="8100" w:type="dxa"/>
            <w:tcBorders/>
          </w:tcPr>
          <w:p>
            <w:pPr>
              <w:pStyle w:val="zMemoInfo"/>
              <w:suppressAutoHyphens w:val="true"/>
              <w:spacing w:before="66" w:after="112"/>
              <w:jc w:val="start"/>
              <w:rPr>
                <w:spacing w:val="-3"/>
              </w:rPr>
            </w:pPr>
            <w:bookmarkStart w:id="6" w:name="bkDate"/>
            <w:r>
              <w:rPr/>
              <w:t xml:space="preserve">February 4, 2001 </w:t>
            </w:r>
            <w:bookmarkEnd w:id="6"/>
          </w:p>
        </w:tc>
      </w:tr>
      <w:tr>
        <w:trPr/>
        <w:tc>
          <w:tcPr>
            <w:tcW w:w="1470" w:type="dxa"/>
            <w:tcBorders/>
          </w:tcPr>
          <w:p>
            <w:pPr>
              <w:pStyle w:val="Normal"/>
              <w:tabs>
                <w:tab w:val="clear" w:pos="720"/>
                <w:tab w:val="left" w:pos="-720" w:leader="none"/>
              </w:tabs>
              <w:suppressAutoHyphens w:val="true"/>
              <w:spacing w:before="66" w:after="112"/>
              <w:ind w:start="-144" w:end="0"/>
              <w:rPr/>
            </w:pPr>
            <w:r>
              <w:rPr>
                <w:rStyle w:val="zMemoHdg"/>
                <w:spacing w:val="-3"/>
              </w:rPr>
              <w:t>CLIENT NO.:</w:t>
            </w:r>
          </w:p>
        </w:tc>
        <w:tc>
          <w:tcPr>
            <w:tcW w:w="8100" w:type="dxa"/>
            <w:tcBorders/>
          </w:tcPr>
          <w:p>
            <w:pPr>
              <w:pStyle w:val="zMemoInfo"/>
              <w:suppressAutoHyphens w:val="true"/>
              <w:spacing w:before="66" w:after="112"/>
              <w:jc w:val="start"/>
              <w:rPr/>
            </w:pPr>
            <w:bookmarkStart w:id="7" w:name="bkFileNo"/>
            <w:bookmarkEnd w:id="7"/>
            <w:r>
              <w:rPr/>
              <w:t>69738/10144</w:t>
            </w:r>
          </w:p>
        </w:tc>
      </w:tr>
      <w:tr>
        <w:trPr/>
        <w:tc>
          <w:tcPr>
            <w:tcW w:w="1470" w:type="dxa"/>
            <w:tcBorders/>
          </w:tcPr>
          <w:p>
            <w:pPr>
              <w:pStyle w:val="Normal"/>
              <w:tabs>
                <w:tab w:val="clear" w:pos="720"/>
                <w:tab w:val="left" w:pos="-720" w:leader="none"/>
              </w:tabs>
              <w:suppressAutoHyphens w:val="true"/>
              <w:spacing w:before="66" w:after="112"/>
              <w:ind w:start="-144" w:end="0"/>
              <w:rPr>
                <w:rStyle w:val="zMemoHdg"/>
                <w:b/>
                <w:bCs/>
                <w:spacing w:val="-3"/>
              </w:rPr>
            </w:pPr>
            <w:r>
              <w:rPr>
                <w:rStyle w:val="zMemoHdg"/>
                <w:spacing w:val="-3"/>
              </w:rPr>
              <w:t>RE:</w:t>
            </w:r>
          </w:p>
        </w:tc>
        <w:tc>
          <w:tcPr>
            <w:tcW w:w="8100" w:type="dxa"/>
            <w:tcBorders/>
          </w:tcPr>
          <w:p>
            <w:pPr>
              <w:pStyle w:val="zMemoInfo"/>
              <w:suppressAutoHyphens w:val="true"/>
              <w:spacing w:before="66" w:after="112"/>
              <w:jc w:val="start"/>
              <w:rPr/>
            </w:pPr>
            <w:bookmarkStart w:id="8" w:name="bkRe"/>
            <w:bookmarkEnd w:id="8"/>
            <w:r>
              <w:rPr/>
              <w:t>CPUC Prudency Standards for Utility Bilateral Contracts</w:t>
            </w:r>
          </w:p>
        </w:tc>
      </w:tr>
      <w:tr>
        <w:trPr/>
        <w:tc>
          <w:tcPr>
            <w:tcW w:w="1470" w:type="dxa"/>
            <w:tcBorders/>
          </w:tcPr>
          <w:p>
            <w:pPr>
              <w:pStyle w:val="Normal"/>
              <w:tabs>
                <w:tab w:val="clear" w:pos="720"/>
                <w:tab w:val="left" w:pos="-720" w:leader="none"/>
              </w:tabs>
              <w:suppressAutoHyphens w:val="true"/>
              <w:spacing w:before="66" w:after="112"/>
              <w:ind w:start="-144" w:end="0"/>
              <w:rPr/>
            </w:pPr>
            <w:r>
              <w:rPr>
                <w:rStyle w:val="zMemoHdg"/>
                <w:spacing w:val="-3"/>
              </w:rPr>
              <w:t>SUBJECT:</w:t>
            </w:r>
          </w:p>
        </w:tc>
        <w:tc>
          <w:tcPr>
            <w:tcW w:w="8100" w:type="dxa"/>
            <w:tcBorders/>
          </w:tcPr>
          <w:p>
            <w:pPr>
              <w:pStyle w:val="zMemoInfo"/>
              <w:suppressAutoHyphens w:val="true"/>
              <w:spacing w:before="66" w:after="112"/>
              <w:jc w:val="start"/>
              <w:rPr/>
            </w:pPr>
            <w:bookmarkStart w:id="9" w:name="bkSubj"/>
            <w:bookmarkEnd w:id="9"/>
            <w:r>
              <w:rPr/>
              <w:t>Summary of Draft Decisions</w:t>
            </w:r>
          </w:p>
        </w:tc>
      </w:tr>
      <w:tr>
        <w:trPr>
          <w:trHeight w:val="240" w:hRule="exact"/>
        </w:trPr>
        <w:tc>
          <w:tcPr>
            <w:tcW w:w="1470" w:type="dxa"/>
            <w:tcBorders>
              <w:bottom w:val="double" w:sz="6" w:space="0" w:color="000000"/>
            </w:tcBorders>
          </w:tcPr>
          <w:p>
            <w:pPr>
              <w:pStyle w:val="Normal"/>
              <w:tabs>
                <w:tab w:val="clear" w:pos="720"/>
                <w:tab w:val="left" w:pos="-720" w:leader="none"/>
              </w:tabs>
              <w:suppressAutoHyphens w:val="true"/>
              <w:snapToGrid w:val="false"/>
              <w:spacing w:before="66" w:after="112"/>
              <w:rPr>
                <w:rStyle w:val="zMemoHdg"/>
                <w:spacing w:val="-3"/>
              </w:rPr>
            </w:pPr>
            <w:r>
              <w:rPr>
                <w:color w:val="000000"/>
                <w:spacing w:val="-3"/>
              </w:rPr>
            </w:r>
          </w:p>
        </w:tc>
        <w:tc>
          <w:tcPr>
            <w:tcW w:w="8100" w:type="dxa"/>
            <w:tcBorders>
              <w:bottom w:val="double" w:sz="6" w:space="0" w:color="000000"/>
            </w:tcBorders>
          </w:tcPr>
          <w:p>
            <w:pPr>
              <w:pStyle w:val="Normal"/>
              <w:tabs>
                <w:tab w:val="clear" w:pos="720"/>
                <w:tab w:val="left" w:pos="-720" w:leader="none"/>
              </w:tabs>
              <w:suppressAutoHyphens w:val="true"/>
              <w:snapToGrid w:val="false"/>
              <w:spacing w:before="66" w:after="112"/>
              <w:rPr>
                <w:rStyle w:val="zMemoHdg"/>
                <w:color w:val="000000"/>
                <w:spacing w:val="-3"/>
              </w:rPr>
            </w:pPr>
            <w:r>
              <w:rPr/>
            </w:r>
          </w:p>
        </w:tc>
      </w:tr>
    </w:tbl>
    <w:p>
      <w:pPr>
        <w:pStyle w:val="Normal"/>
        <w:tabs>
          <w:tab w:val="clear" w:pos="720"/>
          <w:tab w:val="left" w:pos="-720" w:leader="none"/>
        </w:tabs>
        <w:suppressAutoHyphens w:val="true"/>
        <w:rPr>
          <w:color w:val="000000"/>
          <w:spacing w:val="-3"/>
        </w:rPr>
      </w:pPr>
      <w:r>
        <w:rPr>
          <w:color w:val="000000"/>
          <w:spacing w:val="-3"/>
        </w:rPr>
      </w:r>
    </w:p>
    <w:p>
      <w:pPr>
        <w:pStyle w:val="standard"/>
        <w:widowControl/>
        <w:spacing w:lineRule="auto" w:line="240"/>
        <w:jc w:val="both"/>
        <w:rPr>
          <w:rFonts w:ascii="Times New Roman;Times New Roman" w:hAnsi="Times New Roman;Times New Roman" w:eastAsia="Times New Roman;Times New Roman" w:cs="Times New Roman;Times New Roman"/>
          <w:sz w:val="24"/>
          <w:szCs w:val="24"/>
        </w:rPr>
      </w:pPr>
      <w:bookmarkStart w:id="10" w:name="bkStart"/>
      <w:bookmarkEnd w:id="10"/>
      <w:r>
        <w:rPr>
          <w:rFonts w:eastAsia="Times New Roman;Times New Roman" w:cs="Times New Roman;Times New Roman" w:ascii="Times New Roman;Times New Roman" w:hAnsi="Times New Roman;Times New Roman"/>
          <w:sz w:val="24"/>
          <w:szCs w:val="24"/>
        </w:rPr>
        <w:t>Commissioner Lynch and ALJ Cooke have each issued proposed decisions which adopt guidelines for bilateral power purchase contracts entered into by Pacific Gas and Electric Company (PG&amp;E), Southern California Edison Company (SCE) and San Diego Gas &amp; Electric Company (SDG&amp;E).  If the utilities follow these guidelines, the Commission will forego reasonableness reviews of the contracts.  The purpose of this memorandum is to summarize the filings made by interested parties and to highlight the major elements of the two draft decisions.  These decisions are to be voted on at the February 8 Commission meeting.</w:t>
      </w:r>
    </w:p>
    <w:p>
      <w:pPr>
        <w:pStyle w:val="standard"/>
        <w:widowControl/>
        <w:spacing w:lineRule="auto" w:line="2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r>
    </w:p>
    <w:p>
      <w:pPr>
        <w:pStyle w:val="Heading1"/>
        <w:jc w:val="both"/>
        <w:rPr>
          <w:u w:val="single"/>
        </w:rPr>
      </w:pPr>
      <w:r>
        <w:rPr>
          <w:u w:val="single"/>
        </w:rPr>
        <w:t>Background</w:t>
      </w:r>
    </w:p>
    <w:p>
      <w:pPr>
        <w:pStyle w:val="Normal"/>
        <w:rPr>
          <w:u w:val="single"/>
        </w:rPr>
      </w:pPr>
      <w:r>
        <w:rPr>
          <w:u w:val="single"/>
        </w:rPr>
      </w:r>
    </w:p>
    <w:p>
      <w:pPr>
        <w:pStyle w:val="standard"/>
        <w:widowControl/>
        <w:spacing w:lineRule="auto" w:line="240"/>
        <w:ind w:hanging="0"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Decisions D.00-08-023 and D.00-09-075 authorized the utilities to purchase energy and ancillary services and capacity products in the bilateral forward markets under contracts that expire on or before December 31, 2005.  This authority was in addition to authority previously granted to the utilities to purchase these services and products in the California Power Exchange’s (PX) Block Forward Markets (BFMs). Granting this authority was to provide the utilities with additional procurement options to accomplish two primary goals: first, the critical need to reduce prices and hedge against price spikes, and second, to increase the supply sources on which the utilities may rely.</w:t>
      </w:r>
    </w:p>
    <w:p>
      <w:pPr>
        <w:pStyle w:val="standard"/>
        <w:widowControl/>
        <w:spacing w:lineRule="auto" w:line="240"/>
        <w:ind w:hanging="0"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r>
    </w:p>
    <w:p>
      <w:pPr>
        <w:pStyle w:val="standard"/>
        <w:widowControl/>
        <w:spacing w:lineRule="auto" w:line="240"/>
        <w:ind w:hanging="0"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 xml:space="preserve">Subsequently, the Commission issued D.00-12-065, which was prompted largely by the concern that the utilities were not taking advantage of opportunities to enter into bilateral contracts and therefore proposed guidelines for the types of contracts which would be considered reasonable.  D.00-12-065 proposed to modify how the Commission would pre-approve near-term and medium-term contracts.  The proposed standards would require the utility to use uniform criteria to compare contracts to forecasted prices for the product or service.  D.00-12-065 proposed to replace the “5% of average price” ceiling reasonableness standard adopted for SCE and SDG&amp;E near-term contracts, the reasonable “pre-defined range” of prices for PG&amp;E, and the specific price benchmark pre-approval for SCE medium-term contracts with specific price benchmarks.  </w:t>
      </w:r>
    </w:p>
    <w:p>
      <w:pPr>
        <w:pStyle w:val="standard"/>
        <w:widowControl/>
        <w:spacing w:lineRule="auto" w:line="240"/>
        <w:ind w:hanging="0"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r>
    </w:p>
    <w:p>
      <w:pPr>
        <w:pStyle w:val="standard"/>
        <w:widowControl/>
        <w:spacing w:lineRule="auto" w:line="240"/>
        <w:ind w:hanging="0" w:end="0"/>
        <w:jc w:val="both"/>
        <w:rPr/>
      </w:pPr>
      <w:r>
        <w:rPr>
          <w:rFonts w:eastAsia="Times New Roman;Times New Roman" w:cs="Times New Roman;Times New Roman" w:ascii="Times New Roman;Times New Roman" w:hAnsi="Times New Roman;Times New Roman"/>
          <w:sz w:val="24"/>
          <w:szCs w:val="24"/>
        </w:rPr>
        <w:t>Given market conditions, D.00-12-065 proposed a standard whereby the Commission would regard any bilateral forward flat (7 days a week, 24 hours a day) contract with a 5-year term, with an energy price below 5</w:t>
      </w:r>
      <w:r>
        <w:rPr>
          <w:rFonts w:eastAsia="Times New Roman;Times New Roman" w:cs="Times New Roman;Times New Roman" w:ascii="Times New Roman;Times New Roman" w:hAnsi="Times New Roman;Times New Roman"/>
          <w:i/>
          <w:iCs/>
          <w:sz w:val="24"/>
          <w:szCs w:val="24"/>
        </w:rPr>
        <w:t>¢</w:t>
      </w:r>
      <w:r>
        <w:rPr>
          <w:rFonts w:eastAsia="Times New Roman;Times New Roman" w:cs="Times New Roman;Times New Roman" w:ascii="Times New Roman;Times New Roman" w:hAnsi="Times New Roman;Times New Roman"/>
          <w:sz w:val="24"/>
          <w:szCs w:val="24"/>
        </w:rPr>
        <w:t xml:space="preserve">/kWh to be </w:t>
      </w:r>
      <w:r>
        <w:rPr>
          <w:rFonts w:eastAsia="Times New Roman;Times New Roman" w:cs="Times New Roman;Times New Roman" w:ascii="Times New Roman;Times New Roman" w:hAnsi="Times New Roman;Times New Roman"/>
          <w:i/>
          <w:iCs/>
          <w:sz w:val="24"/>
          <w:szCs w:val="24"/>
        </w:rPr>
        <w:t>per se</w:t>
      </w:r>
      <w:r>
        <w:rPr>
          <w:rFonts w:eastAsia="Times New Roman;Times New Roman" w:cs="Times New Roman;Times New Roman" w:ascii="Times New Roman;Times New Roman" w:hAnsi="Times New Roman;Times New Roman"/>
          <w:sz w:val="24"/>
          <w:szCs w:val="24"/>
        </w:rPr>
        <w:t xml:space="preserve"> reasonable with out further review.  Contracts priced between 5</w:t>
      </w:r>
      <w:r>
        <w:rPr>
          <w:rFonts w:eastAsia="Times New Roman;Times New Roman" w:cs="Times New Roman;Times New Roman" w:ascii="Times New Roman;Times New Roman" w:hAnsi="Times New Roman;Times New Roman"/>
          <w:i/>
          <w:iCs/>
          <w:sz w:val="24"/>
          <w:szCs w:val="24"/>
        </w:rPr>
        <w:t>¢</w:t>
      </w:r>
      <w:r>
        <w:rPr>
          <w:rFonts w:eastAsia="Times New Roman;Times New Roman" w:cs="Times New Roman;Times New Roman" w:ascii="Times New Roman;Times New Roman" w:hAnsi="Times New Roman;Times New Roman"/>
          <w:sz w:val="24"/>
          <w:szCs w:val="24"/>
        </w:rPr>
        <w:t>/kWh and 6</w:t>
      </w:r>
      <w:r>
        <w:rPr>
          <w:rFonts w:eastAsia="Times New Roman;Times New Roman" w:cs="Times New Roman;Times New Roman" w:ascii="Times New Roman;Times New Roman" w:hAnsi="Times New Roman;Times New Roman"/>
          <w:i/>
          <w:iCs/>
          <w:sz w:val="24"/>
          <w:szCs w:val="24"/>
        </w:rPr>
        <w:t>¢</w:t>
      </w:r>
      <w:r>
        <w:rPr>
          <w:rFonts w:eastAsia="Times New Roman;Times New Roman" w:cs="Times New Roman;Times New Roman" w:ascii="Times New Roman;Times New Roman" w:hAnsi="Times New Roman;Times New Roman"/>
          <w:sz w:val="24"/>
          <w:szCs w:val="24"/>
        </w:rPr>
        <w:t>/kWh (for the same product) would also be reasonable unless the contract was entered into with an entity affiliated with a utility.  Contracts priced above 6</w:t>
      </w:r>
      <w:r>
        <w:rPr>
          <w:rFonts w:eastAsia="Times New Roman;Times New Roman" w:cs="Times New Roman;Times New Roman" w:ascii="Times New Roman;Times New Roman" w:hAnsi="Times New Roman;Times New Roman"/>
          <w:i/>
          <w:iCs/>
          <w:sz w:val="24"/>
          <w:szCs w:val="24"/>
        </w:rPr>
        <w:t>¢</w:t>
      </w:r>
      <w:r>
        <w:rPr>
          <w:rFonts w:eastAsia="Times New Roman;Times New Roman" w:cs="Times New Roman;Times New Roman" w:ascii="Times New Roman;Times New Roman" w:hAnsi="Times New Roman;Times New Roman"/>
          <w:sz w:val="24"/>
          <w:szCs w:val="24"/>
        </w:rPr>
        <w:t>/kWh (for the same product) would be subject to reasonableness review at the Commission’s discretion.  The proposed decision would have had the Commission conduct reasonableness reviews by considering the utility’s portfolio of contracts, rather than individual contracts, assuming they meet or beat the appropriate price benchmark.  Contracts that did not meet each of these criteria would be evaluated in the context of the utility’s overall procurement strategy.</w:t>
      </w:r>
    </w:p>
    <w:p>
      <w:pPr>
        <w:pStyle w:val="standard"/>
        <w:widowControl/>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r>
    </w:p>
    <w:p>
      <w:pPr>
        <w:pStyle w:val="standard"/>
        <w:widowControl/>
        <w:spacing w:lineRule="auto" w:line="240"/>
        <w:ind w:hanging="0" w:end="0"/>
        <w:jc w:val="both"/>
        <w:rPr>
          <w:rFonts w:ascii="Times New Roman;Times New Roman" w:hAnsi="Times New Roman;Times New Roman" w:eastAsia="Times New Roman;Times New Roman" w:cs="Times New Roman;Times New Roman"/>
          <w:b/>
          <w:bCs/>
          <w:sz w:val="24"/>
          <w:szCs w:val="24"/>
          <w:u w:val="single"/>
        </w:rPr>
      </w:pPr>
      <w:r>
        <w:rPr>
          <w:rFonts w:eastAsia="Times New Roman;Times New Roman" w:cs="Times New Roman;Times New Roman" w:ascii="Times New Roman;Times New Roman" w:hAnsi="Times New Roman;Times New Roman"/>
          <w:b/>
          <w:bCs/>
          <w:sz w:val="24"/>
          <w:szCs w:val="24"/>
          <w:u w:val="single"/>
        </w:rPr>
        <w:t xml:space="preserve">Comments by Parties </w:t>
      </w:r>
    </w:p>
    <w:p>
      <w:pPr>
        <w:pStyle w:val="standard"/>
        <w:widowControl/>
        <w:spacing w:lineRule="auto" w:line="240"/>
        <w:jc w:val="both"/>
        <w:rPr>
          <w:rFonts w:ascii="Times New Roman;Times New Roman" w:hAnsi="Times New Roman;Times New Roman" w:eastAsia="Times New Roman;Times New Roman" w:cs="Times New Roman;Times New Roman"/>
          <w:b/>
          <w:bCs/>
          <w:sz w:val="24"/>
          <w:szCs w:val="24"/>
          <w:u w:val="single"/>
        </w:rPr>
      </w:pPr>
      <w:r>
        <w:rPr>
          <w:rFonts w:eastAsia="Times New Roman;Times New Roman" w:cs="Times New Roman;Times New Roman" w:ascii="Times New Roman;Times New Roman" w:hAnsi="Times New Roman;Times New Roman"/>
          <w:b/>
          <w:bCs/>
          <w:sz w:val="24"/>
          <w:szCs w:val="24"/>
          <w:u w:val="single"/>
        </w:rPr>
      </w:r>
    </w:p>
    <w:p>
      <w:pPr>
        <w:pStyle w:val="standard"/>
        <w:widowControl/>
        <w:spacing w:lineRule="auto" w:line="240"/>
        <w:ind w:hanging="0"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Western Power Trading Forum filed comments on January 8, advocating that the goals of lowering costs and increasing supply are not contradictory, that</w:t>
      </w:r>
      <w:r>
        <w:rPr>
          <w:b/>
          <w:bCs/>
          <w:color w:val="000000"/>
        </w:rPr>
        <w:t xml:space="preserve"> </w:t>
      </w:r>
      <w:r>
        <w:rPr>
          <w:rFonts w:eastAsia="Times New Roman;Times New Roman" w:cs="Times New Roman;Times New Roman" w:ascii="Times New Roman;Times New Roman" w:hAnsi="Times New Roman;Times New Roman"/>
          <w:color w:val="000000"/>
          <w:sz w:val="24"/>
          <w:szCs w:val="24"/>
        </w:rPr>
        <w:t xml:space="preserve">the adopted prudence standards should not require generation assets behind all bids and that </w:t>
      </w:r>
      <w:r>
        <w:rPr>
          <w:rFonts w:eastAsia="Times New Roman;Times New Roman" w:cs="Times New Roman;Times New Roman" w:ascii="Times New Roman;Times New Roman" w:hAnsi="Times New Roman;Times New Roman"/>
          <w:sz w:val="24"/>
          <w:szCs w:val="24"/>
        </w:rPr>
        <w:t xml:space="preserve">forward contracting will not necessarily guarantee lower prices.  </w:t>
      </w:r>
      <w:r>
        <w:rPr>
          <w:rFonts w:eastAsia="Times New Roman;Times New Roman" w:cs="Times New Roman;Times New Roman" w:ascii="Times New Roman;Times New Roman" w:hAnsi="Times New Roman;Times New Roman"/>
          <w:sz w:val="24"/>
          <w:szCs w:val="24"/>
          <w:u w:val="single"/>
        </w:rPr>
        <w:t>Neither of the draft decisions attach prudence standards which require generation assets to backstop all bids.</w:t>
      </w:r>
    </w:p>
    <w:p>
      <w:pPr>
        <w:pStyle w:val="standard"/>
        <w:widowControl/>
        <w:spacing w:lineRule="auto" w:line="240"/>
        <w:ind w:hanging="0"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r>
    </w:p>
    <w:p>
      <w:pPr>
        <w:pStyle w:val="standard"/>
        <w:widowControl/>
        <w:spacing w:lineRule="auto" w:line="240"/>
        <w:ind w:hanging="0"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 xml:space="preserve">The utilities essentially contended that adoption of any fixed price benchmark to be unrealistic, and argued the benchmarks in D.00-12-065 did not reflect today’s market conditions.  They instead recommended that the Commission provide guidelines regarding an appropriate portfolio mix, the quantity of energy requirements that should be locked in, and reasonable contract terms. </w:t>
      </w:r>
    </w:p>
    <w:p>
      <w:pPr>
        <w:pStyle w:val="standard"/>
        <w:widowControl/>
        <w:spacing w:lineRule="auto" w:line="240"/>
        <w:ind w:hanging="0"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r>
    </w:p>
    <w:p>
      <w:pPr>
        <w:pStyle w:val="standard"/>
        <w:widowControl/>
        <w:spacing w:lineRule="auto" w:line="240"/>
        <w:ind w:hanging="0" w:end="0"/>
        <w:jc w:val="both"/>
        <w:rPr/>
      </w:pPr>
      <w:r>
        <w:rPr>
          <w:rFonts w:eastAsia="Times New Roman;Times New Roman" w:cs="Times New Roman;Times New Roman" w:ascii="Times New Roman;Times New Roman" w:hAnsi="Times New Roman;Times New Roman"/>
          <w:sz w:val="24"/>
          <w:szCs w:val="24"/>
        </w:rPr>
        <w:t>TURN recommended that the Commission adopt a price benchmark of 6</w:t>
      </w:r>
      <w:r>
        <w:rPr>
          <w:rFonts w:eastAsia="Times New Roman;Times New Roman" w:cs="Times New Roman;Times New Roman" w:ascii="Times New Roman;Times New Roman" w:hAnsi="Times New Roman;Times New Roman"/>
          <w:i/>
          <w:iCs/>
          <w:sz w:val="24"/>
          <w:szCs w:val="24"/>
        </w:rPr>
        <w:t>¢</w:t>
      </w:r>
      <w:r>
        <w:rPr>
          <w:rFonts w:eastAsia="Times New Roman;Times New Roman" w:cs="Times New Roman;Times New Roman" w:ascii="Times New Roman;Times New Roman" w:hAnsi="Times New Roman;Times New Roman"/>
          <w:sz w:val="24"/>
          <w:szCs w:val="24"/>
        </w:rPr>
        <w:t>/kWh for 2001 generation portfolio costs.  Although TURN sugegsted that 6</w:t>
      </w:r>
      <w:r>
        <w:rPr>
          <w:rFonts w:eastAsia="Times New Roman;Times New Roman" w:cs="Times New Roman;Times New Roman" w:ascii="Times New Roman;Times New Roman" w:hAnsi="Times New Roman;Times New Roman"/>
          <w:i/>
          <w:iCs/>
          <w:sz w:val="24"/>
          <w:szCs w:val="24"/>
        </w:rPr>
        <w:t>¢</w:t>
      </w:r>
      <w:r>
        <w:rPr>
          <w:rFonts w:eastAsia="Times New Roman;Times New Roman" w:cs="Times New Roman;Times New Roman" w:ascii="Times New Roman;Times New Roman" w:hAnsi="Times New Roman;Times New Roman"/>
          <w:sz w:val="24"/>
          <w:szCs w:val="24"/>
        </w:rPr>
        <w:t xml:space="preserve">/kWh may be high, it did not believe 5¢/kWh would be achievable based on today’s market conditions. Assuming the utility meets the price benchmark, TURN proposed that no review of individual contracts would be conducted after the fact.  </w:t>
      </w:r>
    </w:p>
    <w:p>
      <w:pPr>
        <w:pStyle w:val="standard"/>
        <w:widowControl/>
        <w:spacing w:lineRule="auto" w:line="240"/>
        <w:ind w:hanging="0"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r>
    </w:p>
    <w:p>
      <w:pPr>
        <w:pStyle w:val="standard"/>
        <w:widowControl/>
        <w:spacing w:lineRule="auto" w:line="240"/>
        <w:ind w:hanging="0"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 xml:space="preserve">ORA proposed limiting the price benchmark to 75% of unmet load (exclusive of direct access load) to avoid excess supply problems.  ORA also supported the idea of adopting a price benchmark for bilateral contracts but noted that 5-6¢/kWh is not viable now.  ORA instead recommended development of an overall portfolio standard including hedging, financial derivatives, and long term contracts and proposed consideration of a performance based ratemaking mechanism for procurement in the long run. </w:t>
      </w:r>
    </w:p>
    <w:p>
      <w:pPr>
        <w:pStyle w:val="standard"/>
        <w:widowControl/>
        <w:spacing w:lineRule="auto" w:line="240"/>
        <w:ind w:hanging="0"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r>
    </w:p>
    <w:p>
      <w:pPr>
        <w:pStyle w:val="standard"/>
        <w:widowControl/>
        <w:spacing w:lineRule="auto" w:line="240"/>
        <w:ind w:hanging="0"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Dynegy recommended subjecting utility actions (or inaction) to reasonableness review under the standard of whether the utility decision was reasonable in light of the information that was known, or should have been known, at the time the decision was made.  Dynegy did not support adoption of a specific price benchmark and specifically supported the guidance provided in D.00-12-065.</w:t>
      </w:r>
    </w:p>
    <w:p>
      <w:pPr>
        <w:pStyle w:val="standard"/>
        <w:widowControl/>
        <w:spacing w:lineRule="auto" w:line="240"/>
        <w:ind w:hanging="0"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r>
    </w:p>
    <w:p>
      <w:pPr>
        <w:pStyle w:val="standard"/>
        <w:widowControl/>
        <w:spacing w:lineRule="auto" w:line="240"/>
        <w:ind w:hanging="0"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 xml:space="preserve">CalPX asked the Commission to confirm in that exchange based forwards in the BFM would be considered reasonable under the same standard for bilaterals and noted that its BFM met the criteria in Attachment 1.  APX recommended that the Commission clarify that it is eliminating the requirement in D.95-12-063 that the utilities must buy all supplies out of the PX.  APX also stated that D.00-12-065 did not correct the ambiguity of D.00-08-023 and D.00-09-075 and instead promoted the use of auctions to enter into bids, rather thant pre-approval of contracts.  </w:t>
      </w:r>
    </w:p>
    <w:p>
      <w:pPr>
        <w:pStyle w:val="Heading1"/>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sz w:val="24"/>
          <w:szCs w:val="24"/>
        </w:rPr>
      </w:r>
    </w:p>
    <w:p>
      <w:pPr>
        <w:pStyle w:val="Heading1"/>
        <w:jc w:val="both"/>
        <w:rPr>
          <w:u w:val="single"/>
        </w:rPr>
      </w:pPr>
      <w:r>
        <w:rPr>
          <w:u w:val="single"/>
        </w:rPr>
        <w:t>President Lynch Draft Decision</w:t>
      </w:r>
    </w:p>
    <w:p>
      <w:pPr>
        <w:pStyle w:val="Normal"/>
        <w:rPr>
          <w:u w:val="single"/>
        </w:rPr>
      </w:pPr>
      <w:r>
        <w:rPr>
          <w:u w:val="single"/>
        </w:rPr>
      </w:r>
    </w:p>
    <w:p>
      <w:pPr>
        <w:pStyle w:val="standard"/>
        <w:widowControl/>
        <w:numPr>
          <w:ilvl w:val="0"/>
          <w:numId w:val="4"/>
        </w:numPr>
        <w:tabs>
          <w:tab w:val="clear" w:pos="720"/>
          <w:tab w:val="left" w:pos="0" w:leader="none"/>
        </w:tabs>
        <w:spacing w:lineRule="auto" w:line="240"/>
        <w:ind w:hanging="576" w:start="1296"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Says the framework should be simple for the utilities to administer in the short term and relatively easy for the Commission to oversee.</w:t>
      </w:r>
    </w:p>
    <w:p>
      <w:pPr>
        <w:pStyle w:val="standard"/>
        <w:widowControl/>
        <w:numPr>
          <w:ilvl w:val="0"/>
          <w:numId w:val="0"/>
        </w:numPr>
        <w:spacing w:lineRule="auto" w:line="240"/>
        <w:ind w:hanging="0" w:start="720"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r>
    </w:p>
    <w:p>
      <w:pPr>
        <w:pStyle w:val="standard"/>
        <w:widowControl/>
        <w:numPr>
          <w:ilvl w:val="0"/>
          <w:numId w:val="4"/>
        </w:numPr>
        <w:tabs>
          <w:tab w:val="clear" w:pos="720"/>
          <w:tab w:val="left" w:pos="0" w:leader="none"/>
        </w:tabs>
        <w:spacing w:lineRule="auto" w:line="240"/>
        <w:ind w:hanging="576" w:start="1296"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 xml:space="preserve">The utilities’ proposals for advance determination of the characteristics of a reasonable portfolio requires a complex calculation that will undoubtedly change as the market changes and regulatory oversight evolves and is a more complex regulatory exercise than is required.  </w:t>
      </w:r>
    </w:p>
    <w:p>
      <w:pPr>
        <w:pStyle w:val="standard"/>
        <w:widowControl/>
        <w:numPr>
          <w:ilvl w:val="0"/>
          <w:numId w:val="0"/>
        </w:numPr>
        <w:spacing w:lineRule="auto" w:line="240"/>
        <w:ind w:hanging="0" w:start="720"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r>
    </w:p>
    <w:p>
      <w:pPr>
        <w:pStyle w:val="standard"/>
        <w:widowControl/>
        <w:numPr>
          <w:ilvl w:val="0"/>
          <w:numId w:val="4"/>
        </w:numPr>
        <w:tabs>
          <w:tab w:val="clear" w:pos="720"/>
          <w:tab w:val="left" w:pos="0" w:leader="none"/>
        </w:tabs>
        <w:spacing w:lineRule="auto" w:line="240"/>
        <w:ind w:hanging="576" w:start="1296"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Rejects any approach that requires the Commission to determine the reasonableness of a total portfolio on the basis of an average price, partly because the Commission has not yet determined the ratemaking treatment for the utilities’ entire portfolio of assets and other commitments.  She rejects a monetary benchmark for the reason that a benchmark could become a price floor for bids.</w:t>
      </w:r>
    </w:p>
    <w:p>
      <w:pPr>
        <w:pStyle w:val="standard"/>
        <w:widowControl/>
        <w:numPr>
          <w:ilvl w:val="0"/>
          <w:numId w:val="0"/>
        </w:numPr>
        <w:spacing w:lineRule="auto" w:line="240"/>
        <w:ind w:hanging="0" w:start="720"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r>
    </w:p>
    <w:p>
      <w:pPr>
        <w:pStyle w:val="standard"/>
        <w:widowControl/>
        <w:numPr>
          <w:ilvl w:val="0"/>
          <w:numId w:val="4"/>
        </w:numPr>
        <w:tabs>
          <w:tab w:val="clear" w:pos="720"/>
          <w:tab w:val="left" w:pos="0" w:leader="none"/>
        </w:tabs>
        <w:spacing w:lineRule="auto" w:line="240"/>
        <w:ind w:hanging="576" w:start="1296" w:end="0"/>
        <w:jc w:val="both"/>
        <w:rPr/>
      </w:pPr>
      <w:r>
        <w:rPr>
          <w:rFonts w:eastAsia="Times New Roman;Times New Roman" w:cs="Times New Roman;Times New Roman" w:ascii="Times New Roman;Times New Roman" w:hAnsi="Times New Roman;Times New Roman"/>
          <w:sz w:val="24"/>
          <w:szCs w:val="24"/>
        </w:rPr>
        <w:t xml:space="preserve">Instead, establishes guidelines using the procedures the utilities already use and find that, subject to certain conditions, contracts signed under those procedures would be </w:t>
      </w:r>
      <w:r>
        <w:rPr>
          <w:rFonts w:eastAsia="Times New Roman;Times New Roman" w:cs="Times New Roman;Times New Roman" w:ascii="Times New Roman;Times New Roman" w:hAnsi="Times New Roman;Times New Roman"/>
          <w:i/>
          <w:iCs/>
          <w:sz w:val="24"/>
          <w:szCs w:val="24"/>
        </w:rPr>
        <w:t>per se</w:t>
      </w:r>
      <w:r>
        <w:rPr>
          <w:rFonts w:eastAsia="Times New Roman;Times New Roman" w:cs="Times New Roman;Times New Roman" w:ascii="Times New Roman;Times New Roman" w:hAnsi="Times New Roman;Times New Roman"/>
          <w:sz w:val="24"/>
          <w:szCs w:val="24"/>
        </w:rPr>
        <w:t xml:space="preserve"> reasonable.  </w:t>
      </w:r>
    </w:p>
    <w:p>
      <w:pPr>
        <w:pStyle w:val="standard"/>
        <w:widowControl/>
        <w:numPr>
          <w:ilvl w:val="0"/>
          <w:numId w:val="0"/>
        </w:numPr>
        <w:spacing w:lineRule="auto" w:line="240"/>
        <w:ind w:hanging="0" w:start="720"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r>
    </w:p>
    <w:p>
      <w:pPr>
        <w:pStyle w:val="standard"/>
        <w:widowControl/>
        <w:numPr>
          <w:ilvl w:val="0"/>
          <w:numId w:val="4"/>
        </w:numPr>
        <w:tabs>
          <w:tab w:val="clear" w:pos="720"/>
          <w:tab w:val="left" w:pos="0" w:leader="none"/>
        </w:tabs>
        <w:spacing w:lineRule="auto" w:line="240"/>
        <w:ind w:hanging="576" w:start="1296" w:end="0"/>
        <w:jc w:val="both"/>
        <w:rPr/>
      </w:pPr>
      <w:r>
        <w:rPr>
          <w:rFonts w:eastAsia="Times New Roman;Times New Roman" w:cs="Times New Roman;Times New Roman" w:ascii="Times New Roman;Times New Roman" w:hAnsi="Times New Roman;Times New Roman"/>
          <w:sz w:val="24"/>
          <w:szCs w:val="24"/>
        </w:rPr>
        <w:t xml:space="preserve">Specifically, the utilities should conduct periodic solicitations for competitive contract proposals.  The least expensive 30% of power offered in these solicitations would be presumed to be </w:t>
      </w:r>
      <w:r>
        <w:rPr>
          <w:rFonts w:eastAsia="Times New Roman;Times New Roman" w:cs="Times New Roman;Times New Roman" w:ascii="Times New Roman;Times New Roman" w:hAnsi="Times New Roman;Times New Roman"/>
          <w:i/>
          <w:iCs/>
          <w:sz w:val="24"/>
          <w:szCs w:val="24"/>
        </w:rPr>
        <w:t>per se</w:t>
      </w:r>
      <w:r>
        <w:rPr>
          <w:rFonts w:eastAsia="Times New Roman;Times New Roman" w:cs="Times New Roman;Times New Roman" w:ascii="Times New Roman;Times New Roman" w:hAnsi="Times New Roman;Times New Roman"/>
          <w:sz w:val="24"/>
          <w:szCs w:val="24"/>
        </w:rPr>
        <w:t xml:space="preserve"> reasonable, subject to the following conditions:</w:t>
      </w:r>
    </w:p>
    <w:p>
      <w:pPr>
        <w:pStyle w:val="standard"/>
        <w:widowControl/>
        <w:numPr>
          <w:ilvl w:val="0"/>
          <w:numId w:val="0"/>
        </w:numPr>
        <w:spacing w:lineRule="auto" w:line="240"/>
        <w:ind w:hanging="0" w:start="720"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r>
    </w:p>
    <w:p>
      <w:pPr>
        <w:pStyle w:val="letter"/>
        <w:widowControl/>
        <w:numPr>
          <w:ilvl w:val="0"/>
          <w:numId w:val="4"/>
        </w:numPr>
        <w:tabs>
          <w:tab w:val="clear" w:pos="-720"/>
          <w:tab w:val="clear" w:pos="360"/>
          <w:tab w:val="left" w:pos="0" w:leader="none"/>
          <w:tab w:val="left" w:pos="792" w:leader="none"/>
        </w:tabs>
        <w:ind w:hanging="288" w:start="2016" w:end="72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The average contract price will not exceed a ceiling of 6 cents for contracts with terms up to three years or the average contract price will not exceed 5.5 cents for contracts with terms up to five years;</w:t>
      </w:r>
    </w:p>
    <w:p>
      <w:pPr>
        <w:pStyle w:val="letter"/>
        <w:widowControl/>
        <w:numPr>
          <w:ilvl w:val="0"/>
          <w:numId w:val="4"/>
        </w:numPr>
        <w:tabs>
          <w:tab w:val="clear" w:pos="-720"/>
          <w:tab w:val="clear" w:pos="360"/>
          <w:tab w:val="left" w:pos="0" w:leader="none"/>
          <w:tab w:val="left" w:pos="792" w:leader="none"/>
        </w:tabs>
        <w:ind w:hanging="288" w:start="2016" w:end="72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 xml:space="preserve">Contracts signed with the unregulated affiliate of any California investor-owned utility will not be considered reasonable </w:t>
      </w:r>
      <w:r>
        <w:rPr>
          <w:rFonts w:eastAsia="Times New Roman;Times New Roman" w:cs="Times New Roman;Times New Roman" w:ascii="Times New Roman;Times New Roman" w:hAnsi="Times New Roman;Times New Roman"/>
          <w:i/>
          <w:iCs/>
          <w:sz w:val="24"/>
          <w:szCs w:val="24"/>
        </w:rPr>
        <w:t>per se</w:t>
      </w:r>
      <w:r>
        <w:rPr>
          <w:rFonts w:eastAsia="Times New Roman;Times New Roman" w:cs="Times New Roman;Times New Roman" w:ascii="Times New Roman;Times New Roman" w:hAnsi="Times New Roman;Times New Roman"/>
          <w:sz w:val="24"/>
          <w:szCs w:val="24"/>
        </w:rPr>
        <w:t xml:space="preserve"> under any condition; and</w:t>
      </w:r>
    </w:p>
    <w:p>
      <w:pPr>
        <w:pStyle w:val="letter"/>
        <w:widowControl/>
        <w:numPr>
          <w:ilvl w:val="0"/>
          <w:numId w:val="4"/>
        </w:numPr>
        <w:tabs>
          <w:tab w:val="clear" w:pos="-720"/>
          <w:tab w:val="clear" w:pos="360"/>
          <w:tab w:val="left" w:pos="0" w:leader="none"/>
          <w:tab w:val="left" w:pos="792" w:leader="none"/>
        </w:tabs>
        <w:ind w:hanging="288" w:start="2016" w:end="72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The presumption of reasonableness adopted in this decision will lapse for contracts signed after 180 days of the effective date of the decision unless the utility receives approval to extend the 6 cent ceiling or receives approval for a different ceiling.</w:t>
      </w:r>
    </w:p>
    <w:p>
      <w:pPr>
        <w:pStyle w:val="standard"/>
        <w:widowControl/>
        <w:numPr>
          <w:ilvl w:val="0"/>
          <w:numId w:val="4"/>
        </w:numPr>
        <w:tabs>
          <w:tab w:val="clear" w:pos="720"/>
          <w:tab w:val="left" w:pos="0" w:leader="none"/>
          <w:tab w:val="right" w:pos="8892" w:leader="none"/>
        </w:tabs>
        <w:spacing w:lineRule="auto" w:line="240"/>
        <w:ind w:hanging="576" w:start="1296"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Does not remove or modify the limits on forward contracts and BFM tools that were previously adopted in D.00-08-023 and D.00</w:t>
        <w:noBreakHyphen/>
        <w:t xml:space="preserve">09-075 and the related implementing resolutions.  These decisions and resolutions allow the utilities to procure their net-short position, which constitutes the entirety of the utility load in excess of utility controlled supply (i.e., retained assets and existing contracts).  </w:t>
      </w:r>
    </w:p>
    <w:p>
      <w:pPr>
        <w:pStyle w:val="standard"/>
        <w:widowControl/>
        <w:numPr>
          <w:ilvl w:val="0"/>
          <w:numId w:val="0"/>
        </w:numPr>
        <w:tabs>
          <w:tab w:val="clear" w:pos="720"/>
          <w:tab w:val="right" w:pos="9180" w:leader="none"/>
        </w:tabs>
        <w:spacing w:lineRule="auto" w:line="240"/>
        <w:ind w:hanging="0" w:start="720"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r>
    </w:p>
    <w:p>
      <w:pPr>
        <w:pStyle w:val="standard"/>
        <w:widowControl/>
        <w:numPr>
          <w:ilvl w:val="0"/>
          <w:numId w:val="4"/>
        </w:numPr>
        <w:tabs>
          <w:tab w:val="clear" w:pos="720"/>
          <w:tab w:val="left" w:pos="0" w:leader="none"/>
          <w:tab w:val="right" w:pos="8892" w:leader="none"/>
        </w:tabs>
        <w:spacing w:lineRule="auto" w:line="240"/>
        <w:ind w:hanging="576" w:start="1296" w:end="0"/>
        <w:jc w:val="both"/>
        <w:rPr/>
      </w:pPr>
      <w:r>
        <w:rPr>
          <w:rFonts w:eastAsia="Times New Roman;Times New Roman" w:cs="Times New Roman;Times New Roman" w:ascii="Times New Roman;Times New Roman" w:hAnsi="Times New Roman;Times New Roman"/>
          <w:sz w:val="24"/>
          <w:szCs w:val="24"/>
        </w:rPr>
        <w:t xml:space="preserve">The utilities may file for pre-approval of contracts that do not meet these criteria.  The Commission will use its existing advice letter process for pre-approvals.  Contracts that do not meet the criteria for </w:t>
      </w:r>
      <w:r>
        <w:rPr>
          <w:rFonts w:eastAsia="Times New Roman;Times New Roman" w:cs="Times New Roman;Times New Roman" w:ascii="Times New Roman;Times New Roman" w:hAnsi="Times New Roman;Times New Roman"/>
          <w:i/>
          <w:iCs/>
          <w:sz w:val="24"/>
          <w:szCs w:val="24"/>
        </w:rPr>
        <w:t>per se</w:t>
      </w:r>
      <w:r>
        <w:rPr>
          <w:rFonts w:eastAsia="Times New Roman;Times New Roman" w:cs="Times New Roman;Times New Roman" w:ascii="Times New Roman;Times New Roman" w:hAnsi="Times New Roman;Times New Roman"/>
          <w:sz w:val="24"/>
          <w:szCs w:val="24"/>
        </w:rPr>
        <w:t xml:space="preserve"> reasonableness and that do not receive Commission pre-approval will be subject to subsequent reasonableness reviews.  </w:t>
      </w:r>
    </w:p>
    <w:p>
      <w:pPr>
        <w:pStyle w:val="standard"/>
        <w:widowControl/>
        <w:numPr>
          <w:ilvl w:val="0"/>
          <w:numId w:val="0"/>
        </w:numPr>
        <w:tabs>
          <w:tab w:val="clear" w:pos="720"/>
          <w:tab w:val="right" w:pos="9180" w:leader="none"/>
        </w:tabs>
        <w:spacing w:lineRule="auto" w:line="240"/>
        <w:ind w:hanging="0" w:start="720"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r>
    </w:p>
    <w:p>
      <w:pPr>
        <w:pStyle w:val="standard"/>
        <w:widowControl/>
        <w:numPr>
          <w:ilvl w:val="0"/>
          <w:numId w:val="4"/>
        </w:numPr>
        <w:tabs>
          <w:tab w:val="clear" w:pos="720"/>
          <w:tab w:val="left" w:pos="0" w:leader="none"/>
          <w:tab w:val="right" w:pos="8892" w:leader="none"/>
        </w:tabs>
        <w:spacing w:lineRule="auto" w:line="240"/>
        <w:ind w:hanging="576" w:start="1296"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Believes that a total generation portfolio cost benchmark, as recommended by TURN, has merit as a longer term solution.  This approach should be investigated in the context of the composition of utilities’ retained asset portfolios and the ratemaking mechanisms adopted for them.</w:t>
      </w:r>
    </w:p>
    <w:p>
      <w:pPr>
        <w:pStyle w:val="standard"/>
        <w:widowControl/>
        <w:numPr>
          <w:ilvl w:val="0"/>
          <w:numId w:val="0"/>
        </w:numPr>
        <w:tabs>
          <w:tab w:val="clear" w:pos="720"/>
          <w:tab w:val="right" w:pos="9180" w:leader="none"/>
        </w:tabs>
        <w:spacing w:lineRule="auto" w:line="240"/>
        <w:ind w:hanging="0" w:start="720"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r>
    </w:p>
    <w:p>
      <w:pPr>
        <w:pStyle w:val="standard"/>
        <w:widowControl/>
        <w:numPr>
          <w:ilvl w:val="0"/>
          <w:numId w:val="4"/>
        </w:numPr>
        <w:tabs>
          <w:tab w:val="clear" w:pos="720"/>
          <w:tab w:val="left" w:pos="0" w:leader="none"/>
          <w:tab w:val="right" w:pos="8892" w:leader="none"/>
        </w:tabs>
        <w:spacing w:lineRule="auto" w:line="240"/>
        <w:ind w:hanging="288" w:start="1296"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The standard of review for determining the reasonableness of a power purchase contract should be whether utility exercised good business judgment in light of what was known, or should have been known, at that the time the utility executed the transaction.</w:t>
      </w:r>
    </w:p>
    <w:p>
      <w:pPr>
        <w:pStyle w:val="num1"/>
        <w:widowControl/>
        <w:numPr>
          <w:ilvl w:val="0"/>
          <w:numId w:val="2"/>
        </w:numPr>
        <w:tabs>
          <w:tab w:val="clear" w:pos="-720"/>
          <w:tab w:val="left" w:pos="0" w:leader="none"/>
        </w:tabs>
        <w:ind w:hanging="0" w:start="0"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r>
    </w:p>
    <w:p>
      <w:pPr>
        <w:pStyle w:val="num1"/>
        <w:widowControl/>
        <w:numPr>
          <w:ilvl w:val="0"/>
          <w:numId w:val="2"/>
        </w:numPr>
        <w:tabs>
          <w:tab w:val="clear" w:pos="-720"/>
          <w:tab w:val="left" w:pos="0" w:leader="none"/>
        </w:tabs>
        <w:ind w:hanging="0" w:start="0"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b/>
          <w:bCs/>
          <w:sz w:val="24"/>
          <w:szCs w:val="24"/>
          <w:u w:val="single"/>
        </w:rPr>
        <w:t>ALJ Cooke Draft Decision</w:t>
      </w:r>
    </w:p>
    <w:p>
      <w:pPr>
        <w:pStyle w:val="standard"/>
        <w:widowControl/>
        <w:numPr>
          <w:ilvl w:val="0"/>
          <w:numId w:val="5"/>
        </w:numPr>
        <w:tabs>
          <w:tab w:val="clear" w:pos="720"/>
          <w:tab w:val="left" w:pos="0" w:leader="none"/>
        </w:tabs>
        <w:spacing w:lineRule="auto" w:line="240"/>
        <w:ind w:hanging="576" w:start="1296"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This decision adopts a total generation cost benchmark of 6¢/kilowatt-hour (kWh) for all three utilities, who are provided the flexibility to enter into appropriate contracts and financial instruments to meet this benchmark and who will not be subject to reasonableness review if the benchmark is met.</w:t>
      </w:r>
    </w:p>
    <w:p>
      <w:pPr>
        <w:pStyle w:val="standard"/>
        <w:widowControl/>
        <w:numPr>
          <w:ilvl w:val="0"/>
          <w:numId w:val="0"/>
        </w:numPr>
        <w:spacing w:lineRule="auto" w:line="240"/>
        <w:ind w:hanging="0" w:start="720"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r>
    </w:p>
    <w:p>
      <w:pPr>
        <w:pStyle w:val="standard"/>
        <w:widowControl/>
        <w:numPr>
          <w:ilvl w:val="0"/>
          <w:numId w:val="5"/>
        </w:numPr>
        <w:tabs>
          <w:tab w:val="clear" w:pos="720"/>
          <w:tab w:val="left" w:pos="0" w:leader="none"/>
        </w:tabs>
        <w:spacing w:lineRule="auto" w:line="240"/>
        <w:ind w:hanging="576" w:start="1296"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 xml:space="preserve">She recommends adoption of a total generation cost benchmark of 6¢/kWh for 2001.  </w:t>
      </w:r>
    </w:p>
    <w:p>
      <w:pPr>
        <w:pStyle w:val="standard"/>
        <w:widowControl/>
        <w:numPr>
          <w:ilvl w:val="0"/>
          <w:numId w:val="0"/>
        </w:numPr>
        <w:spacing w:lineRule="auto" w:line="240"/>
        <w:ind w:hanging="0" w:start="720"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r>
    </w:p>
    <w:p>
      <w:pPr>
        <w:pStyle w:val="standard"/>
        <w:widowControl/>
        <w:numPr>
          <w:ilvl w:val="0"/>
          <w:numId w:val="5"/>
        </w:numPr>
        <w:tabs>
          <w:tab w:val="clear" w:pos="720"/>
          <w:tab w:val="left" w:pos="0" w:leader="none"/>
        </w:tabs>
        <w:spacing w:lineRule="auto" w:line="240"/>
        <w:ind w:hanging="576" w:start="1296"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 xml:space="preserve">The total generation cost benchmark should be compared to the 2001 annual average generation costs, including the cost of generation from retained assets, contracts, spot purchases, and financial instruments.  </w:t>
      </w:r>
    </w:p>
    <w:p>
      <w:pPr>
        <w:pStyle w:val="standard"/>
        <w:widowControl/>
        <w:numPr>
          <w:ilvl w:val="0"/>
          <w:numId w:val="0"/>
        </w:numPr>
        <w:spacing w:lineRule="auto" w:line="240"/>
        <w:ind w:hanging="0" w:start="720"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r>
    </w:p>
    <w:p>
      <w:pPr>
        <w:pStyle w:val="standard"/>
        <w:widowControl/>
        <w:numPr>
          <w:ilvl w:val="0"/>
          <w:numId w:val="5"/>
        </w:numPr>
        <w:tabs>
          <w:tab w:val="clear" w:pos="720"/>
          <w:tab w:val="left" w:pos="0" w:leader="none"/>
        </w:tabs>
        <w:spacing w:lineRule="auto" w:line="240"/>
        <w:ind w:hanging="576" w:start="1296"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There is no specification of the resource or product mix that utilities should enter into to achieve this benchmark but instead allows utility management to exercise its judgement to reach this benchmark.  As such, she does not adopt specific balancing criteria for the bilateral forward contract portfolio as we proposed in D.00-12-065.</w:t>
      </w:r>
    </w:p>
    <w:p>
      <w:pPr>
        <w:pStyle w:val="standard"/>
        <w:widowControl/>
        <w:numPr>
          <w:ilvl w:val="0"/>
          <w:numId w:val="0"/>
        </w:numPr>
        <w:spacing w:lineRule="auto" w:line="240"/>
        <w:ind w:hanging="0" w:start="720"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r>
    </w:p>
    <w:p>
      <w:pPr>
        <w:pStyle w:val="standard"/>
        <w:widowControl/>
        <w:numPr>
          <w:ilvl w:val="0"/>
          <w:numId w:val="5"/>
        </w:numPr>
        <w:tabs>
          <w:tab w:val="clear" w:pos="720"/>
          <w:tab w:val="left" w:pos="0" w:leader="none"/>
        </w:tabs>
        <w:spacing w:lineRule="auto" w:line="240"/>
        <w:ind w:hanging="576" w:start="1296"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The utilities are encouraged to utilize financial instruments purchased through recognized exchanges, rather than over the counter products.  Any contracts or financial instruments entered into by a utility with its affiliates must comply with all Affiliate Transaction Rules adopted by D.97-12-088, and modified by D.98-08-035 and other decisions.</w:t>
      </w:r>
    </w:p>
    <w:p>
      <w:pPr>
        <w:pStyle w:val="standard"/>
        <w:widowControl/>
        <w:numPr>
          <w:ilvl w:val="0"/>
          <w:numId w:val="0"/>
        </w:numPr>
        <w:spacing w:lineRule="auto" w:line="240"/>
        <w:ind w:hanging="0" w:start="720"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r>
    </w:p>
    <w:p>
      <w:pPr>
        <w:pStyle w:val="standard"/>
        <w:widowControl/>
        <w:numPr>
          <w:ilvl w:val="0"/>
          <w:numId w:val="5"/>
        </w:numPr>
        <w:tabs>
          <w:tab w:val="clear" w:pos="720"/>
          <w:tab w:val="left" w:pos="0" w:leader="none"/>
        </w:tabs>
        <w:spacing w:lineRule="auto" w:line="240"/>
        <w:ind w:hanging="576" w:start="1296"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 xml:space="preserve">There is to be no evaluation of individual contracts or purchases for reasonableness, assuming the utility meets the benchmark.  Instead, no later than February 15, 2002, each utility should file an application to allow for audit and verification of its 2001 generation costs.  Assuming the utility meets the cost benchmark, no reasonableness review will be conducted.  </w:t>
      </w:r>
    </w:p>
    <w:p>
      <w:pPr>
        <w:pStyle w:val="standard"/>
        <w:widowControl/>
        <w:numPr>
          <w:ilvl w:val="0"/>
          <w:numId w:val="0"/>
        </w:numPr>
        <w:spacing w:lineRule="auto" w:line="240"/>
        <w:ind w:hanging="0" w:start="720"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r>
    </w:p>
    <w:p>
      <w:pPr>
        <w:pStyle w:val="standard"/>
        <w:widowControl/>
        <w:numPr>
          <w:ilvl w:val="0"/>
          <w:numId w:val="5"/>
        </w:numPr>
        <w:tabs>
          <w:tab w:val="clear" w:pos="720"/>
          <w:tab w:val="left" w:pos="0" w:leader="none"/>
        </w:tabs>
        <w:spacing w:lineRule="auto" w:line="240"/>
        <w:ind w:hanging="576" w:start="1296"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 xml:space="preserve">In order to provide the utilities with the proper motivation to meet and beat the benchmark, she proposes an incentive framework, which is a variant on that proposed by TURN.  </w:t>
      </w:r>
    </w:p>
    <w:p>
      <w:pPr>
        <w:pStyle w:val="standard"/>
        <w:widowControl/>
        <w:numPr>
          <w:ilvl w:val="0"/>
          <w:numId w:val="5"/>
        </w:numPr>
        <w:tabs>
          <w:tab w:val="clear" w:pos="720"/>
          <w:tab w:val="left" w:pos="0" w:leader="none"/>
        </w:tabs>
        <w:spacing w:lineRule="auto" w:line="240"/>
        <w:ind w:hanging="558" w:start="1998" w:end="72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 xml:space="preserve">If the annual average cost is between 5.5¢/kWh and the adopted cost benchmark, the utility will be allowed to apply that difference to past PX costs incurred between August and December 2000.  </w:t>
      </w:r>
    </w:p>
    <w:p>
      <w:pPr>
        <w:pStyle w:val="standard"/>
        <w:widowControl/>
        <w:numPr>
          <w:ilvl w:val="0"/>
          <w:numId w:val="5"/>
        </w:numPr>
        <w:tabs>
          <w:tab w:val="clear" w:pos="720"/>
          <w:tab w:val="left" w:pos="0" w:leader="none"/>
        </w:tabs>
        <w:spacing w:lineRule="auto" w:line="240"/>
        <w:ind w:hanging="558" w:start="1998" w:end="72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 xml:space="preserve">If the annual average cost is below 5.5¢/kWh, the difference between the annual average and 5.5¢/kWh will be refunded to ratepayers.  </w:t>
      </w:r>
    </w:p>
    <w:p>
      <w:pPr>
        <w:pStyle w:val="standard"/>
        <w:widowControl/>
        <w:numPr>
          <w:ilvl w:val="0"/>
          <w:numId w:val="5"/>
        </w:numPr>
        <w:tabs>
          <w:tab w:val="clear" w:pos="720"/>
          <w:tab w:val="left" w:pos="0" w:leader="none"/>
        </w:tabs>
        <w:spacing w:lineRule="auto" w:line="240"/>
        <w:ind w:hanging="558" w:start="1998" w:end="72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 xml:space="preserve">If the annual average cost exceeds the adopted price benchmark, the utility may choose to undergo a reasonableness review of its full portfolio or absorb costs in excess of the benchmark.  </w:t>
      </w:r>
    </w:p>
    <w:p>
      <w:pPr>
        <w:pStyle w:val="standard"/>
        <w:widowControl/>
        <w:numPr>
          <w:ilvl w:val="0"/>
          <w:numId w:val="5"/>
        </w:numPr>
        <w:tabs>
          <w:tab w:val="clear" w:pos="720"/>
          <w:tab w:val="left" w:pos="0" w:leader="none"/>
        </w:tabs>
        <w:spacing w:lineRule="auto" w:line="240" w:before="0" w:after="240"/>
        <w:ind w:hanging="558" w:start="1998" w:end="72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If a reasonableness review is conducted, the standard that will be applied is whether the action (or inaction) to enter into a particular transaction or strategy was reasonable based upon what was known, or should have been known, at that the time the transaction was finally executed.</w:t>
      </w:r>
    </w:p>
    <w:p>
      <w:pPr>
        <w:pStyle w:val="standard"/>
        <w:widowControl/>
        <w:numPr>
          <w:ilvl w:val="0"/>
          <w:numId w:val="5"/>
        </w:numPr>
        <w:tabs>
          <w:tab w:val="clear" w:pos="720"/>
          <w:tab w:val="left" w:pos="0" w:leader="none"/>
        </w:tabs>
        <w:spacing w:lineRule="auto" w:line="240" w:before="0" w:after="240"/>
        <w:ind w:hanging="288" w:start="1278"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If a reasonableness review is conducted, the standard that should be applied is whether the action (or inaction) to enter into a particular transaction or strategy was reasonable based upon what was known, or should have been known, at that the time the transaction was finally executed.</w:t>
      </w:r>
    </w:p>
    <w:sectPr>
      <w:headerReference w:type="default" r:id="rId2"/>
      <w:headerReference w:type="first" r:id="rId3"/>
      <w:footerReference w:type="default" r:id="rId4"/>
      <w:footerReference w:type="first" r:id="rId5"/>
      <w:type w:val="nextPage"/>
      <w:pgSz w:w="12240" w:h="15840"/>
      <w:pgMar w:left="1440" w:right="1440" w:gutter="0" w:header="864" w:top="1440" w:footer="720" w:bottom="12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Palatino">
    <w:altName w:val="Book Antiqua"/>
    <w:charset w:val="01"/>
    <w:family w:val="roman"/>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68" w:type="dxa"/>
      <w:jc w:val="start"/>
      <w:tblInd w:w="0" w:type="dxa"/>
      <w:tblLayout w:type="fixed"/>
      <w:tblCellMar>
        <w:top w:w="0" w:type="dxa"/>
        <w:start w:w="108" w:type="dxa"/>
        <w:bottom w:w="0" w:type="dxa"/>
        <w:end w:w="108" w:type="dxa"/>
      </w:tblCellMar>
    </w:tblPr>
    <w:tblGrid>
      <w:gridCol w:w="3048"/>
      <w:gridCol w:w="3540"/>
      <w:gridCol w:w="2880"/>
    </w:tblGrid>
    <w:tr>
      <w:trPr/>
      <w:tc>
        <w:tcPr>
          <w:tcW w:w="3048" w:type="dxa"/>
          <w:tcBorders/>
        </w:tcPr>
        <w:p>
          <w:pPr>
            <w:pStyle w:val="Footer"/>
            <w:tabs>
              <w:tab w:val="clear" w:pos="4320"/>
              <w:tab w:val="clear" w:pos="8640"/>
            </w:tabs>
            <w:rPr>
              <w:rStyle w:val="FooterTxt"/>
            </w:rPr>
          </w:pPr>
          <w:r>
            <w:rPr>
              <w:rStyle w:val="FooterTxt"/>
            </w:rPr>
            <w:fldChar w:fldCharType="begin"/>
          </w:r>
          <w:r>
            <w:rPr>
              <w:rStyle w:val="FooterTxt"/>
            </w:rPr>
            <w:instrText xml:space="preserve"> DOCPROPERTY "Client"</w:instrText>
          </w:r>
          <w:r>
            <w:rPr>
              <w:rStyle w:val="FooterTxt"/>
            </w:rPr>
            <w:fldChar w:fldCharType="separate"/>
          </w:r>
          <w:r>
            <w:rPr>
              <w:rStyle w:val="FooterTxt"/>
            </w:rPr>
            <w:t>69738</w:t>
          </w:r>
          <w:r>
            <w:rPr>
              <w:rStyle w:val="FooterTxt"/>
            </w:rPr>
            <w:fldChar w:fldCharType="end"/>
          </w:r>
          <w:r>
            <w:rPr>
              <w:rStyle w:val="FooterTxt"/>
            </w:rPr>
            <w:t>/</w:t>
          </w:r>
          <w:r>
            <w:rPr>
              <w:rStyle w:val="FooterTxt"/>
            </w:rPr>
            <w:fldChar w:fldCharType="begin"/>
          </w:r>
          <w:r>
            <w:rPr>
              <w:rStyle w:val="FooterTxt"/>
            </w:rPr>
            <w:instrText xml:space="preserve"> DOCPROPERTY "Matter"</w:instrText>
          </w:r>
          <w:r>
            <w:rPr>
              <w:rStyle w:val="FooterTxt"/>
            </w:rPr>
            <w:fldChar w:fldCharType="separate"/>
          </w:r>
          <w:r>
            <w:rPr>
              <w:rStyle w:val="FooterTxt"/>
            </w:rPr>
            <w:t>10144</w:t>
          </w:r>
          <w:r>
            <w:rPr>
              <w:rStyle w:val="FooterTxt"/>
            </w:rPr>
            <w:fldChar w:fldCharType="end"/>
          </w:r>
        </w:p>
      </w:tc>
      <w:tc>
        <w:tcPr>
          <w:tcW w:w="3540" w:type="dxa"/>
          <w:tcBorders/>
        </w:tcPr>
        <w:p>
          <w:pPr>
            <w:pStyle w:val="Footer"/>
            <w:tabs>
              <w:tab w:val="clear" w:pos="4320"/>
              <w:tab w:val="clear" w:pos="8640"/>
            </w:tabs>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c>
      <w:tc>
        <w:tcPr>
          <w:tcW w:w="2880" w:type="dxa"/>
          <w:tcBorders/>
        </w:tcPr>
        <w:p>
          <w:pPr>
            <w:pStyle w:val="Footer"/>
            <w:tabs>
              <w:tab w:val="clear" w:pos="4320"/>
              <w:tab w:val="clear" w:pos="8640"/>
            </w:tabs>
            <w:snapToGrid w:val="false"/>
            <w:jc w:val="end"/>
            <w:rPr/>
          </w:pPr>
          <w:r>
            <w:rPr/>
          </w:r>
        </w:p>
      </w:tc>
    </w:tr>
  </w:tbl>
  <w:p>
    <w:pPr>
      <w:pStyle w:val="Footer"/>
      <w:tabs>
        <w:tab w:val="clear" w:pos="4320"/>
        <w:tab w:val="clear" w:pos="8640"/>
      </w:tabs>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68" w:type="dxa"/>
      <w:jc w:val="start"/>
      <w:tblInd w:w="0" w:type="dxa"/>
      <w:tblLayout w:type="fixed"/>
      <w:tblCellMar>
        <w:top w:w="0" w:type="dxa"/>
        <w:start w:w="108" w:type="dxa"/>
        <w:bottom w:w="0" w:type="dxa"/>
        <w:end w:w="108" w:type="dxa"/>
      </w:tblCellMar>
    </w:tblPr>
    <w:tblGrid>
      <w:gridCol w:w="3048"/>
      <w:gridCol w:w="3630"/>
      <w:gridCol w:w="2790"/>
    </w:tblGrid>
    <w:tr>
      <w:trPr/>
      <w:tc>
        <w:tcPr>
          <w:tcW w:w="3048" w:type="dxa"/>
          <w:tcBorders/>
        </w:tcPr>
        <w:p>
          <w:pPr>
            <w:pStyle w:val="Footer"/>
            <w:tabs>
              <w:tab w:val="clear" w:pos="4320"/>
              <w:tab w:val="clear" w:pos="8640"/>
            </w:tabs>
            <w:rPr>
              <w:rStyle w:val="FooterTxt"/>
            </w:rPr>
          </w:pPr>
          <w:r>
            <w:rPr>
              <w:rStyle w:val="FooterTxt"/>
            </w:rPr>
            <w:fldChar w:fldCharType="begin"/>
          </w:r>
          <w:r>
            <w:rPr>
              <w:rStyle w:val="FooterTxt"/>
            </w:rPr>
            <w:instrText xml:space="preserve"> DOCPROPERTY "Client"</w:instrText>
          </w:r>
          <w:r>
            <w:rPr>
              <w:rStyle w:val="FooterTxt"/>
            </w:rPr>
            <w:fldChar w:fldCharType="separate"/>
          </w:r>
          <w:r>
            <w:rPr>
              <w:rStyle w:val="FooterTxt"/>
            </w:rPr>
            <w:t>69738</w:t>
          </w:r>
          <w:r>
            <w:rPr>
              <w:rStyle w:val="FooterTxt"/>
            </w:rPr>
            <w:fldChar w:fldCharType="end"/>
          </w:r>
          <w:r>
            <w:rPr>
              <w:rStyle w:val="FooterTxt"/>
            </w:rPr>
            <w:t>/</w:t>
          </w:r>
          <w:r>
            <w:rPr>
              <w:rStyle w:val="FooterTxt"/>
            </w:rPr>
            <w:fldChar w:fldCharType="begin"/>
          </w:r>
          <w:r>
            <w:rPr>
              <w:rStyle w:val="FooterTxt"/>
            </w:rPr>
            <w:instrText xml:space="preserve"> DOCPROPERTY "Matter"</w:instrText>
          </w:r>
          <w:r>
            <w:rPr>
              <w:rStyle w:val="FooterTxt"/>
            </w:rPr>
            <w:fldChar w:fldCharType="separate"/>
          </w:r>
          <w:r>
            <w:rPr>
              <w:rStyle w:val="FooterTxt"/>
            </w:rPr>
            <w:t>10144</w:t>
          </w:r>
          <w:r>
            <w:rPr>
              <w:rStyle w:val="FooterTxt"/>
            </w:rPr>
            <w:fldChar w:fldCharType="end"/>
          </w:r>
        </w:p>
      </w:tc>
      <w:tc>
        <w:tcPr>
          <w:tcW w:w="3630" w:type="dxa"/>
          <w:tcBorders/>
        </w:tcPr>
        <w:p>
          <w:pPr>
            <w:pStyle w:val="Footer"/>
            <w:tabs>
              <w:tab w:val="clear" w:pos="4320"/>
              <w:tab w:val="clear" w:pos="8640"/>
            </w:tabs>
            <w:snapToGrid w:val="false"/>
            <w:jc w:val="center"/>
            <w:rPr>
              <w:rStyle w:val="FooterTxt"/>
            </w:rPr>
          </w:pPr>
          <w:r>
            <w:rPr/>
          </w:r>
        </w:p>
      </w:tc>
      <w:tc>
        <w:tcPr>
          <w:tcW w:w="2790" w:type="dxa"/>
          <w:tcBorders/>
        </w:tcPr>
        <w:p>
          <w:pPr>
            <w:pStyle w:val="Footer"/>
            <w:tabs>
              <w:tab w:val="clear" w:pos="4320"/>
              <w:tab w:val="clear" w:pos="8640"/>
            </w:tabs>
            <w:snapToGrid w:val="false"/>
            <w:jc w:val="center"/>
            <w:rPr>
              <w:rStyle w:val="FooterTxt"/>
            </w:rPr>
          </w:pPr>
          <w:r>
            <w:rPr/>
          </w:r>
        </w:p>
      </w:tc>
    </w:tr>
  </w:tbl>
  <w:p>
    <w:pPr>
      <w:pStyle w:val="Footer"/>
      <w:tabs>
        <w:tab w:val="clear" w:pos="4320"/>
        <w:tab w:val="clear" w:pos="8640"/>
      </w:tabs>
      <w:rPr>
        <w:rStyle w:val="FooterTx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right" w:pos="864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low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288"/>
        </w:tabs>
        <w:ind w:start="288" w:hanging="288"/>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288"/>
        </w:tabs>
        <w:ind w:start="288" w:hanging="288"/>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Times New Roman" w:hAnsi="Times New Roman;Times New Roman" w:eastAsia="Times New Roman;Times New Roman" w:cs="Times New Roman;Times New Roman"/>
      <w:color w:val="auto"/>
      <w:sz w:val="24"/>
      <w:szCs w:val="24"/>
      <w:lang w:val="en-US" w:eastAsia="zh-CN" w:bidi="hi-IN"/>
    </w:rPr>
  </w:style>
  <w:style w:type="paragraph" w:styleId="Heading1">
    <w:name w:val="heading 1"/>
    <w:basedOn w:val="Normal"/>
    <w:next w:val="Normal"/>
    <w:qFormat/>
    <w:pPr>
      <w:keepLines/>
      <w:numPr>
        <w:ilvl w:val="0"/>
        <w:numId w:val="1"/>
      </w:numPr>
      <w:ind w:hanging="720" w:start="720" w:end="0"/>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rPr>
  </w:style>
  <w:style w:type="paragraph" w:styleId="Heading3">
    <w:name w:val="heading 3"/>
    <w:basedOn w:val="Normal"/>
    <w:next w:val="Normal"/>
    <w:qFormat/>
    <w:pPr>
      <w:numPr>
        <w:ilvl w:val="2"/>
        <w:numId w:val="1"/>
      </w:numPr>
      <w:ind w:hanging="720" w:start="2160" w:end="0"/>
      <w:outlineLvl w:val="2"/>
    </w:pPr>
    <w:rPr>
      <w:b/>
      <w:bCs/>
    </w:rPr>
  </w:style>
  <w:style w:type="paragraph" w:styleId="Heading4">
    <w:name w:val="heading 4"/>
    <w:basedOn w:val="Normal"/>
    <w:next w:val="Normal"/>
    <w:qFormat/>
    <w:pPr>
      <w:numPr>
        <w:ilvl w:val="3"/>
        <w:numId w:val="1"/>
      </w:numPr>
      <w:ind w:hanging="720" w:start="2880" w:end="0"/>
      <w:outlineLvl w:val="3"/>
    </w:pPr>
    <w:rPr>
      <w:b/>
      <w:bCs/>
    </w:rPr>
  </w:style>
  <w:style w:type="paragraph" w:styleId="Heading5">
    <w:name w:val="heading 5"/>
    <w:basedOn w:val="Normal"/>
    <w:next w:val="Normal"/>
    <w:qFormat/>
    <w:pPr>
      <w:numPr>
        <w:ilvl w:val="4"/>
        <w:numId w:val="1"/>
      </w:numPr>
      <w:ind w:hanging="720" w:start="3600" w:end="720"/>
      <w:outlineLvl w:val="4"/>
    </w:pPr>
    <w:rPr>
      <w:b/>
      <w:bCs/>
    </w:rPr>
  </w:style>
  <w:style w:type="paragraph" w:styleId="Heading6">
    <w:name w:val="heading 6"/>
    <w:basedOn w:val="Normal"/>
    <w:next w:val="Normal"/>
    <w:qFormat/>
    <w:pPr>
      <w:numPr>
        <w:ilvl w:val="5"/>
        <w:numId w:val="1"/>
      </w:numPr>
      <w:ind w:hanging="720" w:start="4320" w:end="720"/>
      <w:outlineLvl w:val="5"/>
    </w:pPr>
    <w:rPr>
      <w:b/>
      <w:bCs/>
    </w:rPr>
  </w:style>
  <w:style w:type="paragraph" w:styleId="Heading7">
    <w:name w:val="heading 7"/>
    <w:basedOn w:val="Normal"/>
    <w:next w:val="Normal"/>
    <w:qFormat/>
    <w:pPr>
      <w:numPr>
        <w:ilvl w:val="6"/>
        <w:numId w:val="1"/>
      </w:numPr>
      <w:ind w:hanging="720" w:start="5040" w:end="0"/>
      <w:outlineLvl w:val="6"/>
    </w:pPr>
    <w:rPr>
      <w:b/>
      <w:bCs/>
    </w:rPr>
  </w:style>
  <w:style w:type="paragraph" w:styleId="Heading8">
    <w:name w:val="heading 8"/>
    <w:basedOn w:val="Normal"/>
    <w:next w:val="Normal"/>
    <w:qFormat/>
    <w:pPr>
      <w:numPr>
        <w:ilvl w:val="7"/>
        <w:numId w:val="1"/>
      </w:numPr>
      <w:ind w:hanging="720" w:start="5760" w:end="0"/>
      <w:outlineLvl w:val="7"/>
    </w:pPr>
    <w:rPr>
      <w:b/>
      <w:bCs/>
    </w:rPr>
  </w:style>
  <w:style w:type="paragraph" w:styleId="Heading9">
    <w:name w:val="heading 9"/>
    <w:basedOn w:val="Normal"/>
    <w:next w:val="Normal"/>
    <w:qFormat/>
    <w:pPr>
      <w:numPr>
        <w:ilvl w:val="8"/>
        <w:numId w:val="1"/>
      </w:numPr>
      <w:ind w:hanging="720" w:start="6480" w:end="0"/>
      <w:outlineLvl w:val="8"/>
    </w:pPr>
    <w:rPr>
      <w:b/>
      <w:bCs/>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b/>
      <w:bCs/>
      <w:vertAlign w:val="superscript"/>
    </w:rPr>
  </w:style>
  <w:style w:type="character" w:styleId="zMemoHdg">
    <w:name w:val="zMemoHdg"/>
    <w:basedOn w:val="DefaultParagraphFont"/>
    <w:qFormat/>
    <w:rPr>
      <w:rFonts w:ascii="Times New Roman;Times New Roman" w:hAnsi="Times New Roman;Times New Roman" w:eastAsia="Times New Roman;Times New Roman" w:cs="Times New Roman;Times New Roman"/>
      <w:color w:val="000000"/>
      <w:sz w:val="24"/>
      <w:szCs w:val="24"/>
      <w:lang w:val="en-US"/>
    </w:rPr>
  </w:style>
  <w:style w:type="character" w:styleId="PageNumber">
    <w:name w:val="page number"/>
    <w:basedOn w:val="DefaultParagraphFont"/>
    <w:rPr>
      <w:sz w:val="24"/>
      <w:szCs w:val="24"/>
    </w:rPr>
  </w:style>
  <w:style w:type="character" w:styleId="FooterTxt">
    <w:name w:val="FooterTxt"/>
    <w:basedOn w:val="DefaultParagraphFont"/>
    <w:qFormat/>
    <w:rPr>
      <w:sz w:val="15"/>
      <w:szCs w:val="15"/>
    </w:rPr>
  </w:style>
  <w:style w:type="character" w:styleId="DocTitle">
    <w:name w:val="DocTitle"/>
    <w:basedOn w:val="DefaultParagraphFont"/>
    <w:qFormat/>
    <w:rPr>
      <w:b/>
      <w:bCs/>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z w:val="24"/>
      <w:szCs w:val="24"/>
    </w:rPr>
  </w:style>
  <w:style w:type="paragraph" w:styleId="FootnoteText">
    <w:name w:val="footnote text"/>
    <w:basedOn w:val="Normal"/>
    <w:pPr>
      <w:tabs>
        <w:tab w:val="clear" w:pos="720"/>
        <w:tab w:val="left" w:pos="360" w:leader="none"/>
      </w:tabs>
      <w:spacing w:before="0" w:after="240"/>
    </w:pPr>
    <w:rPr>
      <w:sz w:val="20"/>
      <w:szCs w:val="20"/>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Table">
    <w:name w:val="Table"/>
    <w:basedOn w:val="Normal"/>
    <w:qFormat/>
    <w:pPr>
      <w:spacing w:before="40" w:after="40"/>
    </w:pPr>
    <w:rPr/>
  </w:style>
  <w:style w:type="paragraph" w:styleId="HeadingTitle">
    <w:name w:val="Heading Title"/>
    <w:basedOn w:val="Normal"/>
    <w:next w:val="Body"/>
    <w:qFormat/>
    <w:pPr>
      <w:keepNext w:val="true"/>
      <w:keepLines/>
      <w:spacing w:before="0" w:after="240"/>
      <w:jc w:val="center"/>
    </w:pPr>
    <w:rPr>
      <w:u w:val="single"/>
    </w:rPr>
  </w:style>
  <w:style w:type="paragraph" w:styleId="TOAHeading">
    <w:name w:val="TOA Heading"/>
    <w:basedOn w:val="Normal"/>
    <w:next w:val="Normal"/>
    <w:qFormat/>
    <w:pPr>
      <w:tabs>
        <w:tab w:val="clear" w:pos="720"/>
        <w:tab w:val="right" w:pos="9360" w:leader="none"/>
      </w:tabs>
      <w:suppressAutoHyphens w:val="true"/>
    </w:pPr>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spacing w:before="0" w:after="240"/>
      <w:ind w:firstLine="720" w:start="0" w:end="0"/>
    </w:pPr>
    <w:rPr/>
  </w:style>
  <w:style w:type="paragraph" w:styleId="BodyFlush">
    <w:name w:val="BodyFlush"/>
    <w:basedOn w:val="Normal"/>
    <w:qFormat/>
    <w:pPr>
      <w:spacing w:before="240" w:after="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before="0" w:after="120"/>
      <w:ind w:hanging="0" w:start="720" w:end="0"/>
    </w:pPr>
    <w:rPr/>
  </w:style>
  <w:style w:type="paragraph" w:styleId="Body1">
    <w:name w:val="Body1"/>
    <w:basedOn w:val="Normal"/>
    <w:qFormat/>
    <w:pPr>
      <w:spacing w:before="0" w:after="240"/>
      <w:ind w:firstLine="1440" w:start="0" w:end="0"/>
    </w:pPr>
    <w:rPr/>
  </w:style>
  <w:style w:type="paragraph" w:styleId="Center">
    <w:name w:val="Center"/>
    <w:basedOn w:val="Normal"/>
    <w:qFormat/>
    <w:pPr>
      <w:keepNext w:val="true"/>
      <w:keepLines/>
      <w:suppressAutoHyphens w:val="true"/>
      <w:spacing w:before="0" w:after="240"/>
      <w:jc w:val="center"/>
    </w:pPr>
    <w:rPr/>
  </w:style>
  <w:style w:type="paragraph" w:styleId="IndentHanging">
    <w:name w:val="Indent Hanging"/>
    <w:basedOn w:val="Normal"/>
    <w:qFormat/>
    <w:pPr>
      <w:spacing w:before="0" w:after="240"/>
      <w:ind w:hanging="720" w:start="2160" w:end="0"/>
    </w:pPr>
    <w:rPr/>
  </w:style>
  <w:style w:type="paragraph" w:styleId="IndentLR">
    <w:name w:val="Indent L/R"/>
    <w:basedOn w:val="Normal"/>
    <w:qFormat/>
    <w:pPr>
      <w:spacing w:before="0" w:after="240"/>
      <w:ind w:hanging="0" w:start="1440" w:end="1440"/>
    </w:pPr>
    <w:rPr/>
  </w:style>
  <w:style w:type="paragraph" w:styleId="IndentLeft">
    <w:name w:val="Indent Left"/>
    <w:basedOn w:val="Normal"/>
    <w:qFormat/>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IndentOneHalf">
    <w:name w:val="IndentOneHalf"/>
    <w:basedOn w:val="Normal"/>
    <w:qFormat/>
    <w:pPr>
      <w:spacing w:before="0" w:after="240"/>
      <w:ind w:firstLine="720" w:start="720" w:end="0"/>
    </w:pPr>
    <w:rPr/>
  </w:style>
  <w:style w:type="paragraph" w:styleId="IndentOneInch">
    <w:name w:val="IndentOneInch"/>
    <w:basedOn w:val="Normal"/>
    <w:qFormat/>
    <w:pPr>
      <w:spacing w:before="0" w:after="240"/>
      <w:ind w:firstLine="1440" w:start="1440" w:end="0"/>
    </w:pPr>
    <w:rPr/>
  </w:style>
  <w:style w:type="paragraph" w:styleId="IndentOneOneHalfInches">
    <w:name w:val="IndentOneOneHalfInches"/>
    <w:basedOn w:val="Normal"/>
    <w:qFormat/>
    <w:pPr>
      <w:spacing w:before="0" w:after="240"/>
      <w:ind w:hanging="0" w:start="2160" w:end="0"/>
    </w:pPr>
    <w:rPr/>
  </w:style>
  <w:style w:type="paragraph" w:styleId="IndentTwoInches">
    <w:name w:val="IndentTwoInches"/>
    <w:basedOn w:val="Normal"/>
    <w:qFormat/>
    <w:pPr>
      <w:spacing w:before="0" w:after="240"/>
      <w:ind w:firstLine="1440" w:start="2880" w:end="0"/>
    </w:pPr>
    <w:rPr/>
  </w:style>
  <w:style w:type="paragraph" w:styleId="standard">
    <w:name w:val="standard"/>
    <w:basedOn w:val="Normal"/>
    <w:qFormat/>
    <w:pPr>
      <w:widowControl w:val="false"/>
      <w:spacing w:lineRule="auto" w:line="360"/>
      <w:ind w:firstLine="720" w:start="0" w:end="0"/>
      <w:jc w:val="start"/>
    </w:pPr>
    <w:rPr>
      <w:rFonts w:ascii="Palatino;Book Antiqua" w:hAnsi="Palatino;Book Antiqua" w:eastAsia="Palatino;Book Antiqua" w:cs="Palatino;Book Antiqua"/>
      <w:sz w:val="26"/>
      <w:szCs w:val="26"/>
    </w:rPr>
  </w:style>
  <w:style w:type="paragraph" w:styleId="zCC">
    <w:name w:val="zCC"/>
    <w:basedOn w:val="Body"/>
    <w:qFormat/>
    <w:pPr>
      <w:ind w:hanging="720" w:start="720" w:end="0"/>
    </w:pPr>
    <w:rPr/>
  </w:style>
  <w:style w:type="paragraph" w:styleId="zMemoInfo">
    <w:name w:val="zMemoInfo"/>
    <w:basedOn w:val="Normal"/>
    <w:qFormat/>
    <w:pPr>
      <w:suppressAutoHyphens w:val="true"/>
      <w:spacing w:before="66" w:after="112"/>
      <w:jc w:val="start"/>
    </w:pPr>
    <w:rPr/>
  </w:style>
  <w:style w:type="paragraph" w:styleId="num1">
    <w:name w:val="num1"/>
    <w:basedOn w:val="Normal"/>
    <w:qFormat/>
    <w:pPr>
      <w:widowControl w:val="false"/>
      <w:numPr>
        <w:ilvl w:val="0"/>
        <w:numId w:val="2"/>
      </w:numPr>
      <w:tabs>
        <w:tab w:val="clear" w:pos="720"/>
        <w:tab w:val="left" w:pos="-720" w:leader="none"/>
      </w:tabs>
      <w:suppressAutoHyphens w:val="true"/>
      <w:spacing w:lineRule="auto" w:line="360"/>
      <w:ind w:firstLine="360" w:start="0" w:end="0"/>
      <w:jc w:val="start"/>
    </w:pPr>
    <w:rPr>
      <w:rFonts w:ascii="Palatino;Book Antiqua" w:hAnsi="Palatino;Book Antiqua" w:eastAsia="Palatino;Book Antiqua" w:cs="Palatino;Book Antiqua"/>
      <w:sz w:val="26"/>
      <w:szCs w:val="26"/>
    </w:rPr>
  </w:style>
  <w:style w:type="paragraph" w:styleId="letter">
    <w:name w:val="letter"/>
    <w:basedOn w:val="num1"/>
    <w:qFormat/>
    <w:pPr>
      <w:numPr>
        <w:ilvl w:val="0"/>
        <w:numId w:val="3"/>
      </w:numPr>
      <w:tabs>
        <w:tab w:val="left" w:pos="-720" w:leader="none"/>
        <w:tab w:val="left" w:pos="360" w:leader="none"/>
      </w:tabs>
      <w:spacing w:lineRule="auto" w:line="240" w:before="0" w:after="120"/>
      <w:ind w:hanging="0" w:start="0" w:end="126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2001-02-04T21:19:00Z</dcterms:created>
  <dc:creator>Arter &amp; Hadden</dc:creator>
  <dc:description/>
  <dc:language>en-CA</dc:language>
  <cp:lastModifiedBy>Arter &amp; Hadden</cp:lastModifiedBy>
  <cp:lastPrinted>2001-02-04T16:17:00Z</cp:lastPrinted>
  <dcterms:modified xsi:type="dcterms:W3CDTF">2001-02-04T21:47:00Z</dcterms:modified>
  <cp:revision>8</cp:revision>
  <dc:subject/>
  <dc:title>ARTER &amp; HADDEN LLP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69738</vt:lpwstr>
  </property>
  <property fmtid="{D5CDD505-2E9C-101B-9397-08002B2CF9AE}" pid="3" name="DocNumber">
    <vt:lpwstr>1</vt:lpwstr>
  </property>
  <property fmtid="{D5CDD505-2E9C-101B-9397-08002B2CF9AE}" pid="4" name="DocVersion">
    <vt:lpwstr>1</vt:lpwstr>
  </property>
  <property fmtid="{D5CDD505-2E9C-101B-9397-08002B2CF9AE}" pid="5" name="Matter">
    <vt:lpwstr>10144</vt:lpwstr>
  </property>
</Properties>
</file>