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pPr>
      <w:r>
        <w:rPr>
          <w:rFonts w:eastAsia="Geneva" w:cs="Geneva" w:ascii="Geneva" w:hAnsi="Geneva"/>
          <w:color w:val="000000"/>
          <w:sz w:val="24"/>
          <w:szCs w:val="24"/>
        </w:rPr>
        <w:t>{\rtf1\ansi\ansicpg1252\uc1 \deff0\deflang1033\deflangfe1033{\fonttbl{\f0\froman\fcharset0\fprq2{\*\panose 02020603050405020304}Times New Roman;}{\f16\froman\fcharset238\fprq2 Times New Roman CE;}{\f17\froman\fcharset204\fprq2 Times New Roman Cyr;}{\f19\froman\fcharset161\fprq2 Times New Roman Greek;}{\f20\froman\fcharset162\fprq2 Times New Roman Tur;}{\f21\froman\fcharset186\fprq2 Times New Roman Baltic;}}{\colortbl;\red0\green0\blue0;\red0\green0\blue255;\red0\green255\blue255;\red0\green255\blue0;\red255\green0\blue255;\red255\green0\blue0;\red255\green255\blue0;\red255\green255\blue255;\red0\green0\blue128;\red0\green128\blue128;\red0\green128\blue0;\red128\green0\blue128;\red128\green0\blue0;\red128\green128\blue0;\red128\green128\blue128;\red192\green192\blue192;}{\stylesheet{\widctlpar\adjustright \fs20\cgrid \snext0 Normal;}{\s1\keepn\widctlpar\outlinelevel0\adjustright \i\fs22\cgrid \sbasedon0 \snext0 heading 1;}{\*\cs10 \additive Default Paragraph Font;}{\s15\fi720\ri900\widctlpar\tx8460\adjustright \fs20\cgrid \sbasedon0 \snext15 Body Text 2;}{\s16\ri900\widctlpar\adjustright \fs20\cgrid \sbasedon0 \snext16 Body Text;}}{\*\revtbl {Unknown;}{Mara Alexander;}}{\info{\title Enron</w:t>
      </w:r>
      <w:r>
        <w:rPr>
          <w:rFonts w:eastAsia="Geneva" w:cs="Geneva" w:ascii="Geneva" w:hAnsi="Geneva"/>
          <w:strike/>
          <w:color w:val="000000"/>
          <w:sz w:val="24"/>
          <w:szCs w:val="24"/>
        </w:rPr>
        <w:t xml:space="preserve">s proposed Set-Off language for Enron/Cargill-Alliant ISDA}{\author Mara Alexander}{\operator Mara Alexander}{\creatim\yr2001\mo2\dy27\hr7\min34}{\revtim\yr2001\mo2\dy27\hr7\min34}{\version3}{\edmins1}{\nofpages1}{\nofwords0}{\nofchars0}{\*\company Cargill FMG}{\nofcharsws0}{\vern113}}\margl1440\margr1440\margt907\margb576 \widowctrl\ftnbj\aenddoc\hyphcaps0\formshade\viewkind1\viewscale100\pgbrdrhead\pgbrdrfoot \fet0\sectd \psz1\sbknone\linex0\headery1440\footery1296\titlepg\sectdefaultcl {\*\pnseclvl1\pnucrm\pnstart1\pnindent720\pnhang{\pntxta .}}{\*\pnseclvl2\pnucltr\pnstart1\pnindent720\pnhang{\pntxta .}}{\*\pnseclvl3\pndec\pnstart1\pnindent720\pnhang{\pntxta .}}{\*\pnseclvl4\pnlcltr\pnstart1\pnindent720\pnhang{\pntxta )}}{\*\pnseclvl5\pndec\pnstart1\pnindent720\pnhang{\pntxtb (}{\pntxta )}}{\*\pnseclvl6\pnlcltr\pnstart1\pnindent720\pnhang{\pntxtb (}{\pntxta )}}{\*\pnseclvl7\pnlcrm\pnstart1\pnindent720\pnhang{\pntxtb (}{\pntxta )}}{\*\pnseclvl8\pnlcltr\pnstart1\pnindent720\pnhang{\pntxtb (}{\pntxta )}}{\*\pnseclvl9\pnlcrm\pnstart1\pnindent720\pnhang{\pntxtb (}{\pntxta )}}\pard\plain \widctlpar\adjustright \fs20\cgrid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}\pard\plain \s15\fi720\ri900\widctlpar\tx8460\adjustright \fs20\cgrid {(g)   (A) Set-Off.  Any amount (the \ldblquote Early Termination Amount\rdblquote ) payable to one party (the Payee) by the other party (the Payer) under Section 6(e), in circumstances where there is a Defaulting Party or one Affected Party, will, at the option of that party (\ldblquote X\rdblquote ) other than the Defaulting Party or the Affected Party (and without prior notice to the Defaulting Party or the Affected Party) be reduced by its set-off against any amount(s) (the \ldblquote Other Agreement Amount\rdblquote ) payable (whether at such time or in the future or upon the occurrence of a contingency) by the Payee to the Payer or any Affiliate of the Payer when X is the Payer (irrespective of the currency, place of payment or booking office of the obligation) under any other agreement(s) between the Payee and the Payer or any Affiliate of the Payer when X is the Payer or instrument(s) or undertaking(s) issued or executed by the Payee to, or in favor of, the Payer or any Affiliate of the Payer when X is the Payer (and the Other Agreement Amount will be discharged promptly and in all respects to the extent it is so set-off).  X will give notice to the other party of any set-off effective under this Part 5(g)}{\revised\revauth1\revdttm1179834849  }{\revised\revauth1\revdttm1179834849 as soon as practicable after the setoff is effected provided that failure to give such notice shall not affect the validity of the setoff}{.  For this purpose, either the Early Termination Amount or the Other Agreement Amount (or the relevant portion of such amounts) may be converted by the X into the currency in which the other is denominated at the rate of exchange at which such party would be able, acting in a reasonable manner and in good faith, to purchase the relevant amount of such currency.  If an obligation is unascertained, X may in good faith estimate that obligation and set-off in respect of the estimate, subject to the relevant party accounting to the other when the obligation is ascertained.  Nothing in this Part 5(g) shall be effective to create a charge or other security interest.  This Part 5(g) shall be without prejudice and in addition to any right of setoff, combination of accounts, lien or other right to which any party is at any time otherwise entitled (whether by operation of law, contract or otherwise).}{\fs24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}\pard\plain \widctlpar\adjustright \fs20\cgrid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}\pard\plain \s16\ri630\widctlpar\adjustright \fs20\cgrid {              (B)     Notwithstanding any provision to the contrary contained in this Agreement, the Non-defaulting Party or the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}\pard\plain \widctlpar\adjustright \fs20\cgrid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\par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