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3" w:type="dxa"/>
        <w:jc w:val="center"/>
        <w:tblInd w:w="0" w:type="dxa"/>
        <w:tblLayout w:type="fixed"/>
        <w:tblCellMar>
          <w:top w:w="0" w:type="dxa"/>
          <w:start w:w="523" w:type="dxa"/>
          <w:bottom w:w="0" w:type="dxa"/>
          <w:end w:w="523" w:type="dxa"/>
        </w:tblCellMar>
      </w:tblPr>
      <w:tblGrid>
        <w:gridCol w:w="10773"/>
      </w:tblGrid>
      <w:tr>
        <w:trPr/>
        <w:tc>
          <w:tcPr>
            <w:tcW w:w="10773" w:type="dxa"/>
            <w:tcBorders>
              <w:top w:val="double" w:sz="6" w:space="0" w:color="000000"/>
              <w:start w:val="double" w:sz="6" w:space="0" w:color="000000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16"/>
              <w:rPr>
                <w:rFonts w:ascii="Symbol" w:hAnsi="Symbol" w:eastAsia="Symbol" w:cs="Symbol"/>
                <w:sz w:val="24"/>
                <w:szCs w:val="24"/>
              </w:rPr>
            </w:pPr>
            <w:r>
              <w:rPr>
                <w:rFonts w:eastAsia="Symbol" w:cs="Symbol" w:ascii="Symbol" w:hAnsi="Symbol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 xml:space="preserve"> </w:t>
            </w: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MORGAN STANLEY &amp; CO. INTERNATIONAL LIMITED</w:t>
            </w:r>
          </w:p>
        </w:tc>
      </w:tr>
      <w:tr>
        <w:trPr/>
        <w:tc>
          <w:tcPr>
            <w:tcW w:w="10773" w:type="dxa"/>
            <w:tcBorders>
              <w:top w:val="single" w:sz="6" w:space="0" w:color="000000"/>
              <w:start w:val="double" w:sz="6" w:space="0" w:color="000000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lang w:val="en-GB"/>
              </w:rPr>
              <w:t>20 CABOT SQUARE</w:t>
            </w:r>
          </w:p>
          <w:p>
            <w:pPr>
              <w:pStyle w:val="Normal"/>
              <w:widowControl w:val="false"/>
              <w:jc w:val="center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lang w:val="en-GB"/>
              </w:rPr>
              <w:t>CANARY WHARF, LONDON E14 4QA</w:t>
            </w:r>
          </w:p>
        </w:tc>
      </w:tr>
      <w:tr>
        <w:trPr/>
        <w:tc>
          <w:tcPr>
            <w:tcW w:w="10773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lang w:val="en-GB"/>
              </w:rPr>
            </w:r>
          </w:p>
          <w:p>
            <w:pPr>
              <w:pStyle w:val="Normal"/>
              <w:widowControl w:val="false"/>
              <w:spacing w:before="0" w:after="58"/>
              <w:jc w:val="center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TELEFAX         FACSIMILE         TELECOPIE</w:t>
            </w:r>
          </w:p>
        </w:tc>
      </w:tr>
    </w:tbl>
    <w:p>
      <w:pPr>
        <w:pStyle w:val="Normal"/>
        <w:widowControl w:val="false"/>
        <w:jc w:val="both"/>
        <w:rPr>
          <w:rFonts w:ascii="CG Times;Times New Roman" w:hAnsi="CG Times;Times New Roman" w:eastAsia="CG Times;Times New Roman" w:cs="CG Times;Times New Roman"/>
          <w:sz w:val="28"/>
          <w:szCs w:val="28"/>
          <w:lang w:val="en-GB"/>
        </w:rPr>
      </w:pPr>
      <w:r>
        <w:rPr>
          <w:rFonts w:eastAsia="CG Times;Times New Roman" w:cs="CG Times;Times New Roman" w:ascii="CG Times;Times New Roman" w:hAnsi="CG Times;Times New Roman"/>
          <w:sz w:val="28"/>
          <w:szCs w:val="28"/>
          <w:lang w:val="en-GB"/>
        </w:rPr>
      </w:r>
    </w:p>
    <w:p>
      <w:pPr>
        <w:pStyle w:val="Normal"/>
        <w:widowControl w:val="false"/>
        <w:ind w:start="1008" w:end="1008"/>
        <w:jc w:val="both"/>
        <w:rPr>
          <w:rFonts w:ascii="CG Times;Times New Roman" w:hAnsi="CG Times;Times New Roman" w:eastAsia="CG Times;Times New Roman" w:cs="CG Times;Times New Roman"/>
          <w:b/>
          <w:bCs/>
          <w:i/>
          <w:i/>
          <w:iCs/>
          <w:sz w:val="28"/>
          <w:szCs w:val="28"/>
          <w:lang w:val="en-GB"/>
        </w:rPr>
      </w:pPr>
      <w:r>
        <w:rPr>
          <w:rFonts w:eastAsia="CG Times;Times New Roman" w:cs="CG Times;Times New Roman" w:ascii="CG Times;Times New Roman" w:hAnsi="CG Times;Times New Roman"/>
          <w:b/>
          <w:bCs/>
          <w:i/>
          <w:iCs/>
          <w:sz w:val="28"/>
          <w:szCs w:val="28"/>
          <w:lang w:val="en-GB"/>
        </w:rPr>
        <w:t>Facsimile from Megan Duffill</w:t>
      </w:r>
    </w:p>
    <w:p>
      <w:pPr>
        <w:pStyle w:val="Normal"/>
        <w:widowControl w:val="false"/>
        <w:ind w:start="1008" w:end="1008"/>
        <w:jc w:val="both"/>
        <w:rPr>
          <w:rFonts w:ascii="CG Times;Times New Roman" w:hAnsi="CG Times;Times New Roman" w:eastAsia="CG Times;Times New Roman" w:cs="CG Times;Times New Roman"/>
          <w:b/>
          <w:bCs/>
          <w:i/>
          <w:i/>
          <w:iCs/>
          <w:sz w:val="28"/>
          <w:szCs w:val="28"/>
          <w:lang w:val="en-GB"/>
        </w:rPr>
      </w:pPr>
      <w:r>
        <w:rPr>
          <w:rFonts w:eastAsia="CG Times;Times New Roman" w:cs="CG Times;Times New Roman" w:ascii="CG Times;Times New Roman" w:hAnsi="CG Times;Times New Roman"/>
          <w:b/>
          <w:bCs/>
          <w:i/>
          <w:iCs/>
          <w:sz w:val="28"/>
          <w:szCs w:val="28"/>
          <w:lang w:val="en-GB"/>
        </w:rPr>
        <w:t>Tel:</w:t>
        <w:tab/>
        <w:t>44 207 677 2046</w:t>
      </w:r>
    </w:p>
    <w:p>
      <w:pPr>
        <w:pStyle w:val="Normal"/>
        <w:widowControl w:val="false"/>
        <w:ind w:start="1008" w:end="1008"/>
        <w:jc w:val="both"/>
        <w:rPr>
          <w:rFonts w:ascii="CG Times;Times New Roman" w:hAnsi="CG Times;Times New Roman" w:eastAsia="CG Times;Times New Roman" w:cs="CG Times;Times New Roman"/>
          <w:b/>
          <w:bCs/>
          <w:i/>
          <w:i/>
          <w:iCs/>
          <w:sz w:val="28"/>
          <w:szCs w:val="28"/>
          <w:lang w:val="en-GB"/>
        </w:rPr>
      </w:pPr>
      <w:r>
        <w:rPr>
          <w:rFonts w:eastAsia="CG Times;Times New Roman" w:cs="CG Times;Times New Roman" w:ascii="CG Times;Times New Roman" w:hAnsi="CG Times;Times New Roman"/>
          <w:b/>
          <w:bCs/>
          <w:i/>
          <w:iCs/>
          <w:sz w:val="28"/>
          <w:szCs w:val="28"/>
          <w:lang w:val="en-GB"/>
        </w:rPr>
        <w:t xml:space="preserve">Fax:       44 207 677 7125 </w:t>
      </w:r>
    </w:p>
    <w:p>
      <w:pPr>
        <w:pStyle w:val="Normal"/>
        <w:widowControl w:val="false"/>
        <w:ind w:start="1008" w:end="1008"/>
        <w:jc w:val="both"/>
        <w:rPr>
          <w:rFonts w:ascii="CG Times;Times New Roman" w:hAnsi="CG Times;Times New Roman" w:eastAsia="CG Times;Times New Roman" w:cs="CG Times;Times New Roman"/>
          <w:b/>
          <w:bCs/>
          <w:i/>
          <w:i/>
          <w:iCs/>
          <w:sz w:val="28"/>
          <w:szCs w:val="28"/>
          <w:lang w:val="en-GB"/>
        </w:rPr>
      </w:pPr>
      <w:r>
        <w:rPr>
          <w:rFonts w:eastAsia="CG Times;Times New Roman" w:cs="CG Times;Times New Roman" w:ascii="CG Times;Times New Roman" w:hAnsi="CG Times;Times New Roman"/>
          <w:b/>
          <w:bCs/>
          <w:i/>
          <w:iCs/>
          <w:sz w:val="28"/>
          <w:szCs w:val="28"/>
          <w:lang w:val="en-GB"/>
        </w:rPr>
      </w:r>
    </w:p>
    <w:tbl>
      <w:tblPr>
        <w:tblW w:w="10302" w:type="dxa"/>
        <w:jc w:val="start"/>
        <w:tblInd w:w="631" w:type="dxa"/>
        <w:tblLayout w:type="fixed"/>
        <w:tblCellMar>
          <w:top w:w="0" w:type="dxa"/>
          <w:start w:w="205" w:type="dxa"/>
          <w:bottom w:w="0" w:type="dxa"/>
          <w:end w:w="205" w:type="dxa"/>
        </w:tblCellMar>
      </w:tblPr>
      <w:tblGrid>
        <w:gridCol w:w="4002"/>
        <w:gridCol w:w="5850"/>
        <w:gridCol w:w="450"/>
      </w:tblGrid>
      <w:tr>
        <w:trPr/>
        <w:tc>
          <w:tcPr>
            <w:tcW w:w="4002" w:type="dxa"/>
            <w:tcBorders>
              <w:top w:val="double" w:sz="6" w:space="0" w:color="000000"/>
              <w:start w:val="double" w:sz="6" w:space="0" w:color="000000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316"/>
              <w:rPr>
                <w:rFonts w:ascii="CG Times;Times New Roman" w:hAnsi="CG Times;Times New Roman" w:eastAsia="CG Times;Times New Roman" w:cs="CG Times;Times New Roman"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COMPANY:</w:t>
            </w:r>
          </w:p>
        </w:tc>
        <w:tc>
          <w:tcPr>
            <w:tcW w:w="5850" w:type="dxa"/>
            <w:tcBorders>
              <w:top w:val="double" w:sz="6" w:space="0" w:color="000000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ind w:hanging="720" w:start="720" w:end="0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ind w:hanging="720" w:start="720" w:end="0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Enron</w:t>
            </w:r>
          </w:p>
        </w:tc>
        <w:tc>
          <w:tcPr>
            <w:tcW w:w="450" w:type="dxa"/>
            <w:tcBorders>
              <w:top w:val="double" w:sz="6" w:space="0" w:color="000000"/>
              <w:start w:val="single" w:sz="6" w:space="0" w:color="FFFFFF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16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</w:tr>
      <w:tr>
        <w:trPr/>
        <w:tc>
          <w:tcPr>
            <w:tcW w:w="4002" w:type="dxa"/>
            <w:tcBorders>
              <w:top w:val="single" w:sz="6" w:space="0" w:color="FFFFFF"/>
              <w:start w:val="double" w:sz="6" w:space="0" w:color="000000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ATTENTION:</w:t>
            </w:r>
          </w:p>
        </w:tc>
        <w:tc>
          <w:tcPr>
            <w:tcW w:w="5850" w:type="dxa"/>
            <w:tcBorders>
              <w:top w:val="single" w:sz="6" w:space="0" w:color="000000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 xml:space="preserve">Ms Sara Shackleton </w:t>
            </w:r>
          </w:p>
        </w:tc>
        <w:tc>
          <w:tcPr>
            <w:tcW w:w="4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</w:tr>
      <w:tr>
        <w:trPr>
          <w:trHeight w:val="400" w:hRule="atLeast"/>
        </w:trPr>
        <w:tc>
          <w:tcPr>
            <w:tcW w:w="4002" w:type="dxa"/>
            <w:tcBorders>
              <w:top w:val="single" w:sz="6" w:space="0" w:color="FFFFFF"/>
              <w:start w:val="double" w:sz="6" w:space="0" w:color="000000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FAX NUMBER:</w:t>
            </w:r>
          </w:p>
        </w:tc>
        <w:tc>
          <w:tcPr>
            <w:tcW w:w="5850" w:type="dxa"/>
            <w:tcBorders>
              <w:top w:val="single" w:sz="6" w:space="0" w:color="000000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  <w:tc>
          <w:tcPr>
            <w:tcW w:w="4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</w:tr>
      <w:tr>
        <w:trPr/>
        <w:tc>
          <w:tcPr>
            <w:tcW w:w="4002" w:type="dxa"/>
            <w:tcBorders>
              <w:top w:val="single" w:sz="6" w:space="0" w:color="FFFFFF"/>
              <w:start w:val="double" w:sz="6" w:space="0" w:color="000000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CC:</w:t>
            </w:r>
          </w:p>
        </w:tc>
        <w:tc>
          <w:tcPr>
            <w:tcW w:w="5850" w:type="dxa"/>
            <w:tcBorders>
              <w:top w:val="single" w:sz="6" w:space="0" w:color="000000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  <w:tc>
          <w:tcPr>
            <w:tcW w:w="4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</w:tr>
      <w:tr>
        <w:trPr/>
        <w:tc>
          <w:tcPr>
            <w:tcW w:w="4002" w:type="dxa"/>
            <w:tcBorders>
              <w:top w:val="single" w:sz="6" w:space="0" w:color="FFFFFF"/>
              <w:start w:val="double" w:sz="6" w:space="0" w:color="000000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DATE AND TIME:</w:t>
            </w:r>
          </w:p>
        </w:tc>
        <w:tc>
          <w:tcPr>
            <w:tcW w:w="5850" w:type="dxa"/>
            <w:tcBorders>
              <w:top w:val="single" w:sz="6" w:space="0" w:color="000000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7 August 2000</w:t>
            </w:r>
          </w:p>
        </w:tc>
        <w:tc>
          <w:tcPr>
            <w:tcW w:w="4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</w:tr>
      <w:tr>
        <w:trPr/>
        <w:tc>
          <w:tcPr>
            <w:tcW w:w="4002" w:type="dxa"/>
            <w:tcBorders>
              <w:top w:val="single" w:sz="6" w:space="0" w:color="FFFFFF"/>
              <w:start w:val="double" w:sz="6" w:space="0" w:color="000000"/>
              <w:bottom w:val="double" w:sz="6" w:space="0" w:color="000000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NUMBER OF PAGES:</w:t>
            </w:r>
          </w:p>
        </w:tc>
        <w:tc>
          <w:tcPr>
            <w:tcW w:w="5850" w:type="dxa"/>
            <w:tcBorders>
              <w:top w:val="single" w:sz="6" w:space="0" w:color="000000"/>
              <w:start w:val="single" w:sz="6" w:space="0" w:color="FFFFFF"/>
              <w:bottom w:val="double" w:sz="6" w:space="0" w:color="000000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 xml:space="preserve">   </w:t>
            </w: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  <w:t>(including this one)</w:t>
            </w:r>
          </w:p>
        </w:tc>
        <w:tc>
          <w:tcPr>
            <w:tcW w:w="450" w:type="dxa"/>
            <w:tcBorders>
              <w:top w:val="single" w:sz="6" w:space="0" w:color="FFFFFF"/>
              <w:start w:val="single" w:sz="6" w:space="0" w:color="FFFFFF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CG Times;Times New Roman" w:hAnsi="CG Times;Times New Roman" w:eastAsia="CG Times;Times New Roman" w:cs="CG Times;Times New Roman"/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CG Times;Times New Roman" w:cs="CG Times;Times New Roman" w:ascii="CG Times;Times New Roman" w:hAnsi="CG Times;Times New Roman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</w:tr>
    </w:tbl>
    <w:p>
      <w:pPr>
        <w:pStyle w:val="Normal"/>
        <w:widowControl w:val="false"/>
        <w:ind w:start="1008" w:end="1008"/>
        <w:jc w:val="both"/>
        <w:rPr>
          <w:rFonts w:ascii="Times" w:hAnsi="Times" w:eastAsia="Times" w:cs="Times"/>
          <w:sz w:val="22"/>
          <w:szCs w:val="22"/>
          <w:lang w:val="en-GB"/>
        </w:rPr>
      </w:pPr>
      <w:r>
        <w:rPr>
          <w:rFonts w:eastAsia="Times" w:cs="Times" w:ascii="Times" w:hAnsi="Times"/>
          <w:sz w:val="22"/>
          <w:szCs w:val="22"/>
          <w:lang w:val="en-GB"/>
        </w:rPr>
      </w:r>
    </w:p>
    <w:p>
      <w:pPr>
        <w:pStyle w:val="Heading2"/>
        <w:ind w:hanging="567" w:start="993" w:end="0"/>
        <w:rPr/>
      </w:pPr>
      <w:r>
        <w:rPr/>
        <w:t>Dear Sarah,</w:t>
      </w:r>
    </w:p>
    <w:p>
      <w:pPr>
        <w:pStyle w:val="Normal"/>
        <w:rPr/>
      </w:pPr>
      <w:r>
        <w:rPr/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Re: ISDA Master Agreements between Morgan Stanley Capital Services Inc and Enron North America Corp</w:t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4"/>
        <w:rPr/>
      </w:pPr>
      <w:r>
        <w:rPr/>
        <w:t xml:space="preserve">Further to our previous discussions, my comments in relation to your draft ISDA Schedule and Credit Support Annex are set out below. </w:t>
      </w:r>
    </w:p>
    <w:p>
      <w:pPr>
        <w:pStyle w:val="Heading4"/>
        <w:rPr/>
      </w:pPr>
      <w:r>
        <w:rPr/>
      </w:r>
    </w:p>
    <w:p>
      <w:pPr>
        <w:pStyle w:val="Heading4"/>
        <w:rPr/>
      </w:pPr>
      <w:r>
        <w:rPr/>
        <w:t>I understand from my colleagues at Morgan Stanley they are very keen to finalise the documentation as quickly as possible so that we may proceed to trade.  I would be grateful if you would email through to me your ISDA Schedule so that I may blackline the amendments that we propose to make.  I would suggest that we arrange a conference call after you have had an opportunity to discuss the above matters with your credit and legal departments.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rPr>
          <w:u w:val="single"/>
        </w:rPr>
      </w:pPr>
      <w:r>
        <w:rPr>
          <w:u w:val="single"/>
        </w:rPr>
        <w:t>Part 1 Termination Provisions</w:t>
      </w:r>
    </w:p>
    <w:p>
      <w:pPr>
        <w:pStyle w:val="Normal"/>
        <w:ind w:start="426" w:end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>
          <w:b/>
          <w:bCs/>
          <w:sz w:val="24"/>
          <w:szCs w:val="24"/>
          <w:u w:val="single"/>
        </w:rPr>
        <w:t>Specified Entity.</w:t>
      </w:r>
      <w:r>
        <w:rPr>
          <w:sz w:val="24"/>
          <w:szCs w:val="24"/>
        </w:rPr>
        <w:t xml:space="preserve">  Our credit department has requested we apply “Affiliates” with respect to Section 5(a)(v).</w:t>
      </w:r>
    </w:p>
    <w:p>
      <w:pPr>
        <w:pStyle w:val="Normal"/>
        <w:numPr>
          <w:ilvl w:val="0"/>
          <w:numId w:val="0"/>
        </w:numPr>
        <w:ind w:hanging="0"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>
          <w:b/>
          <w:bCs/>
          <w:sz w:val="24"/>
          <w:szCs w:val="24"/>
          <w:u w:val="single"/>
        </w:rPr>
        <w:t>Cross Default.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We would need to apply cross acceleration provisions to Party A and to Party B.  Please insert after the phrase “Party A and Party B” the phrase “provided however that the words “, or becoming capable at such time of  being declared”, as they appear Section 5(a)(vi) are hereby deleted.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start="360" w:end="0"/>
        <w:rPr/>
      </w:pPr>
      <w:r>
        <w:rPr>
          <w:b/>
          <w:bCs/>
          <w:sz w:val="24"/>
          <w:szCs w:val="24"/>
        </w:rPr>
        <w:t xml:space="preserve">(?)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Threshold Amount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Our credit department would not agree to a  Threshold Amount of US $100,000,000.  </w:t>
        <w:tab/>
        <w:t>Our standard Threshold is in the vicinity of  $US25,000,000.  As discussed, I would be grateful you could         discuss this with your credit department to see if we can reach a compromise.</w:t>
      </w:r>
    </w:p>
    <w:p>
      <w:pPr>
        <w:pStyle w:val="Normal"/>
        <w:numPr>
          <w:ilvl w:val="0"/>
          <w:numId w:val="0"/>
        </w:numPr>
        <w:ind w:hanging="0"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>
          <w:b/>
          <w:bCs/>
          <w:sz w:val="24"/>
          <w:szCs w:val="24"/>
          <w:u w:val="single"/>
        </w:rPr>
        <w:t>Credit Event upon Merger.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We can agree to apply the provisions of Section 5(b)(iv) to Party A and Party B.  Our credit department has asked for paragraph (g) to be deleted. </w:t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1080" w:start="1440" w:end="0"/>
        <w:rPr/>
      </w:pPr>
      <w:r>
        <w:rPr>
          <w:b/>
          <w:bCs/>
          <w:sz w:val="24"/>
          <w:szCs w:val="24"/>
          <w:u w:val="single"/>
        </w:rPr>
        <w:t>Payment on Early Termination.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Morgan Stanley standard policy is to incorporate Market Quotation instead of Loss.  I understand this may not be a viable commercial option for you.  I would be grateful if you could provide me with further details so I may discuss it further with the relevant departments.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86" w:start="1572" w:end="0"/>
        <w:rPr/>
      </w:pPr>
      <w:r>
        <w:rPr>
          <w:b/>
          <w:bCs/>
          <w:sz w:val="24"/>
          <w:szCs w:val="24"/>
          <w:u w:val="single"/>
        </w:rPr>
        <w:t>Additional Termination Provisions.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Our credit department has requested we incorporate a Downgrade provision as a trigger for an Additional Termination Event.   Namely if Party A is not rated at least Baa2 by Moody’s or BBB by Standard &amp; Poor’s Rating Services, Party B shall be entitled to terminate as an Additional Termination Event. 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rPr>
          <w:u w:val="single"/>
        </w:rPr>
      </w:pPr>
      <w:r>
        <w:rPr>
          <w:u w:val="single"/>
        </w:rPr>
        <w:t>Part 2 Tax Representations/ Part 3 Agreement to Deliver Documents</w:t>
      </w:r>
    </w:p>
    <w:p>
      <w:pPr>
        <w:pStyle w:val="Normal"/>
        <w:ind w:start="426" w:end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BodyText2"/>
        <w:rPr/>
      </w:pPr>
      <w:r>
        <w:rPr/>
        <w:t>We would need to amend the draft to incorporate Morgan Stanley standard provisions contained under the Morgan Stanley Capital Services Inc draft.  Perhaps, if you could email through to me a copy of your draft I could blacklined the proposed amendments.  These tax representations, forms and documentation are incorporated into every Morgan Stanley draft and hopefully will not cause too much difficulty.</w:t>
      </w:r>
    </w:p>
    <w:p>
      <w:pPr>
        <w:pStyle w:val="BodyText2"/>
        <w:rPr/>
      </w:pPr>
      <w:r>
        <w:rPr/>
      </w:r>
    </w:p>
    <w:p>
      <w:pPr>
        <w:pStyle w:val="BodyText2"/>
        <w:rPr>
          <w:b/>
          <w:bCs/>
          <w:u w:val="single"/>
        </w:rPr>
      </w:pPr>
      <w:r>
        <w:rPr>
          <w:b/>
          <w:bCs/>
          <w:u w:val="single"/>
        </w:rPr>
        <w:t>Part 4 Miscellaneous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1146" w:start="1572" w:end="0"/>
        <w:rPr/>
      </w:pPr>
      <w:r>
        <w:rPr>
          <w:b/>
          <w:bCs/>
          <w:sz w:val="24"/>
          <w:szCs w:val="24"/>
          <w:u w:val="single"/>
        </w:rPr>
        <w:t>Calculation Agent.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I would be grateful if you would amend this provision to make Party B the Calculation Agent in line with Morgan Stanley standard policy.  Alternatively, we could insert Co-Calculation Agent wording.</w:t>
      </w:r>
    </w:p>
    <w:p>
      <w:pPr>
        <w:pStyle w:val="Normal"/>
        <w:numPr>
          <w:ilvl w:val="0"/>
          <w:numId w:val="0"/>
        </w:numPr>
        <w:ind w:hanging="0" w:star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86" w:start="1572" w:end="0"/>
        <w:rPr/>
      </w:pPr>
      <w:r>
        <w:rPr>
          <w:b/>
          <w:bCs/>
          <w:sz w:val="24"/>
          <w:szCs w:val="24"/>
          <w:u w:val="single"/>
        </w:rPr>
        <w:t>Credit Support Documents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As discussed, I would be grateful if you would confirm the cap which has been agreed on the guarantee (if at all).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/>
      </w:pPr>
      <w:r>
        <w:rPr>
          <w:b/>
          <w:bCs/>
          <w:sz w:val="24"/>
          <w:szCs w:val="24"/>
        </w:rPr>
        <w:t xml:space="preserve">(h) </w:t>
      </w:r>
      <w:r>
        <w:rPr>
          <w:b/>
          <w:bCs/>
          <w:sz w:val="24"/>
          <w:szCs w:val="24"/>
          <w:u w:val="single"/>
        </w:rPr>
        <w:t>Jurisdiction.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I would be grateful if you would delete this provision.  I will amend the draft documentation       to reflect our alternate wording.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rPr>
          <w:u w:val="single"/>
        </w:rPr>
      </w:pPr>
      <w:r>
        <w:rPr>
          <w:u w:val="single"/>
        </w:rPr>
        <w:t>Part 5 Other Provisions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left" w:pos="426" w:leader="none"/>
        </w:tabs>
        <w:rPr/>
      </w:pPr>
      <w:r>
        <w:rPr/>
        <w:t xml:space="preserve">        </w:t>
      </w:r>
      <w:r>
        <w:rPr>
          <w:b/>
          <w:bCs/>
          <w:sz w:val="24"/>
          <w:szCs w:val="24"/>
        </w:rPr>
        <w:t xml:space="preserve">(b) </w:t>
      </w:r>
      <w:r>
        <w:rPr>
          <w:b/>
          <w:bCs/>
          <w:sz w:val="24"/>
          <w:szCs w:val="24"/>
          <w:u w:val="single"/>
        </w:rPr>
        <w:t>Representations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start="66" w:end="0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(g) Line of Business.”  Please delete (ii).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 w:end="0"/>
        <w:rPr/>
      </w:pPr>
      <w:r>
        <w:rPr>
          <w:b/>
          <w:bCs/>
          <w:sz w:val="24"/>
          <w:szCs w:val="24"/>
        </w:rPr>
        <w:t xml:space="preserve">(c)  </w:t>
      </w:r>
      <w:r>
        <w:rPr>
          <w:b/>
          <w:bCs/>
          <w:sz w:val="24"/>
          <w:szCs w:val="24"/>
          <w:u w:val="single"/>
        </w:rPr>
        <w:t>Reference Market Makers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Please delete.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/>
      </w:pPr>
      <w:r>
        <w:rPr>
          <w:b/>
          <w:bCs/>
          <w:sz w:val="24"/>
          <w:szCs w:val="24"/>
        </w:rPr>
        <w:t xml:space="preserve">(d)  </w:t>
      </w:r>
      <w:r>
        <w:rPr>
          <w:b/>
          <w:bCs/>
          <w:sz w:val="24"/>
          <w:szCs w:val="24"/>
          <w:u w:val="single"/>
        </w:rPr>
        <w:t>Definitions.</w:t>
      </w:r>
      <w:r>
        <w:rPr>
          <w:sz w:val="24"/>
          <w:szCs w:val="24"/>
        </w:rPr>
        <w:t xml:space="preserve">  Please amend this provision to reflect 1998 ISDA Definitions.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start="360" w:end="0"/>
        <w:rPr/>
      </w:pPr>
      <w:r>
        <w:rPr>
          <w:b/>
          <w:bCs/>
          <w:sz w:val="24"/>
          <w:szCs w:val="24"/>
        </w:rPr>
        <w:t xml:space="preserve">(e)  </w:t>
      </w:r>
      <w:r>
        <w:rPr>
          <w:b/>
          <w:bCs/>
          <w:sz w:val="24"/>
          <w:szCs w:val="24"/>
          <w:u w:val="single"/>
        </w:rPr>
        <w:t>Procedures for entering into Transactions.</w:t>
      </w:r>
      <w:r>
        <w:rPr>
          <w:sz w:val="24"/>
          <w:szCs w:val="24"/>
        </w:rPr>
        <w:t xml:space="preserve">  As discussed, I would be grateful if you would amend this 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provision to provide for Party B to send the Confirmations to Party A. </w:t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(g)  </w:t>
      </w:r>
      <w:r>
        <w:rPr>
          <w:b/>
          <w:bCs/>
          <w:sz w:val="24"/>
          <w:szCs w:val="24"/>
          <w:u w:val="single"/>
        </w:rPr>
        <w:t>SetOff.</w:t>
      </w:r>
      <w:r>
        <w:rPr>
          <w:sz w:val="24"/>
          <w:szCs w:val="24"/>
        </w:rPr>
        <w:t xml:space="preserve">  Please insert standard ISDA Set-off wording. </w:t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(h)  </w:t>
      </w:r>
      <w:r>
        <w:rPr>
          <w:b/>
          <w:bCs/>
          <w:sz w:val="24"/>
          <w:szCs w:val="24"/>
          <w:u w:val="single"/>
        </w:rPr>
        <w:t>Limitation of Liability.</w:t>
      </w:r>
      <w:r>
        <w:rPr>
          <w:sz w:val="24"/>
          <w:szCs w:val="24"/>
        </w:rPr>
        <w:t xml:space="preserve">  Please delete.  </w:t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1146" w:start="1572" w:end="0"/>
        <w:rPr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Confidentiality.</w:t>
      </w:r>
      <w:r>
        <w:rPr>
          <w:sz w:val="24"/>
          <w:szCs w:val="24"/>
        </w:rPr>
        <w:t xml:space="preserve">  As discussed, we propose that this provision be deleted from the ISDA Schedule and dealt with in a  separate side letter.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start="426" w:end="0"/>
        <w:rPr/>
      </w:pPr>
      <w:r>
        <w:rPr>
          <w:b/>
          <w:bCs/>
          <w:sz w:val="24"/>
          <w:szCs w:val="24"/>
        </w:rPr>
        <w:t xml:space="preserve">(j) </w:t>
      </w:r>
      <w:r>
        <w:rPr>
          <w:b/>
          <w:bCs/>
          <w:sz w:val="24"/>
          <w:szCs w:val="24"/>
          <w:u w:val="single"/>
        </w:rPr>
        <w:t>Transfer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Please amend this provision to be bilateral. We would need to incorporate that Party B has no         tax, legal, credit, business or regulatory objects to transfer.  </w:t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start="426" w:end="0"/>
        <w:rPr/>
      </w:pPr>
      <w:r>
        <w:rPr>
          <w:b/>
          <w:bCs/>
          <w:sz w:val="24"/>
          <w:szCs w:val="24"/>
        </w:rPr>
        <w:t xml:space="preserve">(m) </w:t>
      </w:r>
      <w:r>
        <w:rPr>
          <w:b/>
          <w:bCs/>
          <w:sz w:val="24"/>
          <w:szCs w:val="24"/>
          <w:u w:val="single"/>
        </w:rPr>
        <w:t>Existing Agreements.</w:t>
      </w:r>
      <w:r>
        <w:rPr>
          <w:sz w:val="24"/>
          <w:szCs w:val="24"/>
        </w:rPr>
        <w:t xml:space="preserve">  Please insert after “into confirmations”, the phrase  “that contemplate entering             into ISDA Master Agreements”.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rPr>
          <w:u w:val="single"/>
        </w:rPr>
      </w:pPr>
      <w:r>
        <w:rPr>
          <w:u w:val="single"/>
        </w:rPr>
        <w:t>Part 6 Additional Terms for FX Transactions and Currency Option Transactions</w:t>
      </w:r>
    </w:p>
    <w:p>
      <w:pPr>
        <w:pStyle w:val="Normal"/>
        <w:ind w:start="426" w:end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  <w:t>As discussed we do not document FX Transactions under the entity Morgan Stanley Capital Services Inc.  Accordingly, I would be grateful if you would delete Part 6 and Part 7.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Credit Support Annex Paragraph 13 Elections and Variables.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(b) </w:t>
      </w:r>
      <w:r>
        <w:rPr>
          <w:b/>
          <w:bCs/>
          <w:sz w:val="24"/>
          <w:szCs w:val="24"/>
          <w:u w:val="single"/>
        </w:rPr>
        <w:t>Credit Support Obligations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rPr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(C). “</w:t>
      </w:r>
      <w:r>
        <w:rPr>
          <w:b/>
          <w:bCs/>
          <w:sz w:val="24"/>
          <w:szCs w:val="24"/>
        </w:rPr>
        <w:t>Credit Support Amount</w:t>
      </w:r>
      <w:r>
        <w:rPr>
          <w:sz w:val="24"/>
          <w:szCs w:val="24"/>
        </w:rPr>
        <w:t>”. Please insert “has the meaning specified in Paragraph 3”.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rmal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ab/>
        <w:t xml:space="preserve">(ii) </w:t>
      </w:r>
      <w:r>
        <w:rPr>
          <w:b/>
          <w:bCs/>
          <w:sz w:val="24"/>
          <w:szCs w:val="24"/>
        </w:rPr>
        <w:t xml:space="preserve">Eligible Collateral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start="720" w:end="0"/>
        <w:rPr>
          <w:sz w:val="24"/>
          <w:szCs w:val="24"/>
        </w:rPr>
      </w:pPr>
      <w:r>
        <w:rPr>
          <w:sz w:val="24"/>
          <w:szCs w:val="24"/>
        </w:rPr>
        <w:t xml:space="preserve">(B) Please delete “original “ and insert “remaining” on the fourth line in relation to negotiable debt obligations. </w:t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1440" w:end="0"/>
        <w:rPr/>
      </w:pPr>
      <w:r>
        <w:rPr>
          <w:sz w:val="24"/>
          <w:szCs w:val="24"/>
        </w:rPr>
        <w:t xml:space="preserve">(iii) </w:t>
      </w:r>
      <w:r>
        <w:rPr>
          <w:b/>
          <w:bCs/>
          <w:sz w:val="24"/>
          <w:szCs w:val="24"/>
        </w:rPr>
        <w:t>Other Eligible Support</w:t>
      </w:r>
      <w:r>
        <w:rPr>
          <w:sz w:val="24"/>
          <w:szCs w:val="24"/>
        </w:rPr>
        <w:t xml:space="preserve">. I would be grateful if you would delete this provision. Our credit department will not approve the use of Letters of Credit as “Other Eligible Support”.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 w:end="0"/>
        <w:rPr/>
      </w:pPr>
      <w:r>
        <w:rPr>
          <w:sz w:val="24"/>
          <w:szCs w:val="24"/>
        </w:rPr>
        <w:t xml:space="preserve">(iv) </w:t>
      </w:r>
      <w:r>
        <w:rPr>
          <w:b/>
          <w:bCs/>
          <w:sz w:val="24"/>
          <w:szCs w:val="24"/>
        </w:rPr>
        <w:t>Thresholds.</w:t>
      </w:r>
      <w:r>
        <w:rPr>
          <w:sz w:val="24"/>
          <w:szCs w:val="24"/>
        </w:rPr>
        <w:t xml:space="preserve">  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  <w:tab w:val="left" w:pos="294" w:leader="none"/>
        </w:tabs>
        <w:ind w:hanging="1176" w:start="1896" w:end="0"/>
        <w:rPr/>
      </w:pPr>
      <w:r>
        <w:rPr>
          <w:b/>
          <w:bCs/>
          <w:sz w:val="24"/>
          <w:szCs w:val="24"/>
        </w:rPr>
        <w:t>Independent Amount</w:t>
      </w:r>
      <w:r>
        <w:rPr>
          <w:sz w:val="24"/>
          <w:szCs w:val="24"/>
        </w:rPr>
        <w:t xml:space="preserve">.  Please amend this provision to reflect the Independent Amount with respect to Party A and Party B is “as specified in a Confirmation from time to time”. </w:t>
      </w:r>
    </w:p>
    <w:p>
      <w:pPr>
        <w:pStyle w:val="Normal"/>
        <w:numPr>
          <w:ilvl w:val="0"/>
          <w:numId w:val="0"/>
        </w:numPr>
        <w:ind w:hanging="0"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  <w:tab w:val="left" w:pos="294" w:leader="none"/>
        </w:tabs>
        <w:ind w:hanging="801" w:start="1896" w:end="0"/>
        <w:rPr/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Threshold”.</w:t>
      </w:r>
      <w:r>
        <w:rPr>
          <w:sz w:val="24"/>
          <w:szCs w:val="24"/>
        </w:rPr>
        <w:t xml:space="preserve">  Please specify the Threshold with respect to Party A and Party N as “US $ NIL”.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start="720" w:end="0"/>
        <w:rPr/>
      </w:pPr>
      <w:r>
        <w:rPr/>
        <w:t xml:space="preserve">(D) </w:t>
      </w:r>
      <w:r>
        <w:rPr>
          <w:b/>
          <w:bCs/>
        </w:rPr>
        <w:t>Rounding.</w:t>
      </w:r>
      <w:r>
        <w:rPr/>
        <w:t xml:space="preserve">  Please specify the Delivery Amount and Return Amount will be rounded to the nearest             intergral multiples of US $10,000.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1146" w:start="1572" w:end="0"/>
        <w:rPr/>
      </w:pPr>
      <w:r>
        <w:rPr>
          <w:b/>
          <w:bCs/>
          <w:sz w:val="24"/>
          <w:szCs w:val="24"/>
          <w:u w:val="single"/>
        </w:rPr>
        <w:t>Conditions Precedent and Secured Party’s Rights and Remedies</w:t>
      </w:r>
      <w:r>
        <w:rPr>
          <w:sz w:val="24"/>
          <w:szCs w:val="24"/>
        </w:rPr>
        <w:t xml:space="preserve">. 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firstLine="294" w:start="426" w:end="0"/>
        <w:rPr>
          <w:sz w:val="24"/>
          <w:szCs w:val="24"/>
        </w:rPr>
      </w:pPr>
      <w:r>
        <w:rPr>
          <w:sz w:val="24"/>
          <w:szCs w:val="24"/>
        </w:rPr>
        <w:t>Please delete.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426" w:end="0"/>
        <w:rPr/>
      </w:pPr>
      <w:r>
        <w:rPr>
          <w:b/>
          <w:bCs/>
          <w:sz w:val="24"/>
          <w:szCs w:val="24"/>
        </w:rPr>
        <w:t xml:space="preserve">(f)  </w:t>
      </w:r>
      <w:r>
        <w:rPr>
          <w:b/>
          <w:bCs/>
          <w:sz w:val="24"/>
          <w:szCs w:val="24"/>
          <w:u w:val="single"/>
        </w:rPr>
        <w:t>Dispute Resolution.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BodyText2"/>
        <w:numPr>
          <w:ilvl w:val="0"/>
          <w:numId w:val="10"/>
        </w:numPr>
        <w:tabs>
          <w:tab w:val="clear" w:pos="720"/>
          <w:tab w:val="left" w:pos="0" w:leader="none"/>
        </w:tabs>
        <w:ind w:hanging="1440" w:start="2880" w:end="0"/>
        <w:rPr/>
      </w:pPr>
      <w:r>
        <w:rPr/>
        <w:t>“</w:t>
      </w:r>
      <w:r>
        <w:rPr>
          <w:b/>
          <w:bCs/>
        </w:rPr>
        <w:t>Resolution Time</w:t>
      </w:r>
      <w:r>
        <w:rPr/>
        <w:t>”.  Please amend this provision to “1.00pm, New York time on the next Local Business Day.”</w:t>
      </w:r>
    </w:p>
    <w:p>
      <w:pPr>
        <w:pStyle w:val="BodyText2"/>
        <w:ind w:start="720" w:end="0"/>
        <w:rPr/>
      </w:pPr>
      <w:r>
        <w:rPr/>
      </w:r>
    </w:p>
    <w:p>
      <w:pPr>
        <w:pStyle w:val="Normal"/>
        <w:ind w:firstLine="426" w:end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(g)  </w:t>
      </w:r>
      <w:r>
        <w:rPr>
          <w:b/>
          <w:bCs/>
          <w:sz w:val="24"/>
          <w:szCs w:val="24"/>
          <w:u w:val="single"/>
        </w:rPr>
        <w:t xml:space="preserve">Holding and Using Posting Collateral 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firstLine="294" w:start="426" w:end="0"/>
        <w:rPr/>
      </w:pPr>
      <w:r>
        <w:rPr>
          <w:sz w:val="24"/>
          <w:szCs w:val="24"/>
        </w:rPr>
        <w:t xml:space="preserve">(i) </w:t>
      </w:r>
      <w:r>
        <w:rPr>
          <w:b/>
          <w:bCs/>
          <w:sz w:val="24"/>
          <w:szCs w:val="24"/>
        </w:rPr>
        <w:t>Eligibility to Hold Posted Collateral: Custodians</w:t>
      </w:r>
      <w:r>
        <w:rPr>
          <w:sz w:val="24"/>
          <w:szCs w:val="24"/>
        </w:rPr>
        <w:t xml:space="preserve">. Please delete.  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start="720" w:end="0"/>
        <w:rPr/>
      </w:pPr>
      <w:r>
        <w:rPr>
          <w:sz w:val="24"/>
          <w:szCs w:val="24"/>
        </w:rPr>
        <w:t xml:space="preserve">(ii) </w:t>
      </w:r>
      <w:r>
        <w:rPr>
          <w:b/>
          <w:bCs/>
          <w:sz w:val="24"/>
          <w:szCs w:val="24"/>
        </w:rPr>
        <w:t>Use of Posted Collateral</w:t>
      </w:r>
      <w:r>
        <w:rPr>
          <w:sz w:val="24"/>
          <w:szCs w:val="24"/>
        </w:rPr>
        <w:t xml:space="preserve">.  We cannot agree to this provision.  We do not want rehypothecation to be contingent on the Party’s rating level. I would be grateful if you would delete this provision or propose an alternative. 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firstLine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(h)  </w:t>
      </w:r>
      <w:r>
        <w:rPr>
          <w:b/>
          <w:bCs/>
          <w:sz w:val="24"/>
          <w:szCs w:val="24"/>
          <w:u w:val="single"/>
        </w:rPr>
        <w:t>Distribution and Interest Amount</w:t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start="720" w:end="0"/>
        <w:rPr/>
      </w:pPr>
      <w:r>
        <w:rPr>
          <w:sz w:val="24"/>
          <w:szCs w:val="24"/>
        </w:rPr>
        <w:t xml:space="preserve">(iii) </w:t>
      </w:r>
      <w:r>
        <w:rPr>
          <w:b/>
          <w:bCs/>
          <w:sz w:val="24"/>
          <w:szCs w:val="24"/>
        </w:rPr>
        <w:t>Alternative to Interest Amount</w:t>
      </w:r>
      <w:r>
        <w:rPr>
          <w:sz w:val="24"/>
          <w:szCs w:val="24"/>
        </w:rPr>
        <w:t xml:space="preserve">.  Please amend this provision as follows: “ The provisions of Paragraph 6 (d)(ii) will apply.  Please delete the remainder of this provision. 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firstLine="426" w:end="0"/>
        <w:rPr/>
      </w:pPr>
      <w:r>
        <w:rPr>
          <w:b/>
          <w:bCs/>
          <w:sz w:val="24"/>
          <w:szCs w:val="24"/>
        </w:rPr>
        <w:t xml:space="preserve">(i)  </w:t>
      </w:r>
      <w:r>
        <w:rPr>
          <w:b/>
          <w:bCs/>
          <w:sz w:val="24"/>
          <w:szCs w:val="24"/>
          <w:u w:val="single"/>
        </w:rPr>
        <w:t>Additional Representations(s) and Covenants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  <w:t>As outlined previously, we cannot agree to use Letters of Credit.  Accordingly, I would be grateful if you would delete this provision.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(j</w:t>
      </w:r>
      <w:r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u w:val="single"/>
        </w:rPr>
        <w:t>Other Eligible Support and Other Posted Support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BodyText2"/>
        <w:rPr>
          <w:b/>
          <w:bCs/>
          <w:u w:val="single"/>
        </w:rPr>
      </w:pPr>
      <w:r>
        <w:rPr/>
        <w:t xml:space="preserve">Please delete. 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(m) </w:t>
      </w:r>
      <w:r>
        <w:rPr>
          <w:b/>
          <w:bCs/>
          <w:sz w:val="24"/>
          <w:szCs w:val="24"/>
          <w:u w:val="single"/>
        </w:rPr>
        <w:t>Other Provisions</w:t>
      </w:r>
    </w:p>
    <w:p>
      <w:pPr>
        <w:pStyle w:val="Normal"/>
        <w:ind w:start="426" w:end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  <w:tab/>
        <w:t>(i) Please delete “</w:t>
      </w:r>
      <w:r>
        <w:rPr>
          <w:b/>
          <w:bCs/>
          <w:sz w:val="24"/>
          <w:szCs w:val="24"/>
        </w:rPr>
        <w:t>Letters of Credit</w:t>
      </w:r>
      <w:r>
        <w:rPr>
          <w:sz w:val="24"/>
          <w:szCs w:val="24"/>
        </w:rPr>
        <w:t>”, “</w:t>
      </w:r>
      <w:r>
        <w:rPr>
          <w:b/>
          <w:bCs/>
          <w:sz w:val="24"/>
          <w:szCs w:val="24"/>
        </w:rPr>
        <w:t>Material Adverse Change</w:t>
      </w:r>
      <w:r>
        <w:rPr>
          <w:sz w:val="24"/>
          <w:szCs w:val="24"/>
        </w:rPr>
        <w:t>”, “</w:t>
      </w:r>
      <w:r>
        <w:rPr>
          <w:b/>
          <w:bCs/>
          <w:sz w:val="24"/>
          <w:szCs w:val="24"/>
        </w:rPr>
        <w:t>Moody</w:t>
      </w:r>
      <w:r>
        <w:rPr>
          <w:sz w:val="24"/>
          <w:szCs w:val="24"/>
        </w:rPr>
        <w:t xml:space="preserve">s” and </w:t>
      </w:r>
      <w:r>
        <w:rPr>
          <w:b/>
          <w:bCs/>
          <w:sz w:val="24"/>
          <w:szCs w:val="24"/>
        </w:rPr>
        <w:t>“S&amp;P”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  <w:t xml:space="preserve">For the reasons outlined above, please delete Exhibit A and Schedule 1. 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  <w:t>I am happy to mark up the draft with my comments set out above if you would e-mail through to me your original first draft. I look forward to receiving your comments as soon as possible so that we may finalise the documentation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  <w:t>In the meantime, if you have any queries, or would like to discuss this further, please do not hesitate to contact me.</w:t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 w:end="0"/>
        <w:rPr>
          <w:sz w:val="24"/>
          <w:szCs w:val="24"/>
        </w:rPr>
      </w:pPr>
      <w:r>
        <w:rPr>
          <w:sz w:val="24"/>
          <w:szCs w:val="24"/>
        </w:rPr>
        <w:t>Kind Regards</w:t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Megan Duffill </w:t>
      </w:r>
    </w:p>
    <w:p>
      <w:pPr>
        <w:pStyle w:val="Normal"/>
        <w:ind w:start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DPG Transaction Management</w:t>
      </w:r>
    </w:p>
    <w:p>
      <w:pPr>
        <w:pStyle w:val="Normal"/>
        <w:ind w:firstLine="42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Morgan Stanley Dean Witter &amp; Co. </w:t>
      </w:r>
    </w:p>
    <w:p>
      <w:pPr>
        <w:pStyle w:val="Normal"/>
        <w:ind w:start="786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start="786" w:end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footerReference w:type="default" r:id="rId2"/>
      <w:type w:val="nextPage"/>
      <w:pgSz w:w="11906" w:h="16838"/>
      <w:pgMar w:left="432" w:right="432" w:gutter="0" w:header="0" w:top="432" w:footer="432" w:bottom="48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roman"/>
    <w:pitch w:val="default"/>
  </w:font>
  <w:font w:name="CG 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240"/>
      <w:rPr>
        <w:rFonts w:ascii="CG Times;Times New Roman" w:hAnsi="CG Times;Times New Roman" w:eastAsia="CG Times;Times New Roman" w:cs="CG Times;Times New Roman"/>
        <w:sz w:val="16"/>
        <w:szCs w:val="16"/>
      </w:rPr>
    </w:pPr>
    <w:r>
      <w:rPr>
        <w:rFonts w:eastAsia="CG Times;Times New Roman" w:cs="CG Times;Times New Roman" w:ascii="CG Times;Times New Roman" w:hAnsi="CG Times;Times New Roman"/>
        <w:sz w:val="16"/>
        <w:szCs w:val="16"/>
      </w:rPr>
      <w:fldChar w:fldCharType="begin"/>
    </w:r>
    <w:r>
      <w:rPr>
        <w:sz w:val="16"/>
        <w:szCs w:val="16"/>
        <w:rFonts w:eastAsia="CG Times;Times New Roman" w:cs="CG Times;Times New Roman" w:ascii="CG Times;Times New Roman" w:hAnsi="CG Times;Times New Roman"/>
      </w:rPr>
      <w:instrText xml:space="preserve"> FILENAME \p </w:instrText>
    </w:r>
    <w:r>
      <w:rPr>
        <w:sz w:val="16"/>
        <w:szCs w:val="16"/>
        <w:rFonts w:eastAsia="CG Times;Times New Roman" w:cs="CG Times;Times New Roman" w:ascii="CG Times;Times New Roman" w:hAnsi="CG Times;Times New Roman"/>
      </w:rPr>
      <w:fldChar w:fldCharType="separate"/>
    </w:r>
    <w:r>
      <w:rPr>
        <w:sz w:val="16"/>
        <w:szCs w:val="16"/>
        <w:rFonts w:eastAsia="CG Times;Times New Roman" w:cs="CG Times;Times New Roman" w:ascii="CG Times;Times New Roman" w:hAnsi="CG Times;Times New Roman"/>
      </w:rPr>
      <w:t>/mnt/main-storage/datasets/enron-docs/doc/2_0205432.doc</w:t>
    </w:r>
    <w:r>
      <w:rPr>
        <w:sz w:val="16"/>
        <w:szCs w:val="16"/>
        <w:rFonts w:eastAsia="CG Times;Times New Roman" w:cs="CG Times;Times New Roman" w:ascii="CG Times;Times New Roman" w:hAnsi="CG Times;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5"/>
      <w:numFmt w:val="lowerLetter"/>
      <w:lvlText w:val="(%1)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9"/>
      <w:numFmt w:val="lowerLetter"/>
      <w:lvlText w:val="(%1)"/>
      <w:lvlJc w:val="start"/>
      <w:pPr>
        <w:tabs>
          <w:tab w:val="num" w:pos="786"/>
        </w:tabs>
        <w:ind w:start="786" w:hanging="786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3"/>
      <w:numFmt w:val="lowerLetter"/>
      <w:lvlText w:val="(%1)"/>
      <w:lvlJc w:val="start"/>
      <w:pPr>
        <w:tabs>
          <w:tab w:val="num" w:pos="786"/>
        </w:tabs>
        <w:ind w:start="786" w:hanging="786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3"/>
      <w:numFmt w:val="low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9"/>
      <w:numFmt w:val="lowerLetter"/>
      <w:lvlText w:val="(%1)"/>
      <w:lvlJc w:val="start"/>
      <w:pPr>
        <w:tabs>
          <w:tab w:val="num" w:pos="786"/>
        </w:tabs>
        <w:ind w:start="786" w:hanging="786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upperLetter"/>
      <w:lvlText w:val="(%1)"/>
      <w:lvlJc w:val="start"/>
      <w:pPr>
        <w:tabs>
          <w:tab w:val="num" w:pos="801"/>
        </w:tabs>
        <w:ind w:start="801" w:hanging="80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3"/>
      <w:numFmt w:val="lowerLetter"/>
      <w:lvlText w:val="(%1)"/>
      <w:lvlJc w:val="start"/>
      <w:pPr>
        <w:tabs>
          <w:tab w:val="num" w:pos="786"/>
        </w:tabs>
        <w:ind w:start="786" w:hanging="786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14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hanging="0" w:start="1008" w:end="1008"/>
      <w:jc w:val="both"/>
      <w:outlineLvl w:val="0"/>
    </w:pPr>
    <w:rPr>
      <w:rFonts w:ascii="Times" w:hAnsi="Times" w:eastAsia="Times" w:cs="Times"/>
      <w:b/>
      <w:bCs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582" w:start="1008" w:end="1008"/>
      <w:jc w:val="both"/>
      <w:outlineLvl w:val="2"/>
    </w:pPr>
    <w:rPr>
      <w:rFonts w:ascii="Times" w:hAnsi="Times" w:eastAsia="Times" w:cs="Times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426" w:end="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426" w:end="0"/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eastAsia="Arial" w:cs="Arial"/>
      <w:sz w:val="12"/>
      <w:szCs w:val="12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ind w:hanging="0" w:start="426" w:end="0"/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2000-08-08T07:00:00Z</dcterms:created>
  <dc:creator>PARVEEN</dc:creator>
  <dc:description/>
  <cp:keywords>F01\150317\</cp:keywords>
  <dc:language>en-CA</dc:language>
  <cp:lastModifiedBy>fleurt</cp:lastModifiedBy>
  <cp:lastPrinted>2000-08-08T12:19:00Z</cp:lastPrinted>
  <dcterms:modified xsi:type="dcterms:W3CDTF">2000-08-08T09:26:00Z</dcterms:modified>
  <cp:revision>11</cp:revision>
  <dc:subject/>
  <dc:title>Fax:  Jason Pugh</dc:title>
</cp:coreProperties>
</file>