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u w:val="single"/>
        </w:rPr>
      </w:pPr>
      <w:r>
        <w:rPr>
          <w:b/>
          <w:sz w:val="28"/>
          <w:u w:val="single"/>
        </w:rPr>
        <w:t>MEMORANDUM</w:t>
      </w:r>
    </w:p>
    <w:p>
      <w:pPr>
        <w:pStyle w:val="Normal"/>
        <w:rPr>
          <w:b/>
          <w:sz w:val="28"/>
          <w:u w:val="single"/>
        </w:rPr>
      </w:pPr>
      <w:r>
        <w:rPr>
          <w:b/>
          <w:sz w:val="28"/>
          <w:u w:val="single"/>
        </w:rPr>
      </w:r>
    </w:p>
    <w:p>
      <w:pPr>
        <w:pStyle w:val="Normal"/>
        <w:rPr>
          <w:u w:val="single"/>
        </w:rPr>
      </w:pPr>
      <w:r>
        <w:rPr>
          <w:u w:val="single"/>
        </w:rPr>
      </w:r>
    </w:p>
    <w:tbl>
      <w:tblPr>
        <w:tblW w:w="9540" w:type="dxa"/>
        <w:jc w:val="start"/>
        <w:tblInd w:w="54" w:type="dxa"/>
        <w:tblLayout w:type="fixed"/>
        <w:tblCellMar>
          <w:top w:w="0" w:type="dxa"/>
          <w:start w:w="144" w:type="dxa"/>
          <w:bottom w:w="0" w:type="dxa"/>
          <w:end w:w="144" w:type="dxa"/>
        </w:tblCellMar>
      </w:tblPr>
      <w:tblGrid>
        <w:gridCol w:w="1260"/>
        <w:gridCol w:w="4320"/>
        <w:gridCol w:w="3960"/>
      </w:tblGrid>
      <w:tr>
        <w:trPr/>
        <w:tc>
          <w:tcPr>
            <w:tcW w:w="1260" w:type="dxa"/>
            <w:tcBorders/>
          </w:tcPr>
          <w:p>
            <w:pPr>
              <w:pStyle w:val="Normal"/>
              <w:spacing w:before="0" w:after="240"/>
              <w:ind w:end="-33"/>
              <w:jc w:val="end"/>
              <w:rPr/>
            </w:pPr>
            <w:bookmarkStart w:id="0" w:name="DeliveryType"/>
            <w:bookmarkEnd w:id="0"/>
            <w:r>
              <w:rPr/>
              <w:t>TO:</w:t>
            </w:r>
          </w:p>
        </w:tc>
        <w:tc>
          <w:tcPr>
            <w:tcW w:w="4320" w:type="dxa"/>
            <w:tcBorders/>
          </w:tcPr>
          <w:p>
            <w:pPr>
              <w:pStyle w:val="RecipientName"/>
              <w:rPr/>
            </w:pPr>
            <w:bookmarkStart w:id="1" w:name="RecipientName"/>
            <w:bookmarkEnd w:id="1"/>
            <w:r>
              <w:rPr/>
              <w:t>Michelle Blaine</w:t>
            </w:r>
          </w:p>
          <w:p>
            <w:pPr>
              <w:pStyle w:val="Normal"/>
              <w:rPr/>
            </w:pPr>
            <w:r>
              <w:rPr/>
            </w:r>
          </w:p>
        </w:tc>
        <w:tc>
          <w:tcPr>
            <w:tcW w:w="3960" w:type="dxa"/>
            <w:vMerge w:val="restart"/>
            <w:tcBorders/>
          </w:tcPr>
          <w:p>
            <w:pPr>
              <w:pStyle w:val="Normal"/>
              <w:rPr>
                <w:b/>
              </w:rPr>
            </w:pPr>
            <w:bookmarkStart w:id="2" w:name="Disclaimer"/>
            <w:bookmarkEnd w:id="2"/>
            <w:r>
              <w:rPr>
                <w:b/>
              </w:rPr>
              <w:t>PRIVILEGED AND CONFIDENTIAL: SUBJECT TO ATTORNEY-CLIENT PRIVILEGE AND ATTORNEY WORK PRODUCT DOCTRINE</w:t>
            </w:r>
          </w:p>
          <w:p>
            <w:pPr>
              <w:pStyle w:val="Normal"/>
              <w:rPr>
                <w:b/>
              </w:rPr>
            </w:pPr>
            <w:r>
              <w:rPr>
                <w:b/>
              </w:rPr>
            </w:r>
          </w:p>
        </w:tc>
      </w:tr>
      <w:tr>
        <w:trPr/>
        <w:tc>
          <w:tcPr>
            <w:tcW w:w="1260" w:type="dxa"/>
            <w:tcBorders/>
          </w:tcPr>
          <w:p>
            <w:pPr>
              <w:pStyle w:val="Normal"/>
              <w:spacing w:before="0" w:after="240"/>
              <w:ind w:end="-33"/>
              <w:jc w:val="end"/>
              <w:rPr/>
            </w:pPr>
            <w:r>
              <w:rPr/>
              <w:t>FROM:</w:t>
            </w:r>
          </w:p>
        </w:tc>
        <w:tc>
          <w:tcPr>
            <w:tcW w:w="4320" w:type="dxa"/>
            <w:tcBorders/>
          </w:tcPr>
          <w:p>
            <w:pPr>
              <w:pStyle w:val="Normal"/>
              <w:rPr/>
            </w:pPr>
            <w:bookmarkStart w:id="3" w:name="SenderName"/>
            <w:bookmarkEnd w:id="3"/>
            <w:r>
              <w:rPr/>
              <w:t>Doak Bishop</w:t>
            </w:r>
          </w:p>
          <w:p>
            <w:pPr>
              <w:pStyle w:val="Normal"/>
              <w:rPr/>
            </w:pPr>
            <w:r>
              <w:rPr/>
            </w:r>
          </w:p>
        </w:tc>
        <w:tc>
          <w:tcPr>
            <w:tcW w:w="3960" w:type="dxa"/>
            <w:vMerge w:val="continue"/>
            <w:tcBorders/>
          </w:tcPr>
          <w:p>
            <w:pPr>
              <w:pStyle w:val="Normal"/>
              <w:snapToGrid w:val="false"/>
              <w:ind w:start="-273" w:end="0"/>
              <w:rPr/>
            </w:pPr>
            <w:r>
              <w:rPr/>
            </w:r>
          </w:p>
        </w:tc>
      </w:tr>
      <w:tr>
        <w:trPr/>
        <w:tc>
          <w:tcPr>
            <w:tcW w:w="1260" w:type="dxa"/>
            <w:tcBorders/>
          </w:tcPr>
          <w:p>
            <w:pPr>
              <w:pStyle w:val="Normal"/>
              <w:spacing w:before="0" w:after="240"/>
              <w:ind w:end="-33"/>
              <w:jc w:val="end"/>
              <w:rPr>
                <w:spacing w:val="10"/>
              </w:rPr>
            </w:pPr>
            <w:r>
              <w:rPr>
                <w:spacing w:val="10"/>
              </w:rPr>
              <w:t>DATE:</w:t>
            </w:r>
          </w:p>
        </w:tc>
        <w:tc>
          <w:tcPr>
            <w:tcW w:w="4320" w:type="dxa"/>
            <w:tcBorders/>
          </w:tcPr>
          <w:p>
            <w:pPr>
              <w:pStyle w:val="MemoDate"/>
              <w:rPr/>
            </w:pPr>
            <w:bookmarkStart w:id="4" w:name="Date"/>
            <w:bookmarkEnd w:id="4"/>
            <w:r>
              <w:rPr/>
              <w:t>April 4, 2001</w:t>
            </w:r>
          </w:p>
        </w:tc>
        <w:tc>
          <w:tcPr>
            <w:tcW w:w="3960" w:type="dxa"/>
            <w:vMerge w:val="continue"/>
            <w:tcBorders/>
          </w:tcPr>
          <w:p>
            <w:pPr>
              <w:pStyle w:val="Normal"/>
              <w:snapToGrid w:val="false"/>
              <w:ind w:start="-273" w:end="0"/>
              <w:rPr/>
            </w:pPr>
            <w:r>
              <w:rPr/>
            </w:r>
          </w:p>
        </w:tc>
      </w:tr>
      <w:tr>
        <w:trPr/>
        <w:tc>
          <w:tcPr>
            <w:tcW w:w="1260" w:type="dxa"/>
            <w:tcBorders>
              <w:bottom w:val="single" w:sz="18" w:space="0" w:color="000000"/>
            </w:tcBorders>
          </w:tcPr>
          <w:p>
            <w:pPr>
              <w:pStyle w:val="Normal"/>
              <w:spacing w:before="0" w:after="240"/>
              <w:ind w:end="-33"/>
              <w:jc w:val="end"/>
              <w:rPr/>
            </w:pPr>
            <w:r>
              <w:rPr/>
              <w:t>RE:</w:t>
            </w:r>
          </w:p>
        </w:tc>
        <w:tc>
          <w:tcPr>
            <w:tcW w:w="8280" w:type="dxa"/>
            <w:gridSpan w:val="2"/>
            <w:tcBorders>
              <w:bottom w:val="single" w:sz="18" w:space="0" w:color="000000"/>
            </w:tcBorders>
          </w:tcPr>
          <w:p>
            <w:pPr>
              <w:pStyle w:val="Normal"/>
              <w:spacing w:before="0" w:after="240"/>
              <w:rPr/>
            </w:pPr>
            <w:bookmarkStart w:id="5" w:name="Re"/>
            <w:bookmarkEnd w:id="5"/>
            <w:r>
              <w:rPr/>
              <w:t>Enron's Political Risk Insurance Policies for Argentina</w:t>
            </w:r>
          </w:p>
        </w:tc>
      </w:tr>
    </w:tbl>
    <w:p>
      <w:pPr>
        <w:pStyle w:val="Normal"/>
        <w:rPr/>
      </w:pPr>
      <w:r>
        <w:rPr/>
      </w:r>
    </w:p>
    <w:p>
      <w:pPr>
        <w:pStyle w:val="BodyText"/>
        <w:ind w:firstLine="720" w:end="0"/>
        <w:jc w:val="both"/>
        <w:rPr/>
      </w:pPr>
      <w:bookmarkStart w:id="6" w:name="StartHere"/>
      <w:bookmarkEnd w:id="6"/>
      <w:r>
        <w:rPr/>
        <w:t>We discussed three issues with respect to Enron’s political risk insurance policies:  (1) can Enron file an arbitration against its political risk insurers immediately (</w:t>
      </w:r>
      <w:r>
        <w:rPr>
          <w:u w:val="single"/>
        </w:rPr>
        <w:t>e.g.</w:t>
      </w:r>
      <w:r>
        <w:rPr/>
        <w:t>, does Enron have to exhaust its remedies against the government); (2) what is it that must be expropriated under the policies before Enron can make a claim on the policies (</w:t>
      </w:r>
      <w:r>
        <w:rPr>
          <w:u w:val="single"/>
        </w:rPr>
        <w:t>e.g.</w:t>
      </w:r>
      <w:r>
        <w:rPr/>
        <w:t>, is an expropriation limited to tangible property); and (3) do the policies cover a failure by the government to pay an arbitration award.</w:t>
      </w:r>
    </w:p>
    <w:p>
      <w:pPr>
        <w:pStyle w:val="Heading1"/>
        <w:ind w:hanging="0" w:start="0"/>
        <w:rPr/>
      </w:pPr>
      <w:r>
        <w:rPr/>
        <w:t>Overseas Private Investment Corporation (OPIC)</w:t>
      </w:r>
    </w:p>
    <w:p>
      <w:pPr>
        <w:pStyle w:val="BodyText"/>
        <w:ind w:firstLine="720" w:end="0"/>
        <w:jc w:val="both"/>
        <w:rPr/>
      </w:pPr>
      <w:r>
        <w:rPr/>
        <w:t>Enron has a Contract of Insurance with OPIC “Against Inconvertibility, Expropriation, Political Violence.”  Enron has a separate Contract of Insurance with OPIC “Against Business Income Loss.”  The first policy provides insurance up to $62,600,000, which was the amount Enron originally committed to invest in TGS.  It is possible this cap has been raised.  The Business Income Loss policy insures up to $18,800,000.  Both policies provide for Arbitration under the AAA Commercial Rules.</w:t>
      </w:r>
    </w:p>
    <w:p>
      <w:pPr>
        <w:pStyle w:val="BodyText"/>
        <w:ind w:firstLine="720" w:end="0"/>
        <w:jc w:val="both"/>
        <w:rPr/>
      </w:pPr>
      <w:r>
        <w:rPr/>
        <w:t xml:space="preserve">According to Art. 1.02, the Investor promises to comply with the duties in Article IX.  Of interest in Article IX are Enron’s duty to notify OPIC promptly “of any acts or threats to act in a manner which may come within the scope of the expropriation” coverage and to keep OPIC informed of all relevant developments.  Contract §9.01(8).  Enron has also promised not to make “any agreement with any foreign governing authority with respect to compensation for any acts within the scope of coverage” without OPIC’s consent.  </w:t>
      </w:r>
      <w:r>
        <w:rPr>
          <w:u w:val="single"/>
        </w:rPr>
        <w:t>Id.</w:t>
      </w:r>
      <w:r>
        <w:rPr/>
        <w:t xml:space="preserve"> §9.01(10).</w:t>
      </w:r>
    </w:p>
    <w:p>
      <w:pPr>
        <w:pStyle w:val="BodyText"/>
        <w:ind w:firstLine="720" w:end="0"/>
        <w:jc w:val="both"/>
        <w:rPr/>
      </w:pPr>
      <w:r>
        <w:rPr/>
        <w:t>With respect to the first question, the big OPIC policy provides that “an application for expropriation compensation must be filed within six months after the Investor has reason to believe that all requirements of Article IV have been satisfied.”  Contract Art. 8.01.</w:t>
      </w:r>
    </w:p>
    <w:p>
      <w:pPr>
        <w:pStyle w:val="BodyText"/>
        <w:ind w:firstLine="720" w:end="0"/>
        <w:jc w:val="both"/>
        <w:rPr/>
      </w:pPr>
      <w:r>
        <w:rPr/>
        <w:t>Article IV defines “Total Expropriation” in the following terms:</w:t>
      </w:r>
    </w:p>
    <w:p>
      <w:pPr>
        <w:pStyle w:val="BodyText"/>
        <w:ind w:firstLine="720" w:start="720" w:end="720"/>
        <w:jc w:val="both"/>
        <w:rPr/>
      </w:pPr>
      <w:r>
        <w:rPr/>
        <w:t>4.01</w:t>
        <w:tab/>
      </w:r>
      <w:r>
        <w:rPr>
          <w:u w:val="single"/>
        </w:rPr>
        <w:t>Total Expropriation</w:t>
      </w:r>
      <w:r>
        <w:rPr/>
        <w:t>.  Compensation is payable for total expropriation (§5.01), subject to the exclusions (§4.03) and limitations (§5.04), if an act or series of acts satisfies all of the following requirements:</w:t>
      </w:r>
    </w:p>
    <w:p>
      <w:pPr>
        <w:pStyle w:val="BodyText"/>
        <w:ind w:firstLine="720" w:start="1440" w:end="720"/>
        <w:jc w:val="both"/>
        <w:rPr/>
      </w:pPr>
      <w:r>
        <w:rPr/>
        <w:t>(a)</w:t>
        <w:tab/>
        <w:t xml:space="preserve">the acts are attributable to a foreign governing authority which is in </w:t>
      </w:r>
      <w:r>
        <w:rPr>
          <w:u w:val="single"/>
        </w:rPr>
        <w:t>de</w:t>
      </w:r>
      <w:r>
        <w:rPr/>
        <w:t xml:space="preserve"> </w:t>
      </w:r>
      <w:r>
        <w:rPr>
          <w:u w:val="single"/>
        </w:rPr>
        <w:t>facto</w:t>
      </w:r>
      <w:r>
        <w:rPr/>
        <w:t xml:space="preserve"> control of the part of the country in which the project is located;</w:t>
      </w:r>
    </w:p>
    <w:p>
      <w:pPr>
        <w:pStyle w:val="BodyText"/>
        <w:ind w:firstLine="720" w:start="1440" w:end="720"/>
        <w:jc w:val="both"/>
        <w:rPr/>
      </w:pPr>
      <w:r>
        <w:rPr/>
        <w:t>(b)</w:t>
        <w:tab/>
        <w:t>the acts are violations of international law (without regard to the availability of local remedies) or material breaches of local law;</w:t>
      </w:r>
    </w:p>
    <w:p>
      <w:pPr>
        <w:pStyle w:val="BodyText"/>
        <w:ind w:firstLine="720" w:start="1440" w:end="720"/>
        <w:jc w:val="both"/>
        <w:rPr/>
      </w:pPr>
      <w:r>
        <w:rPr/>
        <w:t>(c)</w:t>
        <w:tab/>
        <w:t>the acts directly deprive the Investor of fundamental rights in the insured investment (Rights are “fundamental” if without them the Investor is substantially deprived of the benefits of the investment.);</w:t>
      </w:r>
    </w:p>
    <w:p>
      <w:pPr>
        <w:pStyle w:val="BodyText"/>
        <w:ind w:firstLine="720" w:start="1440" w:end="720"/>
        <w:jc w:val="both"/>
        <w:rPr/>
      </w:pPr>
      <w:r>
        <w:rPr/>
        <w:t>(d)</w:t>
        <w:tab/>
        <w:t>the violations of law are not remedied (§9.01.9) and the expropriatory effect continues for six months.</w:t>
      </w:r>
    </w:p>
    <w:p>
      <w:pPr>
        <w:pStyle w:val="BodyText"/>
        <w:ind w:firstLine="720" w:end="0"/>
        <w:jc w:val="both"/>
        <w:rPr/>
      </w:pPr>
      <w:r>
        <w:rPr/>
        <w:t>Under this policy, Enron does not have to exhaust its remedies against the government.  Thus, Enron could immediately file a claim against OPIC.  In fact, Enron is required to file an application for expropriation within six months after the elements of Art. 4.01 are satisfied and an arbitration proceeding within one year after OPIC notifies Enron of its determination concerning the application for compensation.  Contract Art. 8.05.  You need to be sure that Enron’s insurance department has filed an application with OPIC and determine if it has received any notice of OPIC’s determination.</w:t>
      </w:r>
    </w:p>
    <w:p>
      <w:pPr>
        <w:pStyle w:val="BodyText"/>
        <w:ind w:firstLine="720" w:end="0"/>
        <w:jc w:val="both"/>
        <w:rPr/>
      </w:pPr>
      <w:r>
        <w:rPr/>
        <w:t>One question is whether Article 4.01(c) has occurred – whether Enron has been directly deprived of fundamental rights.  Enron has directly lost no money yet, nor has it been deprived of its stock in TGS.  The taxes in issue have not yet been collected, but we are prepared to argue at ICSID that the expropriation has occurred because Enron could not dispose of its stock without disclosing the tax assessments and discounting the value of the stock.</w:t>
      </w:r>
    </w:p>
    <w:p>
      <w:pPr>
        <w:pStyle w:val="BodyText"/>
        <w:ind w:firstLine="720" w:end="0"/>
        <w:jc w:val="both"/>
        <w:rPr/>
      </w:pPr>
      <w:r>
        <w:rPr/>
        <w:t>With regard to the second question, Art. 4.02(c) answers it.  It does not say that the expropriation must involve tangible property or contractual rights.  It broadly refers to “fundamental rights in the insured investment,” which means being “substantially deprived of the benefits of the investment.”  This is probably broad enough to encompass Enron’s expropriation claim.</w:t>
      </w:r>
    </w:p>
    <w:p>
      <w:pPr>
        <w:pStyle w:val="BodyText"/>
        <w:ind w:firstLine="720" w:end="0"/>
        <w:jc w:val="both"/>
        <w:rPr/>
      </w:pPr>
      <w:r>
        <w:rPr/>
        <w:t>The answer to the third question is “no.”  The OPIC policies do not cover a failure by the government to pay an arbitration award.  My understanding is that OPIC has such coverage available, but it is not included in this policy.</w:t>
      </w:r>
    </w:p>
    <w:p>
      <w:pPr>
        <w:pStyle w:val="Heading1"/>
        <w:ind w:hanging="0" w:start="0"/>
        <w:rPr/>
      </w:pPr>
      <w:r>
        <w:rPr/>
        <w:t>Lloyd Thompson</w:t>
      </w:r>
    </w:p>
    <w:p>
      <w:pPr>
        <w:pStyle w:val="BodyText"/>
        <w:ind w:firstLine="720" w:end="0"/>
        <w:jc w:val="both"/>
        <w:rPr/>
      </w:pPr>
      <w:r>
        <w:rPr/>
        <w:t>Enron also has a Master Policy for Political Risk Insurance with Lloyd Thompson.  It appears to insure $260 million of loss.  Any disputes are to be resolved by arbitration using the LCIA Rules and English law.</w:t>
      </w:r>
    </w:p>
    <w:p>
      <w:pPr>
        <w:pStyle w:val="BodyText"/>
        <w:ind w:firstLine="720" w:end="0"/>
        <w:jc w:val="both"/>
        <w:rPr/>
      </w:pPr>
      <w:r>
        <w:rPr/>
        <w:t xml:space="preserve">The Master Policy insures against the following risks:  (1) expropriation, (2) discrimination, (3) forced abandonment, (4) forced divestiture, (5) non-transferability, (6) physical damage due to war, (7) physical damage due to political violence, (8) business interruption, (9) </w:t>
      </w:r>
      <w:r>
        <w:rPr>
          <w:u w:val="single"/>
        </w:rPr>
        <w:t>failure to honor an arbitral award</w:t>
      </w:r>
      <w:r>
        <w:rPr/>
        <w:t>, (10) failure to honor a guarantee, (11) export license cancellation, (12) export embargo, (13) import embargo, and (14) cancellation of an operating license or concession.</w:t>
      </w:r>
    </w:p>
    <w:p>
      <w:pPr>
        <w:pStyle w:val="BodyText"/>
        <w:ind w:firstLine="720" w:end="0"/>
        <w:jc w:val="both"/>
        <w:rPr/>
      </w:pPr>
      <w:r>
        <w:rPr/>
        <w:t>The insured risk section answers the third question:  the failure of the government to pay an arbitration award is covered.  Note, however, that the policy talks about “any amount of an arbitration award set by the arbitrators under the terms and conditions of the Contractual Agreement which remains unpaid . . . .”  In Enron’s case against Argentina, there is no “Contractual Agreement.”  I find it hard to believe that an arbitral panel would not apply this provision to an ICSID award when consent is given in a bilateral investment treaty as opposed to a contract.</w:t>
      </w:r>
    </w:p>
    <w:p>
      <w:pPr>
        <w:pStyle w:val="BodyText"/>
        <w:ind w:firstLine="720" w:end="0"/>
        <w:jc w:val="both"/>
        <w:rPr/>
      </w:pPr>
      <w:r>
        <w:rPr/>
        <w:t>This policy defines an “Expropriatory Act” as the following:</w:t>
      </w:r>
    </w:p>
    <w:p>
      <w:pPr>
        <w:pStyle w:val="BodyText"/>
        <w:ind w:firstLine="720" w:start="720" w:end="720"/>
        <w:jc w:val="both"/>
        <w:rPr/>
      </w:pPr>
      <w:r>
        <w:rPr/>
        <w:t>A1</w:t>
        <w:tab/>
        <w:t>Expropriatory Act</w:t>
      </w:r>
    </w:p>
    <w:p>
      <w:pPr>
        <w:pStyle w:val="BodyText"/>
        <w:ind w:start="1440" w:end="720"/>
        <w:jc w:val="both"/>
        <w:rPr/>
      </w:pPr>
      <w:r>
        <w:rPr/>
        <w:t>To indemnify the Insured for the Insured Percentage of the Insured’s Loss caused by an Expropriatory Act by or under the order of the Government of the Host Country in which the Foreign Enterprise is located.</w:t>
      </w:r>
    </w:p>
    <w:p>
      <w:pPr>
        <w:pStyle w:val="BodyText"/>
        <w:ind w:start="1440" w:end="720"/>
        <w:jc w:val="both"/>
        <w:rPr/>
      </w:pPr>
      <w:r>
        <w:rPr/>
        <w:t>Expropriatory Act means an act occurring within the Policy Period not limited to expropriation but including also confiscation, nationalisation, requisition and sequestration by law, order or administrative action of the Government of the Host Country being of a selective nature which continues for a period of 180 days or such period as required under any Primary Insurance Coverage, whichever is the greater, which:</w:t>
      </w:r>
    </w:p>
    <w:p>
      <w:pPr>
        <w:pStyle w:val="BodyText"/>
        <w:ind w:hanging="720" w:start="2160" w:end="720"/>
        <w:jc w:val="both"/>
        <w:rPr/>
      </w:pPr>
      <w:r>
        <w:rPr/>
        <w:t>a)</w:t>
        <w:tab/>
        <w:t>Deprives the Insured of all or part of its shareholding in the Foreign Enterprise(s)</w:t>
      </w:r>
    </w:p>
    <w:p>
      <w:pPr>
        <w:pStyle w:val="BodyText"/>
        <w:ind w:hanging="720" w:start="2160" w:end="720"/>
        <w:jc w:val="both"/>
        <w:rPr/>
      </w:pPr>
      <w:r>
        <w:rPr/>
        <w:t>b)</w:t>
        <w:tab/>
        <w:t>Deprives the Foreign Enterprise(s) of all or part of its fixed and/or current assets, or directly causes the loss, damage or destruction of the property or assets of the Foreign Enterprise(s), or</w:t>
      </w:r>
    </w:p>
    <w:p>
      <w:pPr>
        <w:pStyle w:val="BodyText"/>
        <w:ind w:hanging="720" w:start="2160" w:end="720"/>
        <w:jc w:val="both"/>
        <w:rPr/>
      </w:pPr>
      <w:r>
        <w:rPr/>
        <w:t>c)</w:t>
        <w:tab/>
        <w:t>Prevents or restricts the operation of the Foreign Enterprise so as to cause the cessation of all or substantially all of its activities, or</w:t>
      </w:r>
    </w:p>
    <w:p>
      <w:pPr>
        <w:pStyle w:val="BodyText"/>
        <w:ind w:hanging="720" w:start="2160" w:end="720"/>
        <w:jc w:val="both"/>
        <w:rPr/>
      </w:pPr>
      <w:r>
        <w:rPr/>
        <w:t>d)</w:t>
        <w:tab/>
        <w:t>Deprives the Insured of inventory or equipment carried on its books which is located in the Host Country.</w:t>
      </w:r>
    </w:p>
    <w:p>
      <w:pPr>
        <w:pStyle w:val="BodyText"/>
        <w:ind w:start="1440" w:end="720"/>
        <w:jc w:val="both"/>
        <w:rPr/>
      </w:pPr>
      <w:r>
        <w:rPr/>
        <w:t>For the purpose of this Policy, a series of measures by the Government of the Host Country shall be regarded as one Expropriatory Act if their combined effect constitutes an Expropriatory Act and if such measures occur during the Policy Period.</w:t>
      </w:r>
    </w:p>
    <w:p>
      <w:pPr>
        <w:pStyle w:val="BodyText"/>
        <w:ind w:start="1440" w:end="720"/>
        <w:jc w:val="both"/>
        <w:rPr/>
      </w:pPr>
      <w:r>
        <w:rPr/>
        <w:t>Losses under Sections C [War (Physical Damage)] and D [Political Violence (Physical Damage)] herein shall not be compensable under Section A1b) above.</w:t>
      </w:r>
    </w:p>
    <w:p>
      <w:pPr>
        <w:pStyle w:val="BodyText"/>
        <w:ind w:firstLine="720" w:end="0"/>
        <w:jc w:val="both"/>
        <w:rPr/>
      </w:pPr>
      <w:r>
        <w:rPr/>
        <w:t>The Date of Loss is the date on which the expropriation occurs.  A breach of a contractual obligation by a government is not necessarily an expropriatory act.</w:t>
      </w:r>
    </w:p>
    <w:p>
      <w:pPr>
        <w:pStyle w:val="BodyText"/>
        <w:ind w:firstLine="720" w:end="0"/>
        <w:jc w:val="both"/>
        <w:rPr/>
      </w:pPr>
      <w:r>
        <w:rPr/>
        <w:t>With respect to the first question, Enron can immediately file an arbitration if the definition of an expropriation is met.  There is no duty in the policy to exhaust remedies against the government.  Again, however, there is a question as to whether all of the elements of the definition of an expropriation have been presently met.</w:t>
      </w:r>
    </w:p>
    <w:p>
      <w:pPr>
        <w:pStyle w:val="BodyText"/>
        <w:ind w:firstLine="720" w:end="0"/>
        <w:jc w:val="both"/>
        <w:rPr/>
      </w:pPr>
      <w:r>
        <w:rPr/>
        <w:t>With respect to the second question, the definition of an expropriatory act in this policy is more restrictive than the OPIC policy.  This private policy restricts expropriations to:  (1) loss, damage or destruction of fixed or current assets, (2) deprivation of all or a part “of its shareholding” in a foreign enterprise, (3) deprivation of inventory or equipment, and (4) preventing or restricting the operations of the foreign enterprise.  It is doubtful that Enron has yet suffered an expropriation under this definition.</w:t>
      </w:r>
    </w:p>
    <w:p>
      <w:pPr>
        <w:pStyle w:val="BodyText"/>
        <w:ind w:firstLine="720" w:end="0"/>
        <w:jc w:val="both"/>
        <w:rPr/>
      </w:pPr>
      <w:r>
        <w:rPr/>
        <w:t xml:space="preserve">Excluded from the policy are “Regulation:  non-discriminatory measures of general application of a kind that governments normally take in the public interest for purposes such as ensuring public safety, </w:t>
      </w:r>
      <w:r>
        <w:rPr>
          <w:u w:val="single"/>
        </w:rPr>
        <w:t>raising revenues</w:t>
      </w:r>
      <w:r>
        <w:rPr/>
        <w:t>, protecting the environment or regulating economic activities.”  The insurer may say this excludes tax claims, but Enron can argue these are not measures normally taken because they violate provincial law.</w:t>
      </w:r>
    </w:p>
    <w:tbl>
      <w:tblPr>
        <w:tblW w:w="9576" w:type="dxa"/>
        <w:jc w:val="start"/>
        <w:tblInd w:w="0" w:type="dxa"/>
        <w:tblLayout w:type="fixed"/>
        <w:tblCellMar>
          <w:top w:w="0" w:type="dxa"/>
          <w:start w:w="108" w:type="dxa"/>
          <w:bottom w:w="0" w:type="dxa"/>
          <w:end w:w="108" w:type="dxa"/>
        </w:tblCellMar>
      </w:tblPr>
      <w:tblGrid>
        <w:gridCol w:w="720"/>
        <w:gridCol w:w="8856"/>
      </w:tblGrid>
      <w:tr>
        <w:trPr/>
        <w:tc>
          <w:tcPr>
            <w:tcW w:w="720" w:type="dxa"/>
            <w:tcBorders/>
          </w:tcPr>
          <w:p>
            <w:pPr>
              <w:pStyle w:val="Normal"/>
              <w:rPr>
                <w:vanish/>
              </w:rPr>
            </w:pPr>
            <w:bookmarkStart w:id="7" w:name="CC"/>
            <w:bookmarkEnd w:id="7"/>
            <w:r>
              <w:rPr>
                <w:vanish/>
              </w:rPr>
              <w:t>cc:</w:t>
            </w:r>
          </w:p>
        </w:tc>
        <w:tc>
          <w:tcPr>
            <w:tcW w:w="8856" w:type="dxa"/>
            <w:tcBorders/>
          </w:tcPr>
          <w:p>
            <w:pPr>
              <w:pStyle w:val="Normal"/>
              <w:rPr>
                <w:vanish/>
              </w:rPr>
            </w:pPr>
            <w:r>
              <w:rPr>
                <w:vanish/>
              </w:rPr>
              <w:t>Bob Williams</w:t>
            </w:r>
          </w:p>
        </w:tc>
      </w:tr>
    </w:tbl>
    <w:p>
      <w:pPr>
        <w:pStyle w:val="Normal"/>
        <w:tabs>
          <w:tab w:val="clear" w:pos="720"/>
          <w:tab w:val="center" w:pos="4680" w:leader="none"/>
          <w:tab w:val="left" w:pos="8370" w:leader="none"/>
        </w:tabs>
        <w:ind w:end="-180"/>
        <w:rPr/>
      </w:pPr>
      <w:r>
        <w:rPr/>
      </w:r>
      <w:bookmarkStart w:id="8" w:name="bcc"/>
      <w:bookmarkStart w:id="9" w:name="bcc"/>
      <w:bookmarkEnd w:id="9"/>
    </w:p>
    <w:p>
      <w:pPr>
        <w:pStyle w:val="Normal"/>
        <w:tabs>
          <w:tab w:val="clear" w:pos="720"/>
          <w:tab w:val="center" w:pos="4680" w:leader="none"/>
          <w:tab w:val="left" w:pos="8370" w:leader="none"/>
        </w:tabs>
        <w:ind w:end="-180"/>
        <w:rPr/>
      </w:pPr>
      <w:r>
        <w:rPr/>
      </w:r>
    </w:p>
    <w:sectPr>
      <w:headerReference w:type="default" r:id="rId2"/>
      <w:headerReference w:type="first" r:id="rId3"/>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360"/>
        </w:tabs>
        <w:ind w:start="0" w:hanging="0"/>
      </w:pPr>
      <w:rPr>
        <w:i w:val="false"/>
        <w:u w:val="none"/>
        <w:b/>
      </w:r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tabs>
        <w:tab w:val="clear" w:pos="720"/>
      </w:tabs>
      <w:spacing w:before="0" w:after="240"/>
      <w:outlineLvl w:val="0"/>
    </w:pPr>
    <w:rPr>
      <w:b/>
      <w:u w:val="single"/>
    </w:rPr>
  </w:style>
  <w:style w:type="paragraph" w:styleId="Heading2">
    <w:name w:val="heading 2"/>
    <w:basedOn w:val="Normal"/>
    <w:next w:val="BodyText"/>
    <w:qFormat/>
    <w:pPr>
      <w:keepNext w:val="true"/>
      <w:numPr>
        <w:ilvl w:val="1"/>
        <w:numId w:val="1"/>
      </w:numPr>
      <w:spacing w:before="0" w:after="240"/>
      <w:jc w:val="center"/>
      <w:outlineLvl w:val="1"/>
    </w:pPr>
    <w:rPr>
      <w:b/>
      <w:u w:val="single"/>
    </w:rPr>
  </w:style>
  <w:style w:type="paragraph" w:styleId="Heading3">
    <w:name w:val="heading 3"/>
    <w:basedOn w:val="Normal"/>
    <w:next w:val="BodyText"/>
    <w:qFormat/>
    <w:pPr>
      <w:keepNext w:val="true"/>
      <w:numPr>
        <w:ilvl w:val="2"/>
        <w:numId w:val="1"/>
      </w:numPr>
      <w:spacing w:before="0" w:after="240"/>
      <w:jc w:val="center"/>
      <w:outlineLvl w:val="2"/>
    </w:pPr>
    <w:rPr>
      <w:u w:val="single"/>
    </w:rPr>
  </w:style>
  <w:style w:type="paragraph" w:styleId="Heading4">
    <w:name w:val="heading 4"/>
    <w:basedOn w:val="Normal"/>
    <w:next w:val="BodyText"/>
    <w:qFormat/>
    <w:pPr>
      <w:keepNext w:val="true"/>
      <w:numPr>
        <w:ilvl w:val="3"/>
        <w:numId w:val="1"/>
      </w:numPr>
      <w:spacing w:before="0" w:after="240"/>
      <w:outlineLvl w:val="3"/>
    </w:pPr>
    <w:rPr>
      <w:b/>
      <w:u w:val="single"/>
    </w:rPr>
  </w:style>
  <w:style w:type="paragraph" w:styleId="Heading5">
    <w:name w:val="heading 5"/>
    <w:basedOn w:val="Normal"/>
    <w:next w:val="BodyText"/>
    <w:qFormat/>
    <w:pPr>
      <w:numPr>
        <w:ilvl w:val="4"/>
        <w:numId w:val="1"/>
      </w:numPr>
      <w:spacing w:before="0" w:after="240"/>
      <w:outlineLvl w:val="4"/>
    </w:pPr>
    <w:rPr>
      <w:b/>
      <w:i/>
    </w:rPr>
  </w:style>
  <w:style w:type="paragraph" w:styleId="Heading6">
    <w:name w:val="heading 6"/>
    <w:basedOn w:val="Normal"/>
    <w:next w:val="BodyText"/>
    <w:qFormat/>
    <w:pPr>
      <w:numPr>
        <w:ilvl w:val="5"/>
        <w:numId w:val="1"/>
      </w:numPr>
      <w:spacing w:before="0" w:after="240"/>
      <w:outlineLvl w:val="5"/>
    </w:pPr>
    <w:rPr>
      <w:u w:val="single"/>
    </w:rPr>
  </w:style>
  <w:style w:type="paragraph" w:styleId="Heading7">
    <w:name w:val="heading 7"/>
    <w:basedOn w:val="Normal"/>
    <w:next w:val="BodyText"/>
    <w:qFormat/>
    <w:pPr>
      <w:numPr>
        <w:ilvl w:val="6"/>
        <w:numId w:val="1"/>
      </w:numPr>
      <w:spacing w:before="0" w:after="240"/>
      <w:outlineLvl w:val="6"/>
    </w:pPr>
    <w:rPr>
      <w:b/>
      <w:u w:val="single"/>
    </w:rPr>
  </w:style>
  <w:style w:type="paragraph" w:styleId="Heading8">
    <w:name w:val="heading 8"/>
    <w:basedOn w:val="Normal"/>
    <w:next w:val="BodyText"/>
    <w:qFormat/>
    <w:pPr>
      <w:numPr>
        <w:ilvl w:val="7"/>
        <w:numId w:val="1"/>
      </w:numPr>
      <w:spacing w:before="0" w:after="240"/>
      <w:outlineLvl w:val="7"/>
    </w:pPr>
    <w:rPr>
      <w:b/>
      <w:i/>
    </w:rPr>
  </w:style>
  <w:style w:type="paragraph" w:styleId="Heading9">
    <w:name w:val="heading 9"/>
    <w:basedOn w:val="Normal"/>
    <w:next w:val="BodyText"/>
    <w:qFormat/>
    <w:pPr>
      <w:numPr>
        <w:ilvl w:val="8"/>
        <w:numId w:val="1"/>
      </w:numPr>
      <w:spacing w:before="0" w:after="240"/>
      <w:outlineLvl w:val="8"/>
    </w:pPr>
    <w:rPr>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smallCaps/>
      <w:w w:val="150"/>
      <w:sz w:val="46"/>
    </w:rPr>
  </w:style>
  <w:style w:type="paragraph" w:styleId="BodyText">
    <w:name w:val="Body Text"/>
    <w:basedOn w:val="Normal"/>
    <w:pPr>
      <w:spacing w:before="0" w:after="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720" w:end="0"/>
    </w:pPr>
    <w:rPr/>
  </w:style>
  <w:style w:type="paragraph" w:styleId="BodyTextFirstIndent">
    <w:name w:val="Body Text First Indent"/>
    <w:basedOn w:val="BodyText"/>
    <w:qFormat/>
    <w:pPr>
      <w:spacing w:before="0" w:after="120"/>
      <w:ind w:firstLine="210" w:start="0" w:end="0"/>
    </w:pPr>
    <w:rPr>
      <w:b/>
      <w:sz w:val="24"/>
    </w:rPr>
  </w:style>
  <w:style w:type="paragraph" w:styleId="EnvelopeAddress">
    <w:name w:val="envelope address"/>
    <w:basedOn w:val="Normal"/>
    <w:pPr>
      <w:ind w:hanging="0" w:start="2880" w:end="0"/>
    </w:pPr>
    <w:rPr/>
  </w:style>
  <w:style w:type="paragraph" w:styleId="RecipientName">
    <w:name w:val="RecipientName"/>
    <w:basedOn w:val="Normal"/>
    <w:next w:val="Normal"/>
    <w:qFormat/>
    <w:pPr/>
    <w:rPr/>
  </w:style>
  <w:style w:type="paragraph" w:styleId="LetterDate">
    <w:name w:val="LetterDate"/>
    <w:basedOn w:val="Normal"/>
    <w:qFormat/>
    <w:pPr>
      <w:jc w:val="center"/>
    </w:pPr>
    <w:rPr/>
  </w:style>
  <w:style w:type="paragraph" w:styleId="EnvelopeReturn">
    <w:name w:val="envelope return"/>
    <w:basedOn w:val="Normal"/>
    <w:pPr/>
    <w:rPr>
      <w:sz w:val="20"/>
    </w:rPr>
  </w:style>
  <w:style w:type="paragraph" w:styleId="FootnoteText">
    <w:name w:val="footnote text"/>
    <w:basedOn w:val="Normal"/>
    <w:pPr/>
    <w:rPr/>
  </w:style>
  <w:style w:type="paragraph" w:styleId="TOC2">
    <w:name w:val="toc 2"/>
    <w:basedOn w:val="Normal"/>
    <w:next w:val="Normal"/>
    <w:pPr>
      <w:tabs>
        <w:tab w:val="clear" w:pos="720"/>
        <w:tab w:val="right" w:pos="9360" w:leader="dot"/>
      </w:tabs>
      <w:ind w:hanging="720" w:start="1440" w:end="720"/>
    </w:pPr>
    <w:rPr/>
  </w:style>
  <w:style w:type="paragraph" w:styleId="TOC1">
    <w:name w:val="toc 1"/>
    <w:basedOn w:val="Normal"/>
    <w:next w:val="Normal"/>
    <w:pPr>
      <w:tabs>
        <w:tab w:val="clear" w:pos="720"/>
        <w:tab w:val="right" w:pos="9360" w:leader="dot"/>
      </w:tabs>
      <w:ind w:hanging="720" w:start="720" w:end="720"/>
    </w:pPr>
    <w:rPr/>
  </w:style>
  <w:style w:type="paragraph" w:styleId="TOC3">
    <w:name w:val="toc 3"/>
    <w:basedOn w:val="Normal"/>
    <w:next w:val="Normal"/>
    <w:pPr>
      <w:tabs>
        <w:tab w:val="clear" w:pos="720"/>
        <w:tab w:val="right" w:pos="9360" w:leader="dot"/>
      </w:tabs>
      <w:ind w:hanging="720" w:start="2160" w:end="720"/>
    </w:pPr>
    <w:rPr/>
  </w:style>
  <w:style w:type="paragraph" w:styleId="TOC4">
    <w:name w:val="toc 4"/>
    <w:basedOn w:val="Normal"/>
    <w:next w:val="Normal"/>
    <w:pPr>
      <w:tabs>
        <w:tab w:val="clear" w:pos="720"/>
        <w:tab w:val="right" w:pos="9360" w:leader="dot"/>
      </w:tabs>
      <w:ind w:hanging="720" w:start="2880" w:end="720"/>
    </w:pPr>
    <w:rPr/>
  </w:style>
  <w:style w:type="paragraph" w:styleId="TOC5">
    <w:name w:val="toc 5"/>
    <w:basedOn w:val="Normal"/>
    <w:next w:val="Normal"/>
    <w:pPr>
      <w:tabs>
        <w:tab w:val="clear" w:pos="720"/>
        <w:tab w:val="right" w:pos="9360" w:leader="dot"/>
      </w:tabs>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MemoDate">
    <w:name w:val="MemoDate"/>
    <w:basedOn w:val="Normal"/>
    <w:qFormat/>
    <w:pPr/>
    <w:rPr/>
  </w:style>
  <w:style w:type="paragraph" w:styleId="BodyText2">
    <w:name w:val="Body Text2"/>
    <w:basedOn w:val="BodyText"/>
    <w:qFormat/>
    <w:pPr>
      <w:spacing w:lineRule="auto" w:line="480" w:before="0" w:after="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Memorandum.dot</Template>
  <TotalTime>88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2001-04-04T14:18:00Z</dcterms:created>
  <dc:creator>Lorna R. Hewitt</dc:creator>
  <dc:description/>
  <dc:language>en-CA</dc:language>
  <cp:lastModifiedBy>Lorna R. Hewitt</cp:lastModifiedBy>
  <cp:lastPrinted>2001-04-04T14:38:00Z</cp:lastPrinted>
  <dcterms:modified xsi:type="dcterms:W3CDTF">2001-04-04T17:13:00Z</dcterms:modified>
  <cp:revision>3</cp:revision>
  <dc:subject/>
  <dc:title/>
</cp:coreProperties>
</file>