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480"/>
        <w:jc w:val="center"/>
        <w:rPr>
          <w:b/>
        </w:rPr>
      </w:pPr>
      <w:r>
        <w:rPr>
          <w:b/>
        </w:rPr>
      </w:r>
    </w:p>
    <w:p>
      <w:pPr>
        <w:pStyle w:val="Normal"/>
        <w:widowControl/>
        <w:spacing w:lineRule="auto" w:line="480"/>
        <w:jc w:val="center"/>
        <w:rPr>
          <w:b/>
        </w:rPr>
      </w:pPr>
      <w:r>
        <w:rPr>
          <w:b/>
        </w:rPr>
        <w:t>First Amended and Restated Limited Liability Company Agreement</w:t>
      </w:r>
    </w:p>
    <w:p>
      <w:pPr>
        <w:pStyle w:val="Normal"/>
        <w:widowControl/>
        <w:spacing w:lineRule="auto" w:line="480"/>
        <w:jc w:val="center"/>
        <w:rPr>
          <w:b/>
        </w:rPr>
      </w:pPr>
      <w:r>
        <w:rPr>
          <w:b/>
        </w:rPr>
        <w:t>of</w:t>
      </w:r>
    </w:p>
    <w:p>
      <w:pPr>
        <w:pStyle w:val="Normal"/>
        <w:widowControl/>
        <w:spacing w:lineRule="auto" w:line="480"/>
        <w:jc w:val="center"/>
        <w:rPr>
          <w:b/>
        </w:rPr>
      </w:pPr>
      <w:r>
        <w:rPr>
          <w:b/>
        </w:rPr>
        <w:t>Salmon Energy LLC</w:t>
      </w:r>
    </w:p>
    <w:p>
      <w:pPr>
        <w:pStyle w:val="Normal"/>
        <w:widowControl/>
        <w:spacing w:lineRule="auto" w:line="480"/>
        <w:jc w:val="center"/>
        <w:rPr>
          <w:b/>
        </w:rPr>
      </w:pPr>
      <w:r>
        <w:rPr>
          <w:b/>
        </w:rPr>
        <w:t>A Delaware Limited Liability Company</w:t>
      </w:r>
    </w:p>
    <w:p>
      <w:pPr>
        <w:pStyle w:val="Normal"/>
        <w:widowControl/>
        <w:jc w:val="both"/>
        <w:rPr/>
      </w:pPr>
      <w:r>
        <w:rPr>
          <w:b/>
        </w:rPr>
        <w:tab/>
      </w:r>
      <w:r>
        <w:rPr/>
        <w:t>This First Amended and Restated Limited Liability Company Agreement (this “</w:t>
      </w:r>
      <w:r>
        <w:rPr>
          <w:u w:val="single"/>
        </w:rPr>
        <w:t>Agreement</w:t>
      </w:r>
      <w:r>
        <w:rPr/>
        <w:t>”) of Salmon Energy LLC, a Delaware Limited Liability Company (the “</w:t>
      </w:r>
      <w:r>
        <w:rPr>
          <w:u w:val="single"/>
        </w:rPr>
        <w:t>Company</w:t>
      </w:r>
      <w:r>
        <w:rPr/>
        <w:t>”), is made and entered into as of the ___ day of May, 2001, by and between Enron North America Corp., a Delaware corporation (“</w:t>
      </w:r>
      <w:r>
        <w:rPr>
          <w:u w:val="single"/>
        </w:rPr>
        <w:t>ENA</w:t>
      </w:r>
      <w:r>
        <w:rPr/>
        <w:t>”), and Pegasus Power Partners,  LLC, a limited liability company organized under the laws of the State of Delaware (“</w:t>
      </w:r>
      <w:r>
        <w:rPr>
          <w:u w:val="single"/>
        </w:rPr>
        <w:t>PPL</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b/>
        </w:rPr>
      </w:pPr>
      <w:r>
        <w:rPr>
          <w:b/>
        </w:rPr>
      </w:r>
    </w:p>
    <w:p>
      <w:pPr>
        <w:pStyle w:val="Normal"/>
        <w:widowControl/>
        <w:jc w:val="both"/>
        <w:rPr/>
      </w:pPr>
      <w:r>
        <w:rPr/>
        <w:tab/>
        <w:t>WHEREAS, ENA executed the Company’s Limited Liability Company Agreement dated as of March 8, 2001, 2001 (the “</w:t>
      </w:r>
      <w:r>
        <w:rPr>
          <w:u w:val="single"/>
        </w:rPr>
        <w:t>Prior Agreement</w:t>
      </w:r>
      <w:r>
        <w:rPr/>
        <w:t>”);</w:t>
      </w:r>
    </w:p>
    <w:p>
      <w:pPr>
        <w:pStyle w:val="Normal"/>
        <w:widowControl/>
        <w:rPr/>
      </w:pPr>
      <w:r>
        <w:rPr/>
      </w:r>
    </w:p>
    <w:p>
      <w:pPr>
        <w:pStyle w:val="Normal"/>
        <w:widowControl/>
        <w:jc w:val="both"/>
        <w:rPr/>
      </w:pPr>
      <w:r>
        <w:rPr/>
        <w:tab/>
        <w:t>WHEREAS, PPL has become a Member of the Company, and ENA and PPL wish to amend and restate in its entirety the Prior Agreement;</w:t>
      </w:r>
    </w:p>
    <w:p>
      <w:pPr>
        <w:pStyle w:val="Normal"/>
        <w:widowControl/>
        <w:rPr/>
      </w:pPr>
      <w:r>
        <w:rPr/>
      </w:r>
    </w:p>
    <w:p>
      <w:pPr>
        <w:pStyle w:val="Normal"/>
        <w:widowControl/>
        <w:jc w:val="both"/>
        <w:rPr/>
      </w:pPr>
      <w:r>
        <w:rPr/>
        <w:tab/>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Heading1"/>
        <w:ind w:hanging="0" w:start="0"/>
        <w:rPr>
          <w:b w:val="false"/>
        </w:rPr>
      </w:pPr>
      <w:r>
        <w:rPr/>
        <w:br/>
        <w:t>DEFINITIONS</w:t>
      </w:r>
    </w:p>
    <w:p>
      <w:pPr>
        <w:pStyle w:val="Normal"/>
        <w:widowControl/>
        <w:rPr>
          <w:b/>
        </w:rPr>
      </w:pPr>
      <w:r>
        <w:rPr>
          <w:b/>
        </w:rPr>
      </w:r>
    </w:p>
    <w:p>
      <w:pPr>
        <w:pStyle w:val="Heading2"/>
        <w:ind w:hanging="0" w:start="0"/>
        <w:rPr/>
      </w:pP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w:t>
      </w:r>
    </w:p>
    <w:p>
      <w:pPr>
        <w:pStyle w:val="Normal"/>
        <w:widowControl/>
        <w:tabs>
          <w:tab w:val="clear" w:pos="720"/>
          <w:tab w:val="left" w:pos="1440" w:leader="none"/>
        </w:tabs>
        <w:rPr/>
      </w:pPr>
      <w:r>
        <w:rPr/>
      </w:r>
    </w:p>
    <w:p>
      <w:pPr>
        <w:pStyle w:val="Heading1"/>
        <w:ind w:hanging="0" w:start="0"/>
        <w:rPr/>
      </w:pPr>
      <w:r>
        <w:rPr/>
        <w:br/>
        <w:t>FORMATION</w:t>
      </w:r>
    </w:p>
    <w:p>
      <w:pPr>
        <w:pStyle w:val="Normal"/>
        <w:widowControl/>
        <w:tabs>
          <w:tab w:val="clear" w:pos="720"/>
          <w:tab w:val="left" w:pos="1440" w:leader="none"/>
        </w:tabs>
        <w:rPr/>
      </w:pPr>
      <w:r>
        <w:rPr/>
      </w:r>
    </w:p>
    <w:p>
      <w:pPr>
        <w:pStyle w:val="Heading2"/>
        <w:ind w:hanging="0" w:start="0"/>
        <w:rPr/>
      </w:pPr>
      <w:r>
        <w:rPr>
          <w:u w:val="single"/>
        </w:rPr>
        <w:t>Formation; Term</w:t>
      </w:r>
      <w:r>
        <w:rPr/>
        <w:t>.  The Company was formed as Salmon Energy LLC on March 8, 2001 pursuant to the Delaware Limited Liability Company Act, 6 Del. 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tabs>
          <w:tab w:val="clear" w:pos="720"/>
          <w:tab w:val="left" w:pos="1440" w:leader="none"/>
        </w:tabs>
        <w:rPr/>
      </w:pPr>
      <w:r>
        <w:rPr/>
      </w:r>
    </w:p>
    <w:p>
      <w:pPr>
        <w:pStyle w:val="Normal"/>
        <w:widowControl/>
        <w:tabs>
          <w:tab w:val="left" w:pos="720" w:leader="none"/>
          <w:tab w:val="left" w:pos="1440" w:leader="none"/>
        </w:tabs>
        <w:jc w:val="both"/>
        <w:rPr/>
      </w:pPr>
      <w:r>
        <w:rPr/>
        <w:tab/>
        <w:t>The term of the Company commenced on March 8, 2001 and shall continue until the Company is dissolved in accordance with the Act.  This Agreement amends, restates and completely supersedes the Prior Agreement.</w:t>
      </w:r>
    </w:p>
    <w:p>
      <w:pPr>
        <w:pStyle w:val="Normal"/>
        <w:widowControl/>
        <w:tabs>
          <w:tab w:val="clear" w:pos="720"/>
          <w:tab w:val="left" w:pos="1440" w:leader="none"/>
        </w:tabs>
        <w:rPr/>
      </w:pPr>
      <w:r>
        <w:rPr/>
      </w:r>
    </w:p>
    <w:p>
      <w:pPr>
        <w:pStyle w:val="Heading2"/>
        <w:ind w:hanging="0" w:start="0"/>
        <w:rPr/>
      </w:pP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tabs>
          <w:tab w:val="clear" w:pos="720"/>
          <w:tab w:val="left" w:pos="1440" w:leader="none"/>
        </w:tabs>
        <w:rPr>
          <w:u w:val="single"/>
        </w:rPr>
      </w:pPr>
      <w:r>
        <w:rPr>
          <w:u w:val="single"/>
        </w:rPr>
      </w:r>
    </w:p>
    <w:p>
      <w:pPr>
        <w:pStyle w:val="Heading2"/>
        <w:ind w:hanging="0" w:start="0"/>
        <w:rPr/>
      </w:pPr>
      <w:r>
        <w:rPr>
          <w:u w:val="single"/>
        </w:rPr>
        <w:t>Name</w:t>
      </w:r>
      <w:r>
        <w:rPr/>
        <w:t>.  The name of the Company is Salmon Energy LLC, and all business of the Company shall be conducted in such name or in any other name or names that are selected by the Board.</w:t>
      </w:r>
    </w:p>
    <w:p>
      <w:pPr>
        <w:pStyle w:val="Normal"/>
        <w:widowControl/>
        <w:tabs>
          <w:tab w:val="clear" w:pos="720"/>
          <w:tab w:val="left" w:pos="1440" w:leader="none"/>
        </w:tabs>
        <w:rPr/>
      </w:pPr>
      <w:r>
        <w:rPr/>
      </w:r>
    </w:p>
    <w:p>
      <w:pPr>
        <w:pStyle w:val="Heading2"/>
        <w:ind w:hanging="0" w:start="0"/>
        <w:rPr/>
      </w:pP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tabs>
          <w:tab w:val="clear" w:pos="720"/>
          <w:tab w:val="left" w:pos="1440" w:leader="none"/>
        </w:tabs>
        <w:rPr/>
      </w:pPr>
      <w:r>
        <w:rPr/>
      </w:r>
    </w:p>
    <w:p>
      <w:pPr>
        <w:pStyle w:val="Heading2"/>
        <w:ind w:hanging="0" w:start="0"/>
        <w:rPr/>
      </w:pPr>
      <w:r>
        <w:rPr>
          <w:u w:val="single"/>
        </w:rPr>
        <w:t>Effective Date</w:t>
      </w:r>
      <w:r>
        <w:rPr/>
        <w:t>.  This Agreement shall become effective as of May ____, 2001; however, the authority of the Board and the Members under the governance provisions of this Agreement shall not take effect until the closing of the “Transaction” occurs under the Letter Agreement.</w:t>
      </w:r>
    </w:p>
    <w:p>
      <w:pPr>
        <w:pStyle w:val="Normal"/>
        <w:widowControl/>
        <w:tabs>
          <w:tab w:val="clear" w:pos="720"/>
          <w:tab w:val="left" w:pos="1440" w:leader="none"/>
        </w:tabs>
        <w:rPr/>
      </w:pPr>
      <w:r>
        <w:rPr/>
      </w:r>
    </w:p>
    <w:p>
      <w:pPr>
        <w:pStyle w:val="Heading1"/>
        <w:ind w:hanging="0" w:start="0"/>
        <w:rPr>
          <w:b w:val="false"/>
        </w:rPr>
      </w:pPr>
      <w:r>
        <w:rPr>
          <w:b w:val="false"/>
        </w:rPr>
        <w:br/>
        <w:t>REPRESENTATIONS AND WARRANTIES</w:t>
      </w:r>
    </w:p>
    <w:p>
      <w:pPr>
        <w:pStyle w:val="Normal"/>
        <w:widowControl/>
        <w:tabs>
          <w:tab w:val="clear" w:pos="720"/>
          <w:tab w:val="left" w:pos="1440" w:leader="none"/>
        </w:tabs>
        <w:rPr>
          <w:b/>
        </w:rPr>
      </w:pPr>
      <w:r>
        <w:rPr>
          <w:b/>
        </w:rPr>
      </w:r>
    </w:p>
    <w:p>
      <w:pPr>
        <w:pStyle w:val="Heading2"/>
        <w:ind w:hanging="0" w:start="0"/>
        <w:rPr/>
      </w:pPr>
      <w:r>
        <w:rPr>
          <w:u w:val="single"/>
        </w:rPr>
        <w:t>Representations and Warranties of ENA</w:t>
      </w:r>
      <w:r>
        <w:rPr/>
        <w:t>.  In order to induce PPL to enter into this Agreement, ENA represents, warrants, covenants and agrees with PPL as follows.  Such representations, warranties, covenants and  agreements are made as of the date of this Agreement and shall survive the consummation of the transactions contemplated hereby until the Company is terminated.</w:t>
      </w:r>
    </w:p>
    <w:p>
      <w:pPr>
        <w:pStyle w:val="Normal"/>
        <w:widowControl/>
        <w:tabs>
          <w:tab w:val="clear" w:pos="720"/>
          <w:tab w:val="left" w:pos="1440" w:leader="none"/>
        </w:tabs>
        <w:rPr/>
      </w:pPr>
      <w:r>
        <w:rPr/>
      </w:r>
    </w:p>
    <w:p>
      <w:pPr>
        <w:pStyle w:val="Heading3"/>
        <w:ind w:hanging="0" w:start="0"/>
        <w:rPr/>
      </w:pPr>
      <w:r>
        <w:rPr>
          <w:u w:val="single"/>
        </w:rPr>
        <w:t>Corporate Organization; Etc</w:t>
      </w:r>
      <w:r>
        <w:rPr/>
        <w:t>.  ENA is a corporation duly organized, validly existing and in good standing under the laws of the State of Delaware.</w:t>
      </w:r>
    </w:p>
    <w:p>
      <w:pPr>
        <w:pStyle w:val="Normal"/>
        <w:widowControl/>
        <w:tabs>
          <w:tab w:val="clear" w:pos="720"/>
          <w:tab w:val="left" w:pos="1440" w:leader="none"/>
        </w:tabs>
        <w:rPr/>
      </w:pPr>
      <w:r>
        <w:rPr/>
      </w:r>
    </w:p>
    <w:p>
      <w:pPr>
        <w:pStyle w:val="Heading3"/>
        <w:ind w:hanging="0" w:start="0"/>
        <w:rPr/>
      </w:pP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1440" w:leader="none"/>
        </w:tabs>
        <w:rPr/>
      </w:pPr>
      <w:r>
        <w:rPr/>
      </w:r>
    </w:p>
    <w:p>
      <w:pPr>
        <w:pStyle w:val="Heading3"/>
        <w:ind w:hanging="0" w:start="0"/>
        <w:rPr/>
      </w:pP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tabs>
          <w:tab w:val="clear" w:pos="720"/>
          <w:tab w:val="left" w:pos="1440" w:leader="none"/>
        </w:tabs>
        <w:rPr/>
      </w:pPr>
      <w:r>
        <w:rPr/>
      </w:r>
    </w:p>
    <w:p>
      <w:pPr>
        <w:pStyle w:val="Heading3"/>
        <w:ind w:hanging="0" w:start="0"/>
        <w:rPr/>
      </w:pP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clear" w:pos="720"/>
          <w:tab w:val="left" w:pos="1440" w:leader="none"/>
        </w:tabs>
        <w:rPr/>
      </w:pPr>
      <w:r>
        <w:rPr/>
      </w:r>
    </w:p>
    <w:p>
      <w:pPr>
        <w:pStyle w:val="Heading3"/>
        <w:ind w:hanging="0" w:start="0"/>
        <w:rPr/>
      </w:pPr>
      <w:r>
        <w:rPr>
          <w:u w:val="single"/>
        </w:rPr>
        <w:t>Right to Purchase Turbine</w:t>
      </w:r>
      <w:r>
        <w:rPr/>
        <w:t>.  The Company has acquired rights and obligations associated with the purchase of four LM6000 enhanced SPRINT combustion turbine generator sets (the “</w:t>
      </w:r>
      <w:r>
        <w:rPr>
          <w:u w:val="single"/>
        </w:rPr>
        <w:t>GE Equipment</w:t>
      </w:r>
      <w:r>
        <w:rPr/>
        <w:t>”) from GE.</w:t>
      </w:r>
    </w:p>
    <w:p>
      <w:pPr>
        <w:pStyle w:val="Normal"/>
        <w:widowControl/>
        <w:tabs>
          <w:tab w:val="clear" w:pos="720"/>
          <w:tab w:val="left" w:pos="1440" w:leader="none"/>
        </w:tabs>
        <w:rPr/>
      </w:pPr>
      <w:r>
        <w:rPr/>
      </w:r>
    </w:p>
    <w:p>
      <w:pPr>
        <w:pStyle w:val="Heading2"/>
        <w:ind w:hanging="0" w:start="0"/>
        <w:rPr/>
      </w:pPr>
      <w:r>
        <w:rPr>
          <w:u w:val="single"/>
        </w:rPr>
        <w:t>Representations and Warranties of PPL</w:t>
      </w:r>
      <w:r>
        <w:rPr/>
        <w:t>.  In order to induce ENA to enter into this Agreement, PPL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tabs>
          <w:tab w:val="clear" w:pos="720"/>
          <w:tab w:val="left" w:pos="1440" w:leader="none"/>
        </w:tabs>
        <w:rPr/>
      </w:pPr>
      <w:r>
        <w:rPr/>
      </w:r>
    </w:p>
    <w:p>
      <w:pPr>
        <w:pStyle w:val="Heading3"/>
        <w:ind w:hanging="0" w:start="0"/>
        <w:rPr/>
      </w:pPr>
      <w:r>
        <w:rPr>
          <w:u w:val="single"/>
        </w:rPr>
        <w:t>Corporate Organization; Etc</w:t>
      </w:r>
      <w:r>
        <w:rPr/>
        <w:t>.  PPL is a limited liability company duly organized, validly existing and in good standing under the laws of the State of Delaware.</w:t>
      </w:r>
    </w:p>
    <w:p>
      <w:pPr>
        <w:pStyle w:val="Normal"/>
        <w:widowControl/>
        <w:tabs>
          <w:tab w:val="clear" w:pos="720"/>
          <w:tab w:val="left" w:pos="1440" w:leader="none"/>
        </w:tabs>
        <w:rPr/>
      </w:pPr>
      <w:r>
        <w:rPr/>
      </w:r>
    </w:p>
    <w:p>
      <w:pPr>
        <w:pStyle w:val="Heading3"/>
        <w:ind w:hanging="0" w:start="0"/>
        <w:rPr/>
      </w:pPr>
      <w:r>
        <w:rPr>
          <w:u w:val="single"/>
        </w:rPr>
        <w:t>Authorization, Etc</w:t>
      </w:r>
      <w:r>
        <w:rPr/>
        <w:t>.  PPL has full power and authority to enter into and perform this Agreement.  The Board of Managers of PPL has taken all actions required by law, PPL’s Certificate of Formation, its Limited Liability Company Agreement or otherwise to be taken to authorize the execution, delivery and performance of this Agreement by PPL, and this Agreement has been duly executed and delivered by PPL and constitutes the legal, valid and binding agreement of PPL,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1440" w:leader="none"/>
        </w:tabs>
        <w:rPr/>
      </w:pPr>
      <w:r>
        <w:rPr/>
      </w:r>
    </w:p>
    <w:p>
      <w:pPr>
        <w:pStyle w:val="Heading3"/>
        <w:ind w:hanging="0" w:start="0"/>
        <w:rPr/>
      </w:pPr>
      <w:r>
        <w:rPr>
          <w:u w:val="single"/>
        </w:rPr>
        <w:t>No Violation</w:t>
      </w:r>
      <w:r>
        <w:rPr/>
        <w:t>.  Neither the execution, delivery or performance of this Agreement by PPL will violate any provision of the Certificate of Formation or Limited Liability Company Agreement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clear" w:pos="720"/>
          <w:tab w:val="left" w:pos="1440" w:leader="none"/>
        </w:tabs>
        <w:rPr/>
      </w:pPr>
      <w:r>
        <w:rPr/>
      </w:r>
    </w:p>
    <w:p>
      <w:pPr>
        <w:pStyle w:val="Heading3"/>
        <w:ind w:hanging="0" w:start="0"/>
        <w:rPr/>
      </w:pP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clear" w:pos="720"/>
          <w:tab w:val="left" w:pos="1440" w:leader="none"/>
        </w:tabs>
        <w:rPr/>
      </w:pPr>
      <w:r>
        <w:rPr/>
      </w:r>
    </w:p>
    <w:p>
      <w:pPr>
        <w:pStyle w:val="Heading1"/>
        <w:ind w:hanging="0" w:start="0"/>
        <w:rPr/>
      </w:pPr>
      <w:r>
        <w:rPr/>
        <w:br/>
        <w:t>MANAGEMENT AND RELATED MATTERS</w:t>
      </w:r>
    </w:p>
    <w:p>
      <w:pPr>
        <w:pStyle w:val="Normal"/>
        <w:widowControl/>
        <w:tabs>
          <w:tab w:val="clear" w:pos="720"/>
          <w:tab w:val="left" w:pos="1440" w:leader="none"/>
        </w:tabs>
        <w:rPr/>
      </w:pPr>
      <w:r>
        <w:rPr/>
      </w:r>
    </w:p>
    <w:p>
      <w:pPr>
        <w:pStyle w:val="Heading2"/>
        <w:ind w:hanging="0" w:start="0"/>
        <w:rPr/>
      </w:pPr>
      <w:r>
        <w:rPr>
          <w:u w:val="single"/>
        </w:rPr>
        <w:t>Management</w:t>
      </w:r>
      <w:r>
        <w:rPr/>
        <w:t xml:space="preserve">. </w:t>
      </w:r>
      <w:r>
        <w:fldChar w:fldCharType="begin"/>
      </w:r>
      <w:r>
        <w:rPr/>
        <w:instrText xml:space="preserve"> LISTNUM  \l4 </w:instrText>
      </w:r>
      <w:r>
        <w:rPr/>
      </w:r>
      <w:r>
        <w:rPr/>
        <w:fldChar w:fldCharType="separate"/>
      </w:r>
      <w:r>
        <w:rPr/>
      </w:r>
      <w:r>
        <w:rPr/>
      </w:r>
      <w:r>
        <w:rPr/>
        <w:fldChar w:fldCharType="end"/>
      </w:r>
      <w:r>
        <w:rPr/>
        <w:t xml:space="preserve">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PPL , and one (1) of whom shall be designated by ENA.  Each such individual will have one vote on any matter to be acted upon by the Board.  Members of the Board are sometimes referred to herein as “</w:t>
      </w:r>
      <w:r>
        <w:rPr>
          <w:u w:val="single"/>
        </w:rPr>
        <w:t>Directors</w:t>
      </w:r>
      <w:r>
        <w:rPr/>
        <w:t>.”</w:t>
      </w:r>
    </w:p>
    <w:p>
      <w:pPr>
        <w:pStyle w:val="Heading5"/>
        <w:ind w:hanging="0" w:start="0"/>
        <w:rPr/>
      </w:pPr>
      <w:r>
        <w:rPr/>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Heading5"/>
        <w:ind w:hanging="0" w:start="0"/>
        <w:rPr/>
      </w:pPr>
      <w:r>
        <w:rPr/>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rPr/>
      </w:pPr>
      <w:r>
        <w:rPr/>
      </w:r>
    </w:p>
    <w:p>
      <w:pPr>
        <w:pStyle w:val="Normal"/>
        <w:widowControl/>
        <w:tabs>
          <w:tab w:val="clear" w:pos="720"/>
          <w:tab w:val="left" w:pos="1440" w:leader="none"/>
        </w:tabs>
        <w:jc w:val="both"/>
        <w:rPr/>
      </w:pPr>
      <w:r>
        <w:rPr/>
        <w:tab/>
        <w:t>(b)</w:t>
        <w:tab/>
        <w:t>The initial Directors designated by PPL are Dean Vanech, Kenneth Ross, and Richard Vicens, and the initial Director designated by ENA is Jacob S. Thomas.</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(d)</w:t>
        <w:tab/>
        <w:t>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(f)</w:t>
        <w:tab/>
        <w:t>Notwithstanding anything herein to the contrary, ENA shall have the right, but not the obligation, to negotiate, on behalf of the Company, an acceleration of the payment schedule set forth in the Turbine Contract.  The Members shall cause the Company to execute  any amendment to the Turbine Contract required in order to document any such acceleration of the payment schedule negotiated by ENA on behalf of the Company; provided, that the sole effect of any such amendment shall be to accelerate the payment schedule set forth in the Turbine Contract (other than acceleration of the schedule for payment of the retainage amount provided for therein) and/or reduce the amounts payable to GE on account of the purchase amount pursuant to said payment schedule; it being understood that any amendment to the Turbine Contract negotiated by ENA on behalf of the Company that has any effect other than or in addition to accelerating the payment schedule and/or reducing amounts payable to GE on account of the purchase amount shall require the express written consent of PPL, which consent may be given or withheld in the sole discretion of PPL.   ENA shall have the authority to execute on behalf of the Company an instrument granting a power of attorney to ENA for purposes of executing any such amendment to the Turbine Contract in accordance with the foregoing provisions.</w:t>
      </w:r>
    </w:p>
    <w:p>
      <w:pPr>
        <w:pStyle w:val="Normal"/>
        <w:widowControl/>
        <w:tabs>
          <w:tab w:val="clear" w:pos="720"/>
          <w:tab w:val="left" w:pos="1440" w:leader="none"/>
        </w:tabs>
        <w:rPr>
          <w:u w:val="single"/>
        </w:rPr>
      </w:pPr>
      <w:r>
        <w:rPr>
          <w:u w:val="single"/>
        </w:rPr>
      </w:r>
    </w:p>
    <w:p>
      <w:pPr>
        <w:pStyle w:val="Heading2"/>
        <w:ind w:hanging="0" w:start="0"/>
        <w:rPr/>
      </w:pP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Heading4"/>
        <w:ind w:hanging="0" w:start="0"/>
        <w:rPr/>
      </w:pPr>
      <w:r>
        <w:rPr/>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Heading4"/>
        <w:ind w:hanging="0" w:start="0"/>
        <w:rPr/>
      </w:pPr>
      <w:r>
        <w:rPr/>
        <w:t>the dissolution or the winding up of the Company’s affairs;</w:t>
      </w:r>
    </w:p>
    <w:p>
      <w:pPr>
        <w:pStyle w:val="Heading4"/>
        <w:ind w:hanging="0" w:start="0"/>
        <w:rPr/>
      </w:pPr>
      <w:r>
        <w:rPr/>
        <w:t>the approval of any additional Capital Contributions to the Company; or</w:t>
      </w:r>
    </w:p>
    <w:p>
      <w:pPr>
        <w:pStyle w:val="Heading4"/>
        <w:ind w:hanging="0" w:start="0"/>
        <w:rPr/>
      </w:pPr>
      <w:r>
        <w:rPr/>
        <w:t>the approval of any amendments, modifications or supplements to this Agreement.</w:t>
      </w:r>
    </w:p>
    <w:p>
      <w:pPr>
        <w:pStyle w:val="Normal"/>
        <w:widowControl/>
        <w:tabs>
          <w:tab w:val="clear" w:pos="720"/>
          <w:tab w:val="left" w:pos="1440" w:leader="none"/>
        </w:tabs>
        <w:rPr/>
      </w:pPr>
      <w:r>
        <w:rPr/>
      </w:r>
    </w:p>
    <w:p>
      <w:pPr>
        <w:pStyle w:val="Normal"/>
        <w:widowControl/>
        <w:tabs>
          <w:tab w:val="clear" w:pos="720"/>
          <w:tab w:val="left" w:pos="1440" w:leader="none"/>
        </w:tabs>
        <w:rPr/>
      </w:pPr>
      <w:r>
        <w:rPr/>
        <w:t>Each Member may in its sole discretion approve or decline to approve any of these matters, and such decision is not subject to dispute.</w:t>
      </w:r>
    </w:p>
    <w:p>
      <w:pPr>
        <w:pStyle w:val="Normal"/>
        <w:widowControl/>
        <w:tabs>
          <w:tab w:val="clear" w:pos="720"/>
          <w:tab w:val="left" w:pos="1440" w:leader="none"/>
        </w:tabs>
        <w:rPr/>
      </w:pPr>
      <w:r>
        <w:rPr/>
      </w:r>
    </w:p>
    <w:p>
      <w:pPr>
        <w:pStyle w:val="Heading2"/>
        <w:ind w:hanging="0" w:start="0"/>
        <w:rPr/>
      </w:pP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rPr/>
      </w:pPr>
      <w:r>
        <w:rPr/>
      </w:r>
    </w:p>
    <w:p>
      <w:pPr>
        <w:pStyle w:val="Heading2"/>
        <w:ind w:hanging="0" w:start="0"/>
        <w:rPr/>
      </w:pP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rPr/>
      </w:pPr>
      <w:r>
        <w:rPr/>
      </w:r>
    </w:p>
    <w:p>
      <w:pPr>
        <w:pStyle w:val="Heading2"/>
        <w:ind w:hanging="0" w:start="0"/>
        <w:rPr/>
      </w:pPr>
      <w:r>
        <w:rPr>
          <w:u w:val="single"/>
        </w:rPr>
        <w:t>Meetings of Members</w:t>
      </w:r>
      <w:r>
        <w:rPr/>
        <w:t>.  Each Member may call, at such reasonable times and places as it determines to be appropriate, meetings of the Members to discuss matters relating to the Company.</w:t>
      </w:r>
    </w:p>
    <w:p>
      <w:pPr>
        <w:pStyle w:val="Normal"/>
        <w:rPr/>
      </w:pPr>
      <w:r>
        <w:rPr/>
      </w:r>
    </w:p>
    <w:p>
      <w:pPr>
        <w:pStyle w:val="Heading2"/>
        <w:ind w:hanging="0" w:start="0"/>
        <w:rPr/>
      </w:pPr>
      <w:r>
        <w:rPr>
          <w:u w:val="single"/>
        </w:rPr>
        <w:t>Indemnification of Management</w:t>
      </w:r>
      <w:r>
        <w:rPr/>
        <w:t>.  To the fullest extent permitted by the Act:</w:t>
      </w:r>
    </w:p>
    <w:p>
      <w:pPr>
        <w:pStyle w:val="Heading4"/>
        <w:ind w:hanging="0" w:start="0"/>
        <w:rPr/>
      </w:pPr>
      <w:r>
        <w:rPr/>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Heading4"/>
        <w:ind w:hanging="0" w:start="0"/>
        <w:rPr/>
      </w:pPr>
      <w:r>
        <w:rPr/>
        <w:t>The Company shall pay expenses as they are incurred by any Director or Officer 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Heading4"/>
        <w:ind w:hanging="0" w:start="0"/>
        <w:rPr/>
      </w:pPr>
      <w:r>
        <w:rPr/>
        <w:t>The indemnification to be provided by the Company hereunder shall be paid only from the assets of the Company, and no Member shall have any personal obligation, or any obligation to make any Capital Contribution, with respect thereto.</w:t>
      </w:r>
    </w:p>
    <w:p>
      <w:pPr>
        <w:pStyle w:val="Normal"/>
        <w:rPr/>
      </w:pPr>
      <w:r>
        <w:rPr/>
      </w:r>
    </w:p>
    <w:p>
      <w:pPr>
        <w:pStyle w:val="Heading2"/>
        <w:ind w:hanging="0" w:start="0"/>
        <w:rPr/>
      </w:pPr>
      <w:r>
        <w:rPr>
          <w:u w:val="single"/>
        </w:rPr>
        <w:t>Records; Quarterly Reports</w:t>
      </w:r>
      <w:r>
        <w:rPr/>
        <w:t>.  The Board shall cause the Company to maintain complete and accurate books and records. The Company’s books of account shall be maintained on an accrual basis, showing all receipts and expenditures, assets and liabilities, income, gain, expenses and loss, and all other records necessary for recording the Company’s business and affairs, all in accordance with GAAP, consistently applied and as required by this Agreement.  Each Member will have complete access to, and the right to inspect and audit, the books and records of the Company.</w:t>
      </w:r>
    </w:p>
    <w:p>
      <w:pPr>
        <w:pStyle w:val="Normal"/>
        <w:widowControl/>
        <w:tabs>
          <w:tab w:val="clear" w:pos="720"/>
          <w:tab w:val="left" w:pos="1440" w:leader="none"/>
        </w:tabs>
        <w:rPr>
          <w:u w:val="single"/>
        </w:rPr>
      </w:pPr>
      <w:r>
        <w:rPr>
          <w:u w:val="single"/>
        </w:rPr>
      </w:r>
    </w:p>
    <w:p>
      <w:pPr>
        <w:pStyle w:val="Heading2"/>
        <w:ind w:hanging="0" w:start="0"/>
        <w:rPr/>
      </w:pP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tabs>
          <w:tab w:val="clear" w:pos="720"/>
          <w:tab w:val="left" w:pos="1440" w:leader="none"/>
        </w:tabs>
        <w:rPr>
          <w:u w:val="single"/>
        </w:rPr>
      </w:pPr>
      <w:r>
        <w:rPr>
          <w:u w:val="single"/>
        </w:rPr>
      </w:r>
    </w:p>
    <w:p>
      <w:pPr>
        <w:pStyle w:val="Heading2"/>
        <w:ind w:hanging="0" w:start="0"/>
        <w:rPr/>
      </w:pP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rPr/>
      </w:pPr>
      <w:r>
        <w:rPr/>
      </w:r>
    </w:p>
    <w:p>
      <w:pPr>
        <w:pStyle w:val="Heading1"/>
        <w:ind w:hanging="0" w:start="0"/>
        <w:rPr/>
      </w:pPr>
      <w:r>
        <w:rPr/>
        <w:br/>
        <w:t>FINANCIAL MATTERS</w:t>
      </w:r>
    </w:p>
    <w:p>
      <w:pPr>
        <w:pStyle w:val="Normal"/>
        <w:widowControl/>
        <w:tabs>
          <w:tab w:val="clear" w:pos="720"/>
          <w:tab w:val="left" w:pos="1440" w:leader="none"/>
        </w:tabs>
        <w:rPr>
          <w:u w:val="single"/>
        </w:rPr>
      </w:pPr>
      <w:r>
        <w:rPr>
          <w:u w:val="single"/>
        </w:rPr>
      </w:r>
    </w:p>
    <w:p>
      <w:pPr>
        <w:pStyle w:val="Heading2"/>
        <w:ind w:hanging="0" w:start="0"/>
        <w:rPr/>
      </w:pPr>
      <w:r>
        <w:rPr>
          <w:u w:val="single"/>
        </w:rPr>
        <w:t>Capital Contributions</w:t>
      </w:r>
      <w:r>
        <w:rPr/>
        <w:t>.   Prior to the execution of this Agreement, ENA contributed cash in the amount of Two Hundred and No/100 Dollars ($200.00) to the capital of the Company.  Simultaneously with the execution of this Agreement, PPL has contributed cash in the amount of Eight Hundred and No/100 Dollars ($800.00) to the capital of the Company.  The Members acknowledge that ENA owns a 20% membership interest in the Company and PPL owns an 80% membership interest in the Company (each such membership interest being referred to herein as the Member’s “</w:t>
      </w:r>
      <w:r>
        <w:rPr>
          <w:u w:val="single"/>
        </w:rPr>
        <w:t>Percentage Interest</w:t>
      </w:r>
      <w:r>
        <w:rPr/>
        <w:t>”), and that except for the capital contributed as described in this Section 5.1, no Member has transferred any property to the Company in exchange for membership interests in the Company.</w:t>
      </w:r>
    </w:p>
    <w:p>
      <w:pPr>
        <w:pStyle w:val="Normal"/>
        <w:rPr/>
      </w:pPr>
      <w:r>
        <w:rPr/>
      </w:r>
    </w:p>
    <w:p>
      <w:pPr>
        <w:pStyle w:val="Heading2"/>
        <w:ind w:hanging="0" w:start="0"/>
        <w:rPr/>
      </w:pPr>
      <w:r>
        <w:rPr>
          <w:u w:val="single"/>
        </w:rPr>
        <w:t>Distributions</w:t>
      </w:r>
      <w:r>
        <w:rPr/>
        <w:t>.</w:t>
      </w:r>
    </w:p>
    <w:p>
      <w:pPr>
        <w:pStyle w:val="Heading4"/>
        <w:ind w:hanging="0" w:start="0"/>
        <w:rPr/>
      </w:pPr>
      <w:r>
        <w:rPr>
          <w:u w:val="single"/>
        </w:rPr>
        <w:t>Distributions</w:t>
      </w:r>
      <w:r>
        <w:rPr/>
        <w:t>.  All Distributable Cash shall be deposited in the Escrow Account (as defined in the Letter Agreement) and distributed in accordance with Section 4 thereof.  To the extent that Distributable Cash is not subject to Section 4 or payments are no longer required under such section, then such Distributable Cash shall be distributed in the following order of priority:</w:t>
      </w:r>
    </w:p>
    <w:p>
      <w:pPr>
        <w:pStyle w:val="Heading5"/>
        <w:ind w:hanging="0" w:start="0"/>
        <w:rPr/>
      </w:pPr>
      <w:r>
        <w:rPr/>
        <w:t xml:space="preserve">first, to the Members so that on an aggregate basis, through the date of such distribution, ENA shall receive $200 and PPL shall receive $800; and </w:t>
      </w:r>
    </w:p>
    <w:p>
      <w:pPr>
        <w:pStyle w:val="Heading5"/>
        <w:ind w:hanging="0" w:start="0"/>
        <w:rPr/>
      </w:pPr>
      <w:r>
        <w:rPr/>
        <w:t>thereafter, to PPL or as otherwise agreed by the Board.</w:t>
      </w:r>
    </w:p>
    <w:p>
      <w:pPr>
        <w:pStyle w:val="Heading4"/>
        <w:ind w:hanging="0" w:start="0"/>
        <w:rPr/>
      </w:pP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Board determines that such withholding and/or payment is required by the Code or any other law, rule, or regulation, including, without limitation, Sections 1441, 1442, 1445, or 1446 of the Code.  </w:t>
      </w:r>
    </w:p>
    <w:p>
      <w:pPr>
        <w:pStyle w:val="Heading4"/>
        <w:ind w:hanging="0" w:start="0"/>
        <w:rPr/>
      </w:pPr>
      <w:r>
        <w:rPr>
          <w:u w:val="single"/>
        </w:rPr>
        <w:t>Restrictions on Distributions</w:t>
      </w:r>
      <w:r>
        <w:rPr/>
        <w:t>.  No distribution shall be made by the Company that is prohibited by Section 18</w:t>
        <w:noBreakHyphen/>
        <w:t>607 of the Act.</w:t>
      </w:r>
    </w:p>
    <w:p>
      <w:pPr>
        <w:pStyle w:val="Normal"/>
        <w:rPr/>
      </w:pPr>
      <w:r>
        <w:rPr/>
      </w:r>
    </w:p>
    <w:p>
      <w:pPr>
        <w:pStyle w:val="Heading1"/>
        <w:ind w:hanging="0" w:start="0"/>
        <w:rPr/>
      </w:pPr>
      <w:r>
        <w:rPr/>
        <w:br/>
        <w:t>MEMBERS; INTERESTS; INDEMNIFICATION</w:t>
      </w:r>
    </w:p>
    <w:p>
      <w:pPr>
        <w:pStyle w:val="Normal"/>
        <w:widowControl/>
        <w:tabs>
          <w:tab w:val="clear" w:pos="720"/>
          <w:tab w:val="left" w:pos="1440" w:leader="none"/>
        </w:tabs>
        <w:rPr>
          <w:u w:val="single"/>
        </w:rPr>
      </w:pPr>
      <w:r>
        <w:rPr>
          <w:u w:val="single"/>
        </w:rPr>
      </w:r>
    </w:p>
    <w:p>
      <w:pPr>
        <w:pStyle w:val="Heading2"/>
        <w:ind w:hanging="0" w:start="0"/>
        <w:rPr/>
      </w:pPr>
      <w:r>
        <w:rPr>
          <w:u w:val="single"/>
        </w:rPr>
        <w:t>Transfer of Interests</w:t>
      </w:r>
      <w:r>
        <w:rPr/>
        <w:t>.</w:t>
      </w:r>
    </w:p>
    <w:p>
      <w:pPr>
        <w:pStyle w:val="Heading4"/>
        <w:ind w:hanging="0" w:start="0"/>
        <w:rPr/>
      </w:pP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Heading4"/>
        <w:ind w:hanging="0" w:start="0"/>
        <w:rPr/>
      </w:pP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Heading4"/>
        <w:ind w:hanging="0" w:start="0"/>
        <w:rPr/>
      </w:pPr>
      <w:r>
        <w:rPr>
          <w:u w:val="single"/>
        </w:rPr>
        <w:t>Permitted Transfers</w:t>
      </w:r>
      <w:r>
        <w:rPr/>
        <w:t>.  A Member may Transfer all or any portion of its interest in the Company (a “</w:t>
      </w:r>
      <w:r>
        <w:rPr>
          <w:u w:val="single"/>
        </w:rPr>
        <w:t>Permitted Transfer</w:t>
      </w:r>
      <w:r>
        <w:rPr/>
        <w:t>”) if such Transfer:</w:t>
      </w:r>
    </w:p>
    <w:p>
      <w:pPr>
        <w:pStyle w:val="Heading5"/>
        <w:ind w:hanging="0" w:start="0"/>
        <w:rPr/>
      </w:pPr>
      <w:r>
        <w:rPr/>
        <w:t>is by ENA, pursuant to the Call Rights of PPL or the Put Rights of ENA;</w:t>
      </w:r>
    </w:p>
    <w:p>
      <w:pPr>
        <w:pStyle w:val="Heading5"/>
        <w:ind w:hanging="0" w:start="0"/>
        <w:rPr/>
      </w:pPr>
      <w:r>
        <w:rPr/>
        <w:t>is to an Affiliate of the transferring Member;</w:t>
      </w:r>
    </w:p>
    <w:p>
      <w:pPr>
        <w:pStyle w:val="Heading5"/>
        <w:ind w:hanging="0" w:start="0"/>
        <w:rPr/>
      </w:pPr>
      <w:r>
        <w:rPr/>
        <w:t>is completed after the other Member has been notified of the proposed Transfer and has provided a written and fully informed consent, which may or may not be granted in the sole discretion of the other Member;</w:t>
      </w:r>
    </w:p>
    <w:p>
      <w:pPr>
        <w:pStyle w:val="Heading5"/>
        <w:ind w:hanging="0" w:start="0"/>
        <w:rPr/>
      </w:pPr>
      <w:r>
        <w:rPr/>
        <w:t>is a collateral assignment by PPL to a third party lender providing financing to PPL for purposes of acquiring its interest in the Company in order to grant such lender a security interest in PPL’s membership interest; or</w:t>
      </w:r>
    </w:p>
    <w:p>
      <w:pPr>
        <w:pStyle w:val="Heading5"/>
        <w:ind w:hanging="0" w:start="0"/>
        <w:rPr/>
      </w:pPr>
      <w:r>
        <w:rPr/>
        <w:t>is by PPL pursuant to, or in lieu of, foreclosure by a third party lender providing financing to PPL, in which event the third party lender may freely transfer the interest to any other person or entity.</w:t>
      </w:r>
    </w:p>
    <w:p>
      <w:pPr>
        <w:pStyle w:val="Normal"/>
        <w:rPr/>
      </w:pPr>
      <w:r>
        <w:rPr/>
      </w:r>
    </w:p>
    <w:p>
      <w:pPr>
        <w:pStyle w:val="Normal"/>
        <w:widowControl/>
        <w:tabs>
          <w:tab w:val="clear" w:pos="720"/>
          <w:tab w:val="left" w:pos="1440" w:leader="none"/>
        </w:tabs>
        <w:rPr/>
      </w:pPr>
      <w:r>
        <w:rPr/>
        <w:t>Except as set forth herein, no Member shall have a duty of disclosure, sharing of opportunities, or any other similar duty in connection with its conduct of, or negotiations to conduct, a Permitted Transfer.</w:t>
      </w:r>
    </w:p>
    <w:p>
      <w:pPr>
        <w:pStyle w:val="Normal"/>
        <w:widowControl/>
        <w:tabs>
          <w:tab w:val="clear" w:pos="720"/>
          <w:tab w:val="left" w:pos="1440" w:leader="none"/>
        </w:tabs>
        <w:rPr/>
      </w:pPr>
      <w:r>
        <w:rPr/>
      </w:r>
    </w:p>
    <w:p>
      <w:pPr>
        <w:pStyle w:val="Heading2"/>
        <w:ind w:hanging="0" w:start="0"/>
        <w:rPr/>
      </w:pPr>
      <w:r>
        <w:rPr>
          <w:u w:val="single"/>
        </w:rPr>
        <w:t>Call and Put Arrangements</w:t>
      </w:r>
      <w:r>
        <w:rPr/>
        <w:t>.</w:t>
      </w:r>
    </w:p>
    <w:p>
      <w:pPr>
        <w:pStyle w:val="Heading4"/>
        <w:ind w:hanging="0" w:start="0"/>
        <w:rPr/>
      </w:pPr>
      <w:r>
        <w:rPr/>
        <w:t>Subject to compliance with applicable law, PPL shall have the right in its sole discretion to purchase the ENA Interest (the “</w:t>
      </w:r>
      <w:r>
        <w:rPr>
          <w:u w:val="single"/>
        </w:rPr>
        <w:t>Call Right</w:t>
      </w:r>
      <w:r>
        <w:rPr/>
        <w:t>”) at any time on or after the earliest of (i) the date on which the GE Equipment achieves Takeover, (ii) the breach of the Turbine Contract by any party thereto, and (iii) December 31, 2001.  Notwithstanding the foregoing but subject to compliance with applicable law, PPL may exercise its Call Right at any time, provided that, unless PPL waives such requirement, GE acknowledges and confirms to PPL that the transfer of the ENA Interest pursuant to such exercise will not prejudice the Company’s rights under the Turbine Contract.  The price to be paid by PPL for the ENA Interest at the Call Closing following exercise of the Call Right by PPL shall be Two Hundred and No/100 Dollars ($200.00) (the “</w:t>
      </w:r>
      <w:r>
        <w:rPr>
          <w:u w:val="single"/>
        </w:rPr>
        <w:t>Call Price</w:t>
      </w:r>
      <w:r>
        <w:rPr/>
        <w:t>”).</w:t>
      </w:r>
    </w:p>
    <w:p>
      <w:pPr>
        <w:pStyle w:val="Heading4"/>
        <w:ind w:hanging="0" w:start="0"/>
        <w:rPr/>
      </w:pPr>
      <w:r>
        <w:rPr/>
        <w:t>PPL may exercise its Call Right by delivering no less than five (5) Business Days prior written notice to ENA in accordance with this Agreement.  If PPL exercises the Call Right, then PPL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PPL to revoke its exercise of the Call Right at any time, which revocation shall not limit PPL’s right to exercise the Call Right again.  At the Call Closing, PPL shall pay to ENA the Call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Heading4"/>
        <w:ind w:hanging="0" w:start="0"/>
        <w:rPr/>
      </w:pPr>
      <w:r>
        <w:rPr/>
        <w:t>Subject to compliance with applicable law, ENA shall have the right in its sole discretion to require PPL to purchase the ENA Interest (the “</w:t>
      </w:r>
      <w:r>
        <w:rPr>
          <w:u w:val="single"/>
        </w:rPr>
        <w:t>Put Right</w:t>
      </w:r>
      <w:r>
        <w:rPr/>
        <w:t>”) at any time on or after the earlier of (i) the date on which the GE Equipment achieves Takeover, and (ii) December 31, 2001.  Notwithstanding the foregoing but subject to compliance with applicable law, ENA may exercise its Put Right at any time, provided that, unless PPL waives such requirement, GE acknowledges and confirms to PPL that the transfer of the ENA Interest pursuant to such exercise will not prejudice the Company’s rights under the Turbine Contract.  The price to be paid by PPL for the ENA Interest at the Put Closing following exercise of the Put Right by ENA shall be Two Hundred and No/100 Dollars ($200.00) (the “</w:t>
      </w:r>
      <w:r>
        <w:rPr>
          <w:u w:val="single"/>
        </w:rPr>
        <w:t>Put Price</w:t>
      </w:r>
      <w:r>
        <w:rPr/>
        <w:t>”).</w:t>
      </w:r>
    </w:p>
    <w:p>
      <w:pPr>
        <w:pStyle w:val="Heading4"/>
        <w:ind w:hanging="0" w:start="0"/>
        <w:rPr/>
      </w:pPr>
      <w:r>
        <w:rPr/>
        <w:t>ENA may exercise its Put Right by delivering no less than five (5) Business Days prior written notice to PPL in accordance with this Agreement.  If ENA exercises the Put Right, then PPL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PPL shall pay to ENA the Put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Heading4"/>
        <w:ind w:hanging="0" w:start="0"/>
        <w:rPr/>
      </w:pPr>
      <w:r>
        <w:rPr/>
        <w:t>At the Call Closing or Put Closing, ENA will (1) deliver to PPL all certificates, if any, representing the ENA Interest and an assignment of the ENA Interest to PPL (in form reasonably acceptable to PPL) duly executed by ENA and any other then owner of the ENA Interest, and (2) represent and warrant to PPL that upon the delivery of the assignment of the ENA Interest to PPL as contemplated by this Agreement and payment therefor as contemplated by this Agreement, PPL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PPL.</w:t>
      </w:r>
    </w:p>
    <w:p>
      <w:pPr>
        <w:pStyle w:val="Normal"/>
        <w:rPr/>
      </w:pPr>
      <w:r>
        <w:rPr/>
      </w:r>
    </w:p>
    <w:p>
      <w:pPr>
        <w:pStyle w:val="Heading2"/>
        <w:ind w:hanging="0" w:start="0"/>
        <w:rPr/>
      </w:pPr>
      <w:r>
        <w:rPr>
          <w:u w:val="single"/>
        </w:rPr>
        <w:t>Actions Upon Transfers</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rPr/>
      </w:pPr>
      <w:r>
        <w:rPr/>
      </w:r>
    </w:p>
    <w:p>
      <w:pPr>
        <w:pStyle w:val="Heading2"/>
        <w:ind w:hanging="0" w:start="0"/>
        <w:rPr/>
      </w:pPr>
      <w:r>
        <w:rPr>
          <w:u w:val="single"/>
        </w:rPr>
        <w:t>Limited Liability; Indemnification of Members</w:t>
      </w:r>
      <w:r>
        <w:rPr/>
        <w:t>.</w:t>
      </w:r>
    </w:p>
    <w:p>
      <w:pPr>
        <w:pStyle w:val="Heading4"/>
        <w:ind w:hanging="0" w:start="0"/>
        <w:rPr/>
      </w:pPr>
      <w:r>
        <w:rPr/>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Heading4"/>
        <w:ind w:hanging="0" w:start="0"/>
        <w:rPr/>
      </w:pPr>
      <w:r>
        <w:rPr/>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rPr/>
      </w:pPr>
      <w:r>
        <w:rPr/>
      </w:r>
    </w:p>
    <w:p>
      <w:pPr>
        <w:pStyle w:val="Heading2"/>
        <w:ind w:hanging="0" w:start="0"/>
        <w:rPr/>
      </w:pP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rPr/>
      </w:pPr>
      <w:r>
        <w:rPr/>
      </w:r>
    </w:p>
    <w:p>
      <w:pPr>
        <w:pStyle w:val="Normal"/>
        <w:widowControl/>
        <w:tabs>
          <w:tab w:val="clear" w:pos="720"/>
          <w:tab w:val="left" w:pos="1440" w:leader="none"/>
        </w:tabs>
        <w:jc w:val="both"/>
        <w:rPr/>
      </w:pPr>
      <w:r>
        <w:rPr>
          <w:u w:val="single"/>
        </w:rPr>
        <w:t>TRANSFER RESTRICTIONS</w:t>
      </w:r>
      <w:r>
        <w:rPr/>
        <w:t>.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widowControl/>
        <w:tabs>
          <w:tab w:val="clear" w:pos="720"/>
          <w:tab w:val="left" w:pos="1440" w:leader="none"/>
        </w:tabs>
        <w:jc w:val="both"/>
        <w:rPr/>
      </w:pPr>
      <w:r>
        <w:rPr/>
      </w:r>
    </w:p>
    <w:p>
      <w:pPr>
        <w:pStyle w:val="Heading1"/>
        <w:ind w:hanging="0" w:start="0"/>
        <w:rPr/>
      </w:pPr>
      <w:r>
        <w:rPr/>
        <w:br/>
        <w:t>EVENTS OF DISSOLUTION;</w:t>
        <w:br/>
        <w:t>WITHDRAWAL; DISSOLUTION</w:t>
      </w:r>
    </w:p>
    <w:p>
      <w:pPr>
        <w:pStyle w:val="Normal"/>
        <w:rPr/>
      </w:pPr>
      <w:r>
        <w:rPr/>
      </w:r>
    </w:p>
    <w:p>
      <w:pPr>
        <w:pStyle w:val="Heading2"/>
        <w:ind w:hanging="0" w:start="0"/>
        <w:rPr/>
      </w:pP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rPr/>
      </w:pPr>
      <w:r>
        <w:rPr/>
      </w:r>
    </w:p>
    <w:p>
      <w:pPr>
        <w:pStyle w:val="Heading2"/>
        <w:ind w:hanging="0" w:start="0"/>
        <w:rPr/>
      </w:pP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tabs>
          <w:tab w:val="clear" w:pos="720"/>
          <w:tab w:val="left" w:pos="1440" w:leader="none"/>
        </w:tabs>
        <w:rPr>
          <w:u w:val="single"/>
        </w:rPr>
      </w:pPr>
      <w:r>
        <w:rPr>
          <w:u w:val="single"/>
        </w:rPr>
      </w:r>
    </w:p>
    <w:p>
      <w:pPr>
        <w:pStyle w:val="Heading2"/>
        <w:ind w:hanging="0" w:start="0"/>
        <w:rPr/>
      </w:pP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shall be applied and distributed in the following order:</w:t>
      </w:r>
    </w:p>
    <w:p>
      <w:pPr>
        <w:pStyle w:val="Heading4"/>
        <w:ind w:hanging="0" w:start="0"/>
        <w:rPr/>
      </w:pPr>
      <w:r>
        <w:rPr/>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Heading4"/>
        <w:ind w:hanging="0" w:start="0"/>
        <w:rPr/>
      </w:pPr>
      <w:r>
        <w:rPr/>
        <w:t>The balance, if any, in accordance with Section 4 of the Letter Agreement; provided that if no payments are due thereunder, then the first $200 shall be distributed to ENA and any remaining amounts shall be distributed to PPL.</w:t>
      </w:r>
    </w:p>
    <w:p>
      <w:pPr>
        <w:pStyle w:val="Normal"/>
        <w:rPr/>
      </w:pPr>
      <w:r>
        <w:rPr/>
      </w:r>
    </w:p>
    <w:p>
      <w:pPr>
        <w:pStyle w:val="Heading2"/>
        <w:ind w:hanging="0" w:start="0"/>
        <w:rPr/>
      </w:pP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tabs>
          <w:tab w:val="clear" w:pos="720"/>
          <w:tab w:val="left" w:pos="1440" w:leader="none"/>
        </w:tabs>
        <w:rPr>
          <w:u w:val="single"/>
        </w:rPr>
      </w:pPr>
      <w:r>
        <w:rPr>
          <w:u w:val="single"/>
        </w:rPr>
      </w:r>
    </w:p>
    <w:p>
      <w:pPr>
        <w:pStyle w:val="Heading2"/>
        <w:keepNext w:val="false"/>
        <w:ind w:hanging="0" w:start="0"/>
        <w:rPr/>
      </w:pP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rPr/>
      </w:pPr>
      <w:r>
        <w:rPr/>
      </w:r>
    </w:p>
    <w:p>
      <w:pPr>
        <w:pStyle w:val="Heading1"/>
        <w:ind w:hanging="0" w:start="0"/>
        <w:rPr/>
      </w:pPr>
      <w:r>
        <w:rPr/>
        <w:br/>
        <w:t>INVESTMENT REPRESENTATIONS OF THE MEMBERS</w:t>
      </w:r>
    </w:p>
    <w:p>
      <w:pPr>
        <w:pStyle w:val="Normal"/>
        <w:widowControl/>
        <w:tabs>
          <w:tab w:val="clear" w:pos="720"/>
          <w:tab w:val="left" w:pos="1440" w:leader="none"/>
        </w:tabs>
        <w:rPr>
          <w:u w:val="single"/>
        </w:rPr>
      </w:pPr>
      <w:r>
        <w:rPr>
          <w:u w:val="single"/>
        </w:rPr>
      </w:r>
    </w:p>
    <w:p>
      <w:pPr>
        <w:pStyle w:val="Heading2"/>
        <w:ind w:hanging="0" w:start="0"/>
        <w:rPr/>
      </w:pP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p>
    <w:p>
      <w:pPr>
        <w:pStyle w:val="Normal"/>
        <w:rPr/>
      </w:pPr>
      <w:r>
        <w:rPr/>
      </w:r>
    </w:p>
    <w:p>
      <w:pPr>
        <w:pStyle w:val="Heading2"/>
        <w:ind w:hanging="0" w:start="0"/>
        <w:rPr/>
      </w:pP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Heading1"/>
        <w:ind w:hanging="0" w:start="0"/>
        <w:rPr/>
      </w:pPr>
      <w:r>
        <w:rPr/>
        <w:br/>
        <w:t>AMENDMENTS</w:t>
      </w:r>
    </w:p>
    <w:p>
      <w:pPr>
        <w:pStyle w:val="Normal"/>
        <w:widowControl/>
        <w:tabs>
          <w:tab w:val="clear" w:pos="720"/>
          <w:tab w:val="left" w:pos="1440" w:leader="none"/>
        </w:tabs>
        <w:rPr/>
      </w:pPr>
      <w:r>
        <w:rPr/>
      </w:r>
    </w:p>
    <w:p>
      <w:pPr>
        <w:pStyle w:val="Normal"/>
        <w:widowControl/>
        <w:tabs>
          <w:tab w:val="left" w:pos="720" w:leader="none"/>
          <w:tab w:val="left" w:pos="1440" w:leader="none"/>
        </w:tabs>
        <w:jc w:val="both"/>
        <w:rPr/>
      </w:pPr>
      <w:r>
        <w:rPr/>
        <w:tab/>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tabs>
          <w:tab w:val="left" w:pos="720" w:leader="none"/>
          <w:tab w:val="left" w:pos="1440" w:leader="none"/>
        </w:tabs>
        <w:jc w:val="both"/>
        <w:rPr/>
      </w:pPr>
      <w:r>
        <w:rPr/>
      </w:r>
    </w:p>
    <w:p>
      <w:pPr>
        <w:pStyle w:val="Heading1"/>
        <w:ind w:hanging="0" w:start="0"/>
        <w:rPr/>
      </w:pPr>
      <w:r>
        <w:rPr/>
        <w:br/>
        <w:t>MISCELLANEOUS</w:t>
      </w:r>
    </w:p>
    <w:p>
      <w:pPr>
        <w:pStyle w:val="Normal"/>
        <w:widowControl/>
        <w:tabs>
          <w:tab w:val="clear" w:pos="720"/>
          <w:tab w:val="left" w:pos="1440" w:leader="none"/>
        </w:tabs>
        <w:rPr>
          <w:u w:val="single"/>
        </w:rPr>
      </w:pPr>
      <w:r>
        <w:rPr>
          <w:u w:val="single"/>
        </w:rPr>
      </w:r>
    </w:p>
    <w:p>
      <w:pPr>
        <w:pStyle w:val="Heading2"/>
        <w:ind w:hanging="0" w:start="0"/>
        <w:rPr/>
      </w:pP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Heading4"/>
        <w:ind w:hanging="0" w:start="0"/>
        <w:rPr/>
      </w:pPr>
      <w:r>
        <w:rPr/>
        <w:t>If to PPL, to:</w:t>
      </w:r>
    </w:p>
    <w:p>
      <w:pPr>
        <w:pStyle w:val="Normal"/>
        <w:ind w:start="2160" w:end="0"/>
        <w:rPr/>
      </w:pPr>
      <w:r>
        <w:rPr/>
        <w:br/>
        <w:t>Pegasus Power Partners, LLC</w:t>
      </w:r>
    </w:p>
    <w:p>
      <w:pPr>
        <w:pStyle w:val="Normal"/>
        <w:widowControl/>
        <w:tabs>
          <w:tab w:val="clear" w:pos="720"/>
          <w:tab w:val="left" w:pos="1440" w:leader="none"/>
        </w:tabs>
        <w:ind w:start="2160" w:end="0"/>
        <w:rPr/>
      </w:pPr>
      <w:r>
        <w:rPr/>
        <w:t>89 Headquarters Plaza</w:t>
      </w:r>
    </w:p>
    <w:p>
      <w:pPr>
        <w:pStyle w:val="Normal"/>
        <w:widowControl/>
        <w:tabs>
          <w:tab w:val="clear" w:pos="720"/>
          <w:tab w:val="left" w:pos="1440" w:leader="none"/>
        </w:tabs>
        <w:ind w:start="2160" w:end="0"/>
        <w:rPr/>
      </w:pPr>
      <w:r>
        <w:rPr/>
        <w:t>North Tower, 14th Floor</w:t>
      </w:r>
    </w:p>
    <w:p>
      <w:pPr>
        <w:pStyle w:val="Normal"/>
        <w:widowControl/>
        <w:tabs>
          <w:tab w:val="clear" w:pos="720"/>
          <w:tab w:val="left" w:pos="1440" w:leader="none"/>
        </w:tabs>
        <w:ind w:start="2160" w:end="0"/>
        <w:rPr/>
      </w:pPr>
      <w:r>
        <w:rPr/>
        <w:t>Morristown, New Jersey  07960</w:t>
      </w:r>
    </w:p>
    <w:p>
      <w:pPr>
        <w:pStyle w:val="Normal"/>
        <w:widowControl/>
        <w:tabs>
          <w:tab w:val="clear" w:pos="720"/>
          <w:tab w:val="left" w:pos="1440" w:leader="none"/>
        </w:tabs>
        <w:ind w:start="2160" w:end="0"/>
        <w:rPr/>
      </w:pPr>
      <w:r>
        <w:rPr/>
        <w:t>Attn:  Richard Vicens</w:t>
      </w:r>
    </w:p>
    <w:p>
      <w:pPr>
        <w:pStyle w:val="Normal"/>
        <w:widowControl/>
        <w:tabs>
          <w:tab w:val="clear" w:pos="720"/>
          <w:tab w:val="left" w:pos="1440" w:leader="none"/>
        </w:tabs>
        <w:ind w:start="2160" w:end="0"/>
        <w:rPr/>
      </w:pPr>
      <w:r>
        <w:rPr/>
        <w:t>Telecopy:  973-326-1821</w:t>
      </w:r>
    </w:p>
    <w:p>
      <w:pPr>
        <w:pStyle w:val="Normal"/>
        <w:widowControl/>
        <w:tabs>
          <w:tab w:val="clear" w:pos="720"/>
          <w:tab w:val="left" w:pos="1440" w:leader="none"/>
        </w:tabs>
        <w:ind w:start="1440" w:end="0"/>
        <w:rPr/>
      </w:pPr>
      <w:r>
        <w:rPr/>
      </w:r>
    </w:p>
    <w:p>
      <w:pPr>
        <w:pStyle w:val="Heading4"/>
        <w:ind w:hanging="0" w:start="0"/>
        <w:rPr/>
      </w:pPr>
      <w:r>
        <w:rPr/>
        <w:t>If to ENA, to:</w:t>
      </w:r>
    </w:p>
    <w:p>
      <w:pPr>
        <w:pStyle w:val="Normal"/>
        <w:ind w:start="2160" w:end="0"/>
        <w:rPr/>
      </w:pPr>
      <w:r>
        <w:rPr/>
        <w:br/>
        <w:t>Enron North America Corp.</w:t>
      </w:r>
    </w:p>
    <w:p>
      <w:pPr>
        <w:pStyle w:val="Normal"/>
        <w:widowControl/>
        <w:tabs>
          <w:tab w:val="clear" w:pos="720"/>
          <w:tab w:val="left" w:pos="1440" w:leader="none"/>
        </w:tabs>
        <w:ind w:start="2160" w:end="0"/>
        <w:rPr/>
      </w:pPr>
      <w:r>
        <w:rPr/>
        <w:t>121 Southwest Salmon Street</w:t>
      </w:r>
    </w:p>
    <w:p>
      <w:pPr>
        <w:pStyle w:val="Normal"/>
        <w:widowControl/>
        <w:tabs>
          <w:tab w:val="clear" w:pos="720"/>
          <w:tab w:val="left" w:pos="1440" w:leader="none"/>
        </w:tabs>
        <w:ind w:start="2160" w:end="0"/>
        <w:rPr/>
      </w:pPr>
      <w:r>
        <w:rPr/>
        <w:t>Portland, Oregon  97204</w:t>
      </w:r>
    </w:p>
    <w:p>
      <w:pPr>
        <w:pStyle w:val="Normal"/>
        <w:widowControl/>
        <w:tabs>
          <w:tab w:val="clear" w:pos="720"/>
          <w:tab w:val="left" w:pos="1440" w:leader="none"/>
        </w:tabs>
        <w:ind w:start="2160" w:end="0"/>
        <w:rPr/>
      </w:pPr>
      <w:r>
        <w:rPr/>
        <w:t>Attn:  Jacob S. Thomas</w:t>
      </w:r>
    </w:p>
    <w:p>
      <w:pPr>
        <w:pStyle w:val="Normal"/>
        <w:widowControl/>
        <w:tabs>
          <w:tab w:val="clear" w:pos="720"/>
          <w:tab w:val="left" w:pos="1440" w:leader="none"/>
        </w:tabs>
        <w:ind w:start="2160" w:end="0"/>
        <w:rPr/>
      </w:pPr>
      <w:r>
        <w:rPr/>
        <w:t>Telecopy:  503-464-3740</w:t>
        <w:br/>
      </w:r>
    </w:p>
    <w:p>
      <w:pPr>
        <w:pStyle w:val="Normal"/>
        <w:widowControl/>
        <w:tabs>
          <w:tab w:val="clear" w:pos="720"/>
          <w:tab w:val="left" w:pos="1440" w:leader="none"/>
        </w:tabs>
        <w:ind w:start="2160" w:end="0"/>
        <w:rPr/>
      </w:pPr>
      <w:r>
        <w:rPr/>
        <w:t>with a copy to</w:t>
        <w:br/>
      </w:r>
    </w:p>
    <w:p>
      <w:pPr>
        <w:pStyle w:val="Normal"/>
        <w:widowControl/>
        <w:tabs>
          <w:tab w:val="clear" w:pos="720"/>
          <w:tab w:val="left" w:pos="1440" w:leader="none"/>
        </w:tabs>
        <w:ind w:start="2160" w:end="0"/>
        <w:rPr/>
      </w:pPr>
      <w:r>
        <w:rPr/>
        <w:t>Enron North America Corp.</w:t>
      </w:r>
    </w:p>
    <w:p>
      <w:pPr>
        <w:pStyle w:val="Normal"/>
        <w:widowControl/>
        <w:tabs>
          <w:tab w:val="clear" w:pos="720"/>
          <w:tab w:val="left" w:pos="1440" w:leader="none"/>
        </w:tabs>
        <w:ind w:start="2160" w:end="0"/>
        <w:rPr/>
      </w:pPr>
      <w:r>
        <w:rPr/>
        <w:t>1400 Smith Street</w:t>
      </w:r>
    </w:p>
    <w:p>
      <w:pPr>
        <w:pStyle w:val="Normal"/>
        <w:widowControl/>
        <w:tabs>
          <w:tab w:val="clear" w:pos="720"/>
          <w:tab w:val="left" w:pos="1440" w:leader="none"/>
        </w:tabs>
        <w:ind w:start="2160" w:end="0"/>
        <w:rPr/>
      </w:pPr>
      <w:r>
        <w:rPr/>
        <w:t>Houston, TX  77002</w:t>
      </w:r>
    </w:p>
    <w:p>
      <w:pPr>
        <w:pStyle w:val="Normal"/>
        <w:widowControl/>
        <w:tabs>
          <w:tab w:val="clear" w:pos="720"/>
          <w:tab w:val="left" w:pos="1440" w:leader="none"/>
        </w:tabs>
        <w:ind w:start="2160" w:end="0"/>
        <w:rPr/>
      </w:pPr>
      <w:r>
        <w:rPr/>
        <w:t>Attn:  Sheila Tweed</w:t>
      </w:r>
    </w:p>
    <w:p>
      <w:pPr>
        <w:pStyle w:val="Normal"/>
        <w:widowControl/>
        <w:tabs>
          <w:tab w:val="clear" w:pos="720"/>
          <w:tab w:val="left" w:pos="1440" w:leader="none"/>
        </w:tabs>
        <w:ind w:start="2160" w:end="0"/>
        <w:rPr/>
      </w:pPr>
      <w:r>
        <w:rPr/>
        <w:t>Telecopy:  713-646-3393</w:t>
        <w:br/>
      </w:r>
    </w:p>
    <w:p>
      <w:pPr>
        <w:pStyle w:val="Heading2"/>
        <w:ind w:hanging="0" w:start="0"/>
        <w:rPr/>
      </w:pP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rPr/>
      </w:pPr>
      <w:r>
        <w:rPr/>
      </w:r>
    </w:p>
    <w:p>
      <w:pPr>
        <w:pStyle w:val="Heading2"/>
        <w:ind w:hanging="0" w:start="0"/>
        <w:rPr/>
      </w:pP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rPr/>
      </w:pPr>
      <w:r>
        <w:rPr/>
      </w:r>
    </w:p>
    <w:p>
      <w:pPr>
        <w:pStyle w:val="Heading2"/>
        <w:ind w:hanging="0" w:start="0"/>
        <w:rPr/>
      </w:pPr>
      <w:r>
        <w:rPr>
          <w:u w:val="single"/>
        </w:rPr>
        <w:t>Construction</w:t>
      </w:r>
      <w:r>
        <w:rPr/>
        <w:t>.  Every covenant, term, and provision of this Agreement shall be construed simply according to its fair meaning and not strictly for or against any Member.</w:t>
      </w:r>
    </w:p>
    <w:p>
      <w:pPr>
        <w:pStyle w:val="Normal"/>
        <w:widowControl/>
        <w:tabs>
          <w:tab w:val="clear" w:pos="720"/>
          <w:tab w:val="left" w:pos="1440" w:leader="none"/>
        </w:tabs>
        <w:rPr>
          <w:u w:val="single"/>
        </w:rPr>
      </w:pPr>
      <w:r>
        <w:rPr>
          <w:u w:val="single"/>
        </w:rPr>
      </w:r>
    </w:p>
    <w:p>
      <w:pPr>
        <w:pStyle w:val="Heading2"/>
        <w:ind w:hanging="0" w:start="0"/>
        <w:rPr/>
      </w:pPr>
      <w:r>
        <w:rPr>
          <w:u w:val="single"/>
        </w:rPr>
        <w:t>Time</w:t>
      </w:r>
      <w:r>
        <w:rPr/>
        <w:t>.  Time is of the essence with respect to this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tabs>
          <w:tab w:val="clear" w:pos="720"/>
          <w:tab w:val="left" w:pos="1440" w:leader="none"/>
        </w:tabs>
        <w:rPr>
          <w:u w:val="single"/>
        </w:rPr>
      </w:pPr>
      <w:r>
        <w:rPr>
          <w:u w:val="single"/>
        </w:rPr>
      </w:r>
    </w:p>
    <w:p>
      <w:pPr>
        <w:pStyle w:val="Heading2"/>
        <w:ind w:hanging="0" w:start="0"/>
        <w:rPr/>
      </w:pP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Incorporation by Reference</w:t>
      </w:r>
      <w:r>
        <w:rPr/>
        <w:t>.  Every Annex and Schedule referred to herein is hereby incorporated in this Agreement by reference.</w:t>
      </w:r>
    </w:p>
    <w:p>
      <w:pPr>
        <w:pStyle w:val="Normal"/>
        <w:widowControl/>
        <w:tabs>
          <w:tab w:val="clear" w:pos="720"/>
          <w:tab w:val="left" w:pos="1440" w:leader="none"/>
        </w:tabs>
        <w:rPr/>
      </w:pPr>
      <w:r>
        <w:rPr/>
      </w:r>
    </w:p>
    <w:p>
      <w:pPr>
        <w:pStyle w:val="Heading2"/>
        <w:ind w:hanging="0" w:start="0"/>
        <w:rPr/>
      </w:pP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tabs>
          <w:tab w:val="clear" w:pos="720"/>
          <w:tab w:val="left" w:pos="1440" w:leader="none"/>
        </w:tabs>
        <w:rPr>
          <w:u w:val="single"/>
        </w:rPr>
      </w:pPr>
      <w:r>
        <w:rPr>
          <w:u w:val="single"/>
        </w:rPr>
      </w:r>
    </w:p>
    <w:p>
      <w:pPr>
        <w:pStyle w:val="Heading2"/>
        <w:ind w:hanging="0" w:start="0"/>
        <w:rPr/>
      </w:pPr>
      <w:r>
        <w:rPr>
          <w:u w:val="single"/>
        </w:rPr>
        <w:t>Tax Effect</w:t>
      </w:r>
      <w:r>
        <w:rPr/>
        <w:t>.  The Members agree that for federal (and, to the extent applicable and appropriate, state and local) income tax purposes PPL shall be treated as the sole owner of the membership interests of the Company.  Accordingly, (i)  the Company shall be disregarded as an entity separate from PPL, (ii) PPL’s acquisition of its membership interest in the Company pursuant to this Agreement shall be treated as a sale to PPL by ENA of its interest in the assets of the Company and (iii) the allocation and payment of amounts in respect of the Escrow Account to ENA shall be treated as a payment to ENA for causing the transfer of its right in respect of the GE Property to the Company.  The Members shall file all tax returns and reports consistently with the characterization described in Section 10.11.</w:t>
      </w:r>
    </w:p>
    <w:p>
      <w:pPr>
        <w:pStyle w:val="Normal"/>
        <w:widowControl/>
        <w:tabs>
          <w:tab w:val="clear" w:pos="720"/>
          <w:tab w:val="left" w:pos="1440" w:leader="none"/>
        </w:tabs>
        <w:rPr>
          <w:u w:val="single"/>
        </w:rPr>
      </w:pPr>
      <w:r>
        <w:rPr>
          <w:u w:val="single"/>
        </w:rPr>
      </w:r>
    </w:p>
    <w:p>
      <w:pPr>
        <w:pStyle w:val="Heading2"/>
        <w:ind w:hanging="0" w:start="0"/>
        <w:rPr/>
      </w:pPr>
      <w:r>
        <w:rPr>
          <w:u w:val="single"/>
        </w:rPr>
        <w:t>No Action for Partition</w:t>
      </w:r>
      <w:r>
        <w:rPr/>
        <w:t>.  Each of the Members irrevocably waives any right that it may have to maintain any action for partition with respect to any of the Company’s assets.</w:t>
      </w:r>
    </w:p>
    <w:p>
      <w:pPr>
        <w:pStyle w:val="Normal"/>
        <w:widowControl/>
        <w:tabs>
          <w:tab w:val="clear" w:pos="720"/>
          <w:tab w:val="left" w:pos="1440" w:leader="none"/>
        </w:tabs>
        <w:rPr>
          <w:u w:val="single"/>
        </w:rPr>
      </w:pPr>
      <w:r>
        <w:rPr>
          <w:u w:val="single"/>
        </w:rPr>
      </w:r>
    </w:p>
    <w:p>
      <w:pPr>
        <w:pStyle w:val="Heading2"/>
        <w:ind w:hanging="0" w:start="0"/>
        <w:rPr/>
      </w:pP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tabs>
          <w:tab w:val="clear" w:pos="720"/>
          <w:tab w:val="left" w:pos="1440" w:leader="none"/>
        </w:tabs>
        <w:rPr>
          <w:u w:val="single"/>
        </w:rPr>
      </w:pPr>
      <w:r>
        <w:rPr>
          <w:u w:val="single"/>
        </w:rPr>
      </w:r>
    </w:p>
    <w:p>
      <w:pPr>
        <w:pStyle w:val="Heading2"/>
        <w:ind w:hanging="0" w:start="0"/>
        <w:rPr/>
      </w:pPr>
      <w:r>
        <w:rPr>
          <w:u w:val="single"/>
        </w:rPr>
        <w:t>Dispute Resolution</w:t>
      </w:r>
      <w:r>
        <w:rPr/>
        <w:t>.</w:t>
      </w:r>
    </w:p>
    <w:p>
      <w:pPr>
        <w:pStyle w:val="Heading4"/>
        <w:ind w:hanging="0" w:start="0"/>
        <w:rPr/>
      </w:pP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Heading5"/>
        <w:ind w:hanging="0" w:start="0"/>
        <w:rPr/>
      </w:pPr>
      <w:r>
        <w:rPr/>
        <w:t>Arbitration shall be initiated by the delivery of a written demand for arbitration by the demanding Member to the other Member.  The demand shall set out the nature of the dispute and the resolution sought by the demanding Member.</w:t>
      </w:r>
    </w:p>
    <w:p>
      <w:pPr>
        <w:pStyle w:val="Heading5"/>
        <w:ind w:hanging="0" w:start="0"/>
        <w:rPr/>
      </w:pPr>
      <w:r>
        <w:rPr/>
        <w:t>The respondent Member shall have twenty (20) days (the “</w:t>
      </w:r>
      <w:r>
        <w:rPr>
          <w:u w:val="single"/>
        </w:rPr>
        <w:t>Response Period</w:t>
      </w:r>
      <w:r>
        <w:rPr/>
        <w:t>”) to respond to the demand, in writing, setting out its answer and/or counterclaims.</w:t>
      </w:r>
    </w:p>
    <w:p>
      <w:pPr>
        <w:pStyle w:val="Heading5"/>
        <w:ind w:hanging="0" w:start="0"/>
        <w:rPr/>
      </w:pPr>
      <w:r>
        <w:rPr/>
        <w:t>After the arbitration demand and response have been exchanged, a three-member arbitration panel shall be selected as follows:</w:t>
      </w:r>
    </w:p>
    <w:p>
      <w:pPr>
        <w:pStyle w:val="Heading6"/>
        <w:ind w:hanging="0" w:start="0"/>
        <w:rPr/>
      </w:pPr>
      <w:r>
        <w:rPr/>
        <w:t>Only persons with substantial experience in the substantive matter at issue may serve as arbitrators.  No person may be selected or serve as an arbitrator who at the outset is employed by, or under the control or management of, either Member;</w:t>
      </w:r>
    </w:p>
    <w:p>
      <w:pPr>
        <w:pStyle w:val="Heading6"/>
        <w:ind w:hanging="0" w:start="0"/>
        <w:rPr/>
      </w:pPr>
      <w:r>
        <w:rPr/>
        <w:t>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w:t>
      </w:r>
    </w:p>
    <w:p>
      <w:pPr>
        <w:pStyle w:val="Heading6"/>
        <w:ind w:hanging="0" w:start="0"/>
        <w:rPr/>
      </w:pPr>
      <w:r>
        <w:rPr/>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Heading5"/>
        <w:ind w:hanging="0" w:start="0"/>
        <w:rPr/>
      </w:pPr>
      <w:r>
        <w:rPr/>
        <w:t>In addition to its authority to hear the dispute presented by the Members, the arbitration panel may, subject to the terms of this section, make rulings in connection with the procedures and timetable to be followed by the Members hereunder.</w:t>
      </w:r>
    </w:p>
    <w:p>
      <w:pPr>
        <w:pStyle w:val="Heading5"/>
        <w:ind w:hanging="0" w:start="0"/>
        <w:rPr/>
      </w:pPr>
      <w:r>
        <w:rPr/>
        <w:t>Within thirty (30) days after the final appointment to the arbitration panel, the arbitration hearing shall proceed, subject to the following requirements and procedures:</w:t>
      </w:r>
    </w:p>
    <w:p>
      <w:pPr>
        <w:pStyle w:val="Heading6"/>
        <w:ind w:hanging="0" w:start="0"/>
        <w:rPr/>
      </w:pPr>
      <w:r>
        <w:rPr/>
        <w:t>The arbitration hearing shall be held in New York, New York, at a location mutually agreed by the Members, or failing such agreement, at a location determined by the arbitration panel;</w:t>
      </w:r>
    </w:p>
    <w:p>
      <w:pPr>
        <w:pStyle w:val="Heading6"/>
        <w:ind w:hanging="0" w:start="0"/>
        <w:rPr/>
      </w:pPr>
      <w:r>
        <w:rPr/>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Heading6"/>
        <w:ind w:hanging="0" w:start="0"/>
        <w:rPr/>
      </w:pPr>
      <w:r>
        <w:rPr/>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Heading5"/>
        <w:ind w:hanging="0" w:start="0"/>
        <w:rPr/>
      </w:pPr>
      <w:r>
        <w:rPr/>
        <w:t>After submission of any post-arbitration hearing briefs and within thirty (30) days after the close of the arbitration hearing, the arbitrators shall render an award upon a majority vote, subject to the following requirements and procedures:</w:t>
      </w:r>
    </w:p>
    <w:p>
      <w:pPr>
        <w:pStyle w:val="Heading6"/>
        <w:ind w:hanging="0" w:start="0"/>
        <w:rPr/>
      </w:pPr>
      <w:r>
        <w:rPr/>
        <w:t>The arbitration panel shall weigh evidence and make its award, taking into account, to the extent it deems applicable, custom and usage of the industry;</w:t>
      </w:r>
    </w:p>
    <w:p>
      <w:pPr>
        <w:pStyle w:val="Heading6"/>
        <w:ind w:hanging="0" w:start="0"/>
        <w:rPr/>
      </w:pPr>
      <w:r>
        <w:rPr/>
        <w:t>The arbitration panel’s award shall be issued in writing and shall state the factual bases and reasoning of the award; and</w:t>
      </w:r>
    </w:p>
    <w:p>
      <w:pPr>
        <w:pStyle w:val="Heading6"/>
        <w:ind w:hanging="0" w:start="0"/>
        <w:rPr/>
      </w:pPr>
      <w:r>
        <w:rPr/>
        <w:t>The arbitrators may award costs of the arbitration proceeding, excluding attorneys’ fees and also excluding the costs apportioned pursuant to clause (vii) below.</w:t>
      </w:r>
    </w:p>
    <w:p>
      <w:pPr>
        <w:pStyle w:val="Heading5"/>
        <w:ind w:hanging="0" w:start="0"/>
        <w:rPr/>
      </w:pPr>
      <w:r>
        <w:rPr/>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Heading5"/>
        <w:ind w:hanging="0" w:start="0"/>
        <w:rPr/>
      </w:pPr>
      <w:r>
        <w:rPr/>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Heading5"/>
        <w:ind w:hanging="0" w:start="0"/>
        <w:rPr/>
      </w:pPr>
      <w:r>
        <w:rPr/>
        <w:t>All time limits stated in this section are for the convenience of the Members and may be altered upon mutual agreement of the Members.</w:t>
      </w:r>
    </w:p>
    <w:p>
      <w:pPr>
        <w:pStyle w:val="Heading4"/>
        <w:ind w:hanging="0" w:start="0"/>
        <w:rPr/>
      </w:pP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br w:type="page"/>
      </w:r>
    </w:p>
    <w:p>
      <w:pPr>
        <w:pStyle w:val="Normal"/>
        <w:widowControl/>
        <w:tabs>
          <w:tab w:val="left" w:pos="720" w:leader="none"/>
          <w:tab w:val="left" w:pos="1440" w:leader="none"/>
        </w:tabs>
        <w:rPr/>
      </w:pPr>
      <w:r>
        <w:rPr/>
        <w:tab/>
        <w:t>IN WITNESS WHEREOF, the parties have executed and delivered this First Amended and Restated Limited Liability Company Agreement as of the date first above written.</w:t>
      </w:r>
    </w:p>
    <w:p>
      <w:pPr>
        <w:pStyle w:val="Normal"/>
        <w:widowControl/>
        <w:tabs>
          <w:tab w:val="left" w:pos="720" w:leader="none"/>
          <w:tab w:val="left" w:pos="1440" w:leader="none"/>
        </w:tabs>
        <w:rPr/>
      </w:pPr>
      <w:r>
        <w:rPr/>
      </w:r>
    </w:p>
    <w:p>
      <w:pPr>
        <w:pStyle w:val="Normal"/>
        <w:widowControl/>
        <w:tabs>
          <w:tab w:val="clear" w:pos="720"/>
          <w:tab w:val="left" w:pos="1440" w:leader="none"/>
        </w:tabs>
        <w:spacing w:lineRule="auto" w:line="480"/>
        <w:ind w:start="4320" w:end="0"/>
        <w:rPr>
          <w:b/>
        </w:rPr>
      </w:pPr>
      <w:r>
        <w:rPr>
          <w:b/>
        </w:rPr>
        <w:t>ENRON NORTH AMERICA CORP.</w:t>
      </w:r>
    </w:p>
    <w:p>
      <w:pPr>
        <w:pStyle w:val="Normal"/>
        <w:widowControl/>
        <w:tabs>
          <w:tab w:val="clear" w:pos="720"/>
          <w:tab w:val="left" w:pos="1440" w:leader="none"/>
        </w:tabs>
        <w:spacing w:lineRule="auto" w:line="480"/>
        <w:ind w:start="4320" w:end="0"/>
        <w:rPr/>
      </w:pPr>
      <w:r>
        <w:rPr/>
        <w:t>By:______________________________________</w:t>
      </w:r>
    </w:p>
    <w:p>
      <w:pPr>
        <w:pStyle w:val="Normal"/>
        <w:widowControl/>
        <w:tabs>
          <w:tab w:val="clear" w:pos="720"/>
          <w:tab w:val="left" w:pos="1440" w:leader="none"/>
        </w:tabs>
        <w:spacing w:lineRule="auto" w:line="480"/>
        <w:ind w:start="4320" w:end="0"/>
        <w:rPr/>
      </w:pPr>
      <w:r>
        <w:rPr/>
        <w:t>Name:</w:t>
      </w:r>
    </w:p>
    <w:p>
      <w:pPr>
        <w:pStyle w:val="Normal"/>
        <w:widowControl/>
        <w:tabs>
          <w:tab w:val="clear" w:pos="720"/>
          <w:tab w:val="left" w:pos="1440" w:leader="none"/>
        </w:tabs>
        <w:spacing w:lineRule="auto" w:line="480"/>
        <w:ind w:start="4320" w:end="0"/>
        <w:rPr/>
      </w:pPr>
      <w:r>
        <w:rPr/>
        <w:t>Title:</w:t>
      </w:r>
    </w:p>
    <w:p>
      <w:pPr>
        <w:pStyle w:val="Normal"/>
        <w:widowControl/>
        <w:tabs>
          <w:tab w:val="clear" w:pos="720"/>
          <w:tab w:val="left" w:pos="1440" w:leader="none"/>
        </w:tabs>
        <w:spacing w:lineRule="auto" w:line="480"/>
        <w:ind w:start="4320" w:end="0"/>
        <w:rPr>
          <w:b/>
        </w:rPr>
      </w:pPr>
      <w:r>
        <w:rPr>
          <w:b/>
        </w:rPr>
        <w:t>PEGASUS POWER PARTNERS, LLC</w:t>
      </w:r>
    </w:p>
    <w:p>
      <w:pPr>
        <w:pStyle w:val="Normal"/>
        <w:widowControl/>
        <w:tabs>
          <w:tab w:val="clear" w:pos="720"/>
          <w:tab w:val="left" w:pos="1440" w:leader="none"/>
        </w:tabs>
        <w:spacing w:lineRule="auto" w:line="480"/>
        <w:ind w:start="4320" w:end="0"/>
        <w:rPr>
          <w:b/>
        </w:rPr>
      </w:pPr>
      <w:r>
        <w:rPr>
          <w:b/>
        </w:rPr>
        <w:t>By:  DPC Pegasus, LLC</w:t>
      </w:r>
    </w:p>
    <w:p>
      <w:pPr>
        <w:pStyle w:val="Normal"/>
        <w:widowControl/>
        <w:tabs>
          <w:tab w:val="clear" w:pos="720"/>
          <w:tab w:val="left" w:pos="1440" w:leader="none"/>
        </w:tabs>
        <w:spacing w:lineRule="auto" w:line="480"/>
        <w:ind w:start="4320" w:end="0"/>
        <w:rPr/>
      </w:pPr>
      <w:r>
        <w:rPr/>
        <w:tab/>
        <w:t>By:_________________________________</w:t>
      </w:r>
    </w:p>
    <w:p>
      <w:pPr>
        <w:pStyle w:val="Normal"/>
        <w:widowControl/>
        <w:tabs>
          <w:tab w:val="clear" w:pos="720"/>
          <w:tab w:val="left" w:pos="1440" w:leader="none"/>
        </w:tabs>
        <w:spacing w:lineRule="auto" w:line="480"/>
        <w:ind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1440" w:leader="none"/>
        </w:tabs>
        <w:spacing w:lineRule="auto" w:line="480"/>
        <w:ind w:start="4320" w:end="0"/>
        <w:rPr/>
      </w:pPr>
      <w:r>
        <w:rPr/>
        <w:tab/>
        <w:t>Title:</w:t>
      </w:r>
    </w:p>
    <w:p>
      <w:pPr>
        <w:pStyle w:val="Normal"/>
        <w:widowControl/>
        <w:tabs>
          <w:tab w:val="clear" w:pos="720"/>
          <w:tab w:val="left" w:pos="1440" w:leader="none"/>
        </w:tabs>
        <w:spacing w:lineRule="auto" w:line="480"/>
        <w:jc w:val="center"/>
        <w:rPr>
          <w:b/>
        </w:rPr>
      </w:pPr>
      <w:r>
        <w:rPr>
          <w:b/>
          <w:u w:val="single"/>
        </w:rPr>
        <w:t>ANNEX A</w:t>
      </w:r>
    </w:p>
    <w:p>
      <w:pPr>
        <w:pStyle w:val="Normal"/>
        <w:widowControl/>
        <w:tabs>
          <w:tab w:val="clear" w:pos="720"/>
          <w:tab w:val="left" w:pos="1440" w:leader="none"/>
        </w:tabs>
        <w:spacing w:lineRule="auto" w:line="480"/>
        <w:jc w:val="center"/>
        <w:rPr>
          <w:b/>
          <w:u w:val="single"/>
        </w:rPr>
      </w:pPr>
      <w:r>
        <w:rPr>
          <w:b/>
          <w:u w:val="single"/>
        </w:rPr>
        <w:t>DEFINITIONS</w:t>
      </w:r>
    </w:p>
    <w:p>
      <w:pPr>
        <w:pStyle w:val="Normal"/>
        <w:widowControl/>
        <w:tabs>
          <w:tab w:val="clear" w:pos="720"/>
          <w:tab w:val="left" w:pos="1440" w:leader="none"/>
        </w:tabs>
        <w:rPr>
          <w:b/>
          <w:u w:val="single"/>
        </w:rPr>
      </w:pPr>
      <w:r>
        <w:rPr>
          <w:b/>
          <w:u w:val="single"/>
        </w:rPr>
      </w:r>
    </w:p>
    <w:p>
      <w:pPr>
        <w:pStyle w:val="Normal"/>
        <w:widowControl/>
        <w:tabs>
          <w:tab w:val="left" w:pos="720" w:leader="none"/>
          <w:tab w:val="left" w:pos="1440" w:leader="none"/>
        </w:tabs>
        <w:jc w:val="both"/>
        <w:rPr/>
      </w:pPr>
      <w:r>
        <w:rPr/>
        <w:tab/>
        <w:t>“</w:t>
      </w:r>
      <w:r>
        <w:rPr>
          <w:u w:val="single"/>
        </w:rPr>
        <w:t>Act</w:t>
      </w:r>
      <w:r>
        <w:rPr/>
        <w:t>” is defined in Section 2.1.</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Board</w:t>
      </w:r>
      <w:r>
        <w:rPr/>
        <w:t>” is defined in Section 4.1(a).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Business Day</w:t>
      </w:r>
      <w:r>
        <w:rPr/>
        <w:t>” means any day of the year on which banks are not required or authorized to close in the state of New York.</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Call Closing</w:t>
      </w:r>
      <w:r>
        <w:rPr/>
        <w:t>” is defined in Section 6.2(b).</w:t>
      </w:r>
    </w:p>
    <w:p>
      <w:pPr>
        <w:pStyle w:val="Normal"/>
        <w:widowControl/>
        <w:tabs>
          <w:tab w:val="left" w:pos="720" w:leader="none"/>
          <w:tab w:val="left" w:pos="1440" w:leader="none"/>
        </w:tabs>
        <w:jc w:val="both"/>
        <w:rPr/>
      </w:pPr>
      <w:r>
        <w:rPr/>
        <w:tab/>
      </w:r>
    </w:p>
    <w:p>
      <w:pPr>
        <w:pStyle w:val="Normal"/>
        <w:widowControl/>
        <w:tabs>
          <w:tab w:val="left" w:pos="720" w:leader="none"/>
          <w:tab w:val="left" w:pos="1440" w:leader="none"/>
        </w:tabs>
        <w:jc w:val="both"/>
        <w:rPr/>
      </w:pPr>
      <w:r>
        <w:rPr/>
        <w:tab/>
        <w:t>“</w:t>
      </w:r>
      <w:r>
        <w:rPr>
          <w:u w:val="single"/>
        </w:rPr>
        <w:t>Call Price</w:t>
      </w:r>
      <w:r>
        <w:rPr/>
        <w:t>” is defined in Section 6.2(a).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Call Right</w:t>
      </w:r>
      <w:r>
        <w:rPr/>
        <w:t>” is defined in Section 6.2(a).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Certificate</w:t>
      </w:r>
      <w:r>
        <w:rPr/>
        <w:t>” means the certificate of formation of the Company, filed with the Secretary of State of the State of Delaware on March 8, 2001.</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Code</w:t>
      </w:r>
      <w:r>
        <w:rPr/>
        <w:t>” means the Internal Revenue Code of 1986, as amended from time to time (or any corresponding provisions of succeeding law).</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Company</w:t>
      </w:r>
      <w:r>
        <w:rPr/>
        <w:t>” is defined in the preamble.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Confidential Information</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Director</w:t>
      </w:r>
      <w:r>
        <w:rPr/>
        <w:t>” is defined in Section 4.1(a).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Dissolution Event</w:t>
      </w:r>
      <w:r>
        <w:rPr/>
        <w:t>” is defined in Section 7.2.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Distributable Cash</w:t>
      </w:r>
      <w:r>
        <w:rPr/>
        <w:t>” means, as of any date, the Company’s cash on hand as of such date, after paying all of the Company’s obligations, less Reserves.</w:t>
      </w:r>
    </w:p>
    <w:p>
      <w:pPr>
        <w:pStyle w:val="Normal"/>
        <w:widowControl/>
        <w:tabs>
          <w:tab w:val="left" w:pos="720" w:leader="none"/>
          <w:tab w:val="left" w:pos="1440" w:leader="none"/>
        </w:tabs>
        <w:jc w:val="both"/>
        <w:rPr/>
      </w:pPr>
      <w:r>
        <w:rPr/>
        <w:tab/>
      </w:r>
    </w:p>
    <w:p>
      <w:pPr>
        <w:pStyle w:val="Normal"/>
        <w:widowControl/>
        <w:tabs>
          <w:tab w:val="left" w:pos="720" w:leader="none"/>
          <w:tab w:val="left" w:pos="1440" w:leader="none"/>
        </w:tabs>
        <w:jc w:val="both"/>
        <w:rPr/>
      </w:pPr>
      <w:r>
        <w:rPr/>
        <w:tab/>
        <w:t>“</w:t>
      </w:r>
      <w:r>
        <w:rPr>
          <w:u w:val="single"/>
        </w:rPr>
        <w:t>ENA</w:t>
      </w:r>
      <w:r>
        <w:rPr/>
        <w:t>” is defined in the preamble.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ENA Confidential Information</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PPL,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tabs>
          <w:tab w:val="left" w:pos="720" w:leader="none"/>
          <w:tab w:val="left" w:pos="1440" w:leader="none"/>
        </w:tabs>
        <w:jc w:val="both"/>
        <w:rPr/>
      </w:pPr>
      <w:r>
        <w:rPr/>
        <w:tab/>
      </w:r>
    </w:p>
    <w:p>
      <w:pPr>
        <w:pStyle w:val="Normal"/>
        <w:widowControl/>
        <w:tabs>
          <w:tab w:val="left" w:pos="720" w:leader="none"/>
          <w:tab w:val="left" w:pos="1440" w:leader="none"/>
        </w:tabs>
        <w:jc w:val="both"/>
        <w:rPr/>
      </w:pPr>
      <w:r>
        <w:rPr/>
        <w:tab/>
        <w:t>“</w:t>
      </w:r>
      <w:r>
        <w:rPr>
          <w:u w:val="single"/>
        </w:rPr>
        <w:t>Foreign Acts</w:t>
      </w:r>
      <w:r>
        <w:rPr/>
        <w:t>” is defined in Section 8.2.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GAAP</w:t>
      </w:r>
      <w:r>
        <w:rPr/>
        <w:t>” means generally accepted accounting principles as in effect in the United States of America.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GE</w:t>
      </w:r>
      <w:r>
        <w:rPr/>
        <w:t>” means GE Packaged Power, Inc.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GE Equipment</w:t>
      </w:r>
      <w:r>
        <w:rPr/>
        <w:t>” is defined in Section 3.1.5.</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Letter Agreement</w:t>
      </w:r>
      <w:r>
        <w:rPr/>
        <w:t>” means that certain letter agreement dated as of April 4, 2001, between ENA and PPL relating to the GE Equipment and the transaction evidenced by this Agreement.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Liquidating Trustee</w:t>
      </w:r>
      <w:r>
        <w:rPr/>
        <w:t>” is defined in Section 7.3.</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Member</w:t>
      </w:r>
      <w:r>
        <w:rPr/>
        <w:t>” means ENA or PPL .</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Percentage Interest</w:t>
      </w:r>
      <w:r>
        <w:rPr/>
        <w:t>” for each Member is set forth in Section 5.1(a), subject to adjustment from time to time in accordance with the provisions of this Agreement.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Permitted Member</w:t>
      </w:r>
      <w:r>
        <w:rPr/>
        <w:t>” is defined in Section 5.2(c).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Permitted Transfer</w:t>
      </w:r>
      <w:r>
        <w:rPr/>
        <w:t>” is defined in Section 6.1(c).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Person</w:t>
      </w:r>
      <w:r>
        <w:rPr/>
        <w:t>” means any individual, corporation, limited liability company, partnership, trust, or other entity.</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PPL</w:t>
      </w:r>
      <w:r>
        <w:rPr/>
        <w:t>” is defined in the preamble.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PPL Confidential Information</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Prior Agreement</w:t>
      </w:r>
      <w:r>
        <w:rPr/>
        <w:t>” is defined in the first recital clause.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Project</w:t>
      </w:r>
      <w:r>
        <w:rPr/>
        <w:t>” is defined in Section 2.2.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Put Closing</w:t>
      </w:r>
      <w:r>
        <w:rPr/>
        <w:t>” is defined in Section 6.2(d).</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Put Price</w:t>
      </w:r>
      <w:r>
        <w:rPr/>
        <w:t>” is defined in Section 6.2(c).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Put Right</w:t>
      </w:r>
      <w:r>
        <w:rPr/>
        <w:t>” is defined in Section 6.2(c).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Representatives</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 xml:space="preserve"> “</w:t>
      </w:r>
      <w:r>
        <w:rPr>
          <w:u w:val="single"/>
        </w:rPr>
        <w:t>Restriction</w:t>
      </w:r>
      <w:r>
        <w:rPr/>
        <w:t>” is defined in Section 6.1(a).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Securities Act</w:t>
      </w:r>
      <w:r>
        <w:rPr/>
        <w:t>” is defined in Section 6.5.</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State Acts</w:t>
      </w:r>
      <w:r>
        <w:rPr/>
        <w:t>” is defined in Section 8.2.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Takeover</w:t>
      </w:r>
      <w:r>
        <w:rPr/>
        <w:t>” shall have the meaning given to such term in the Turbine Contract as of the date of closing of the transactions contemplated by the Letter Agreement.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Transfer</w:t>
      </w:r>
      <w:r>
        <w:rPr/>
        <w:t>” is defined in Section 6.1(a).</w:t>
      </w:r>
    </w:p>
    <w:p>
      <w:pPr>
        <w:pStyle w:val="Normal"/>
        <w:widowControl/>
        <w:tabs>
          <w:tab w:val="left" w:pos="720" w:leader="none"/>
          <w:tab w:val="left" w:pos="1440" w:leader="none"/>
        </w:tabs>
        <w:rPr/>
      </w:pPr>
      <w:r>
        <w:rPr/>
      </w:r>
    </w:p>
    <w:p>
      <w:pPr>
        <w:pStyle w:val="Normal"/>
        <w:widowControl/>
        <w:tabs>
          <w:tab w:val="left" w:pos="720" w:leader="none"/>
          <w:tab w:val="left" w:pos="1440" w:leader="none"/>
        </w:tabs>
        <w:jc w:val="both"/>
        <w:rPr/>
      </w:pPr>
      <w:r>
        <w:rPr/>
        <w:tab/>
        <w:t>“</w:t>
      </w:r>
      <w:r>
        <w:rPr>
          <w:u w:val="single"/>
        </w:rPr>
        <w:t>Turbine Contract</w:t>
      </w:r>
      <w:r>
        <w:rPr/>
        <w:t>” means that certain agreement dated as of May ____, 2001, between the Company and GE pertaining to the purchase of the GE Equipment.</w:t>
      </w:r>
    </w:p>
    <w:p>
      <w:pPr>
        <w:pStyle w:val="Normal"/>
        <w:widowControl/>
        <w:tabs>
          <w:tab w:val="left" w:pos="720" w:leader="none"/>
          <w:tab w:val="left" w:pos="1440" w:leader="none"/>
        </w:tabs>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left" w:pos="720" w:leader="none"/>
          <w:tab w:val="left" w:pos="1440" w:leader="none"/>
        </w:tabs>
        <w:rPr/>
      </w:pPr>
      <w:r>
        <w:rPr/>
        <w:tab/>
        <w:t>“</w:t>
      </w:r>
      <w:r>
        <w:rPr>
          <w:u w:val="single"/>
        </w:rPr>
        <w:t>Withheld Taxes</w:t>
      </w:r>
      <w:r>
        <w:rPr/>
        <w:t>” is defined in Section 5.3(b).</w:t>
      </w:r>
    </w:p>
    <w:p>
      <w:pPr>
        <w:pStyle w:val="Normal"/>
        <w:widowControl/>
        <w:tabs>
          <w:tab w:val="left" w:pos="720" w:leader="none"/>
          <w:tab w:val="left" w:pos="1440" w:leader="none"/>
        </w:tabs>
        <w:spacing w:lineRule="auto" w:line="480"/>
        <w:jc w:val="center"/>
        <w:rPr>
          <w:b/>
          <w:u w:val="single"/>
        </w:rPr>
      </w:pPr>
      <w:r>
        <w:rPr>
          <w:b/>
          <w:u w:val="single"/>
        </w:rPr>
        <w:t>ANNEX B</w:t>
      </w:r>
    </w:p>
    <w:p>
      <w:pPr>
        <w:pStyle w:val="Normal"/>
        <w:widowControl/>
        <w:tabs>
          <w:tab w:val="left" w:pos="720" w:leader="none"/>
          <w:tab w:val="left" w:pos="1440" w:leader="none"/>
        </w:tabs>
        <w:spacing w:lineRule="auto" w:line="480"/>
        <w:jc w:val="center"/>
        <w:rPr>
          <w:b/>
        </w:rPr>
      </w:pPr>
      <w:r>
        <w:rPr>
          <w:b/>
        </w:rPr>
        <w:t>Provisions Applicable to Confidential Information</w:t>
      </w:r>
    </w:p>
    <w:p>
      <w:pPr>
        <w:pStyle w:val="Normal"/>
        <w:widowControl/>
        <w:tabs>
          <w:tab w:val="left" w:pos="720" w:leader="none"/>
          <w:tab w:val="left" w:pos="1440" w:leader="none"/>
        </w:tabs>
        <w:spacing w:lineRule="auto" w:line="480"/>
        <w:jc w:val="center"/>
        <w:rPr/>
      </w:pPr>
      <w:r>
        <w:rPr/>
        <w:t>Definitions</w:t>
      </w:r>
    </w:p>
    <w:p>
      <w:pPr>
        <w:pStyle w:val="Normal"/>
        <w:widowControl/>
        <w:tabs>
          <w:tab w:val="left" w:pos="720" w:leader="none"/>
          <w:tab w:val="left" w:pos="1440" w:leader="none"/>
        </w:tabs>
        <w:jc w:val="both"/>
        <w:rPr/>
      </w:pPr>
      <w:r>
        <w:rPr/>
        <w:tab/>
        <w:t>1.1</w:t>
        <w:tab/>
        <w:t>As used herein “</w:t>
      </w:r>
      <w:r>
        <w:rPr>
          <w:u w:val="single"/>
        </w:rPr>
        <w:t>Confidential Information</w:t>
      </w:r>
      <w:r>
        <w:rPr/>
        <w:t>” shall mean ENA Confidential Information and/or PPL Confidential Information, as hereinafter defined.</w:t>
      </w:r>
    </w:p>
    <w:p>
      <w:pPr>
        <w:pStyle w:val="Normal"/>
        <w:widowControl/>
        <w:tabs>
          <w:tab w:val="left" w:pos="720" w:leader="none"/>
          <w:tab w:val="left" w:pos="1440" w:leader="none"/>
        </w:tabs>
        <w:rPr/>
      </w:pPr>
      <w:r>
        <w:rPr/>
      </w:r>
    </w:p>
    <w:p>
      <w:pPr>
        <w:pStyle w:val="Normal"/>
        <w:widowControl/>
        <w:tabs>
          <w:tab w:val="left" w:pos="720" w:leader="none"/>
          <w:tab w:val="left" w:pos="1440" w:leader="none"/>
        </w:tabs>
        <w:jc w:val="both"/>
        <w:rPr/>
      </w:pPr>
      <w:r>
        <w:rPr/>
        <w:tab/>
        <w:t>1.2</w:t>
        <w:tab/>
        <w:t>As used herein “</w:t>
      </w:r>
      <w:r>
        <w:rPr>
          <w:u w:val="single"/>
        </w:rPr>
        <w:t>ENA Confidential Information</w:t>
      </w:r>
      <w:r>
        <w:rPr/>
        <w:t>” shall mean any and all information, including trade secrets and know</w:t>
        <w:noBreakHyphen/>
        <w:t>how proprietary to ENA, that is disclosed to PPL by ENA in connection with the negotiation of this Agreement or the operation of the Company.</w:t>
      </w:r>
    </w:p>
    <w:p>
      <w:pPr>
        <w:pStyle w:val="Normal"/>
        <w:widowControl/>
        <w:tabs>
          <w:tab w:val="left" w:pos="720" w:leader="none"/>
          <w:tab w:val="left" w:pos="1440" w:leader="none"/>
        </w:tabs>
        <w:rPr/>
      </w:pPr>
      <w:r>
        <w:rPr/>
      </w:r>
    </w:p>
    <w:p>
      <w:pPr>
        <w:pStyle w:val="Normal"/>
        <w:widowControl/>
        <w:tabs>
          <w:tab w:val="left" w:pos="720" w:leader="none"/>
          <w:tab w:val="left" w:pos="1440" w:leader="none"/>
        </w:tabs>
        <w:jc w:val="both"/>
        <w:rPr/>
      </w:pPr>
      <w:r>
        <w:rPr/>
        <w:tab/>
        <w:t>1.3</w:t>
        <w:tab/>
        <w:t>As used herein “</w:t>
      </w:r>
      <w:r>
        <w:rPr>
          <w:u w:val="single"/>
        </w:rPr>
        <w:t>PPL Confidential Information</w:t>
      </w:r>
      <w:r>
        <w:rPr/>
        <w:t>” shall mean any and all information, including trade secrets and know</w:t>
        <w:noBreakHyphen/>
        <w:t>how proprietary to PPL, that is disclosed to ENA by PPL in connection with the negotiation of this Agreement or the operation of the Company.</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center"/>
        <w:rPr>
          <w:u w:val="single"/>
        </w:rPr>
      </w:pPr>
      <w:r>
        <w:rPr>
          <w:u w:val="single"/>
        </w:rPr>
        <w:t>Disclosure Restrictions</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both"/>
        <w:rPr/>
      </w:pPr>
      <w:r>
        <w:rPr/>
        <w:tab/>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tab/>
        <w:t>2.2</w:t>
        <w:tab/>
        <w:t>The provisions of Section 2.1 above shall not apply to:</w:t>
      </w:r>
    </w:p>
    <w:p>
      <w:pPr>
        <w:pStyle w:val="Normal"/>
        <w:widowControl/>
        <w:tabs>
          <w:tab w:val="left" w:pos="720" w:leader="none"/>
          <w:tab w:val="left" w:pos="1440" w:leader="none"/>
        </w:tabs>
        <w:rPr/>
      </w:pPr>
      <w:r>
        <w:rPr/>
      </w:r>
    </w:p>
    <w:p>
      <w:pPr>
        <w:pStyle w:val="Normal"/>
        <w:widowControl/>
        <w:tabs>
          <w:tab w:val="left" w:pos="720" w:leader="none"/>
        </w:tabs>
        <w:ind w:hanging="720" w:start="2160" w:end="0"/>
        <w:jc w:val="both"/>
        <w:rPr/>
      </w:pPr>
      <w:r>
        <w:rPr/>
        <w:t>(a)</w:t>
        <w:tab/>
        <w:t>Confidential Information that a Member can demonstrate was rightfully in that Member’s possession prior to the date of disclosure to that Member;</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630" w:start="207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tabs>
          <w:tab w:val="left" w:pos="720" w:leader="none"/>
          <w:tab w:val="left" w:pos="1440" w:leader="none"/>
        </w:tabs>
        <w:rPr/>
      </w:pPr>
      <w:r>
        <w:rPr/>
      </w:r>
    </w:p>
    <w:p>
      <w:pPr>
        <w:pStyle w:val="Normal"/>
        <w:widowControl/>
        <w:tabs>
          <w:tab w:val="left" w:pos="720" w:leader="none"/>
        </w:tabs>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tabs>
          <w:tab w:val="left" w:pos="720" w:leader="none"/>
          <w:tab w:val="left" w:pos="1440" w:leader="none"/>
        </w:tabs>
        <w:rPr/>
      </w:pPr>
      <w:r>
        <w:rPr/>
      </w:r>
    </w:p>
    <w:p>
      <w:pPr>
        <w:pStyle w:val="Normal"/>
        <w:widowControl/>
        <w:tabs>
          <w:tab w:val="left" w:pos="720" w:leader="none"/>
        </w:tabs>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tabs>
          <w:tab w:val="left" w:pos="720" w:leader="none"/>
          <w:tab w:val="left" w:pos="1440" w:leader="none"/>
        </w:tabs>
        <w:jc w:val="both"/>
        <w:rPr/>
      </w:pPr>
      <w:r>
        <w:rPr/>
      </w:r>
    </w:p>
    <w:p>
      <w:pPr>
        <w:pStyle w:val="Normal"/>
        <w:widowControl/>
        <w:tabs>
          <w:tab w:val="left" w:pos="720" w:leader="none"/>
        </w:tabs>
        <w:ind w:hanging="720" w:start="2160" w:end="0"/>
        <w:rPr/>
      </w:pPr>
      <w:r>
        <w:rPr/>
        <w:t>(f)</w:t>
        <w:tab/>
        <w:t>Disclosures of Confidential Information by a Member to GE in connection with the Turbine Contract.</w:t>
      </w:r>
    </w:p>
    <w:p>
      <w:pPr>
        <w:pStyle w:val="Normal"/>
        <w:widowControl/>
        <w:tabs>
          <w:tab w:val="left" w:pos="720" w:leader="none"/>
        </w:tabs>
        <w:ind w:hanging="720" w:start="2160" w:end="0"/>
        <w:rPr/>
      </w:pPr>
      <w:r>
        <w:rPr/>
      </w:r>
    </w:p>
    <w:p>
      <w:pPr>
        <w:pStyle w:val="Normal"/>
        <w:widowControl/>
        <w:tabs>
          <w:tab w:val="left" w:pos="720" w:leader="none"/>
          <w:tab w:val="left" w:pos="1440" w:leader="none"/>
        </w:tabs>
        <w:jc w:val="both"/>
        <w:rPr/>
      </w:pPr>
      <w:r>
        <w:rPr/>
        <w:tab/>
        <w:t>2.3</w:t>
        <w:tab/>
        <w:t>Each Member shall take all necessary precautions to exclude unauthorized personnel and visitors from areas where Confidential Information is or may be available or observable.</w:t>
      </w:r>
    </w:p>
    <w:p>
      <w:pPr>
        <w:pStyle w:val="Normal"/>
        <w:widowControl/>
        <w:tabs>
          <w:tab w:val="left" w:pos="720" w:leader="none"/>
          <w:tab w:val="left" w:pos="1440" w:leader="none"/>
        </w:tabs>
        <w:jc w:val="center"/>
        <w:rPr>
          <w:b/>
        </w:rPr>
      </w:pPr>
      <w:r>
        <w:rPr>
          <w:b/>
        </w:rPr>
      </w:r>
    </w:p>
    <w:p>
      <w:pPr>
        <w:pStyle w:val="Normal"/>
        <w:widowControl/>
        <w:tabs>
          <w:tab w:val="left" w:pos="720" w:leader="none"/>
          <w:tab w:val="left" w:pos="1440" w:leader="none"/>
        </w:tabs>
        <w:jc w:val="center"/>
        <w:rPr>
          <w:b/>
          <w:u w:val="single"/>
        </w:rPr>
      </w:pPr>
      <w:r>
        <w:rPr>
          <w:b/>
          <w:u w:val="single"/>
        </w:rPr>
        <w:t>Return of Materials</w:t>
      </w:r>
    </w:p>
    <w:p>
      <w:pPr>
        <w:pStyle w:val="Normal"/>
        <w:widowControl/>
        <w:tabs>
          <w:tab w:val="left" w:pos="720" w:leader="none"/>
          <w:tab w:val="left" w:pos="1440" w:leader="none"/>
        </w:tabs>
        <w:jc w:val="center"/>
        <w:rPr>
          <w:b/>
          <w:u w:val="single"/>
        </w:rPr>
      </w:pPr>
      <w:r>
        <w:rPr>
          <w:b/>
          <w:u w:val="single"/>
        </w:rPr>
      </w:r>
    </w:p>
    <w:p>
      <w:pPr>
        <w:pStyle w:val="Normal"/>
        <w:widowControl/>
        <w:tabs>
          <w:tab w:val="left" w:pos="720" w:leader="none"/>
          <w:tab w:val="left" w:pos="1440" w:leader="none"/>
        </w:tabs>
        <w:jc w:val="both"/>
        <w:rPr/>
      </w:pPr>
      <w:r>
        <w:rPr/>
        <w:tab/>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center"/>
        <w:rPr>
          <w:b/>
          <w:u w:val="single"/>
        </w:rPr>
      </w:pPr>
      <w:r>
        <w:rPr>
          <w:b/>
          <w:u w:val="single"/>
        </w:rPr>
        <w:t>Limitation</w:t>
      </w:r>
    </w:p>
    <w:p>
      <w:pPr>
        <w:pStyle w:val="Normal"/>
        <w:widowControl/>
        <w:tabs>
          <w:tab w:val="left" w:pos="720" w:leader="none"/>
          <w:tab w:val="left" w:pos="1440" w:leader="none"/>
        </w:tabs>
        <w:rPr>
          <w:b/>
          <w:u w:val="single"/>
        </w:rPr>
      </w:pPr>
      <w:r>
        <w:rPr>
          <w:b/>
          <w:u w:val="single"/>
        </w:rPr>
      </w:r>
    </w:p>
    <w:p>
      <w:pPr>
        <w:pStyle w:val="Normal"/>
        <w:widowControl/>
        <w:tabs>
          <w:tab w:val="left" w:pos="720" w:leader="none"/>
          <w:tab w:val="left" w:pos="1440" w:leader="none"/>
        </w:tabs>
        <w:jc w:val="both"/>
        <w:rPr/>
      </w:pPr>
      <w:r>
        <w:rPr/>
        <w:tab/>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center"/>
        <w:rPr>
          <w:b/>
          <w:u w:val="single"/>
        </w:rPr>
      </w:pPr>
      <w:r>
        <w:rPr>
          <w:b/>
          <w:u w:val="single"/>
        </w:rPr>
        <w:t>Term</w:t>
      </w:r>
    </w:p>
    <w:p>
      <w:pPr>
        <w:pStyle w:val="Normal"/>
        <w:widowControl/>
        <w:tabs>
          <w:tab w:val="left" w:pos="720" w:leader="none"/>
          <w:tab w:val="left" w:pos="1440" w:leader="none"/>
        </w:tabs>
        <w:rPr>
          <w:b/>
          <w:u w:val="single"/>
        </w:rPr>
      </w:pPr>
      <w:r>
        <w:rPr>
          <w:b/>
          <w:u w:val="single"/>
        </w:rPr>
      </w:r>
    </w:p>
    <w:p>
      <w:pPr>
        <w:pStyle w:val="Normal"/>
        <w:widowControl/>
        <w:tabs>
          <w:tab w:val="left" w:pos="720" w:leader="none"/>
          <w:tab w:val="left" w:pos="1440" w:leader="none"/>
        </w:tabs>
        <w:jc w:val="both"/>
        <w:rPr/>
      </w:pPr>
      <w:r>
        <w:rPr/>
        <w:tab/>
        <w:t>5.1</w:t>
        <w:tab/>
        <w:t>The term of these provisions shall run from the date hereof until two (2) years after the date of exercise of the Put Right or Call Right.</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37490"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spacing w:lineRule="exact" w:line="200"/>
      <w:rPr/>
    </w:pP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p>
  <w:p>
    <w:pPr>
      <w:pStyle w:val="Footer"/>
      <w:spacing w:lineRule="exact" w:line="200"/>
      <w:rPr/>
    </w:pPr>
    <w:r>
      <w:rPr/>
      <w:t xml:space="preserve"> </w:t>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3"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SECTION %1"/>
      <w:lvlJc w:val="start"/>
      <w:pPr>
        <w:tabs>
          <w:tab w:val="num" w:pos="0"/>
        </w:tabs>
        <w:ind w:start="0" w:hanging="0"/>
      </w:pPr>
      <w:rPr>
        <w:caps/>
        <w:sz w:val="24"/>
        <w:i w:val="false"/>
        <w:b/>
        <w:rFonts w:ascii="Times New Roman Bold" w:hAnsi="Times New Roman Bold" w:cs="Times New Roman Bold"/>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isLgl/>
      <w:numFmt w:val="decimal"/>
      <w:lvlText w:val="%1.%2.%3"/>
      <w:lvlJc w:val="start"/>
      <w:pPr>
        <w:tabs>
          <w:tab w:val="num" w:pos="2160"/>
        </w:tabs>
        <w:ind w:start="0" w:firstLine="1440"/>
      </w:pPr>
    </w:lvl>
    <w:lvl w:ilvl="3">
      <w:start w:val="1"/>
      <w:pStyle w:val="Heading4"/>
      <w:numFmt w:val="lowerLetter"/>
      <w:lvlText w:val="(%4)"/>
      <w:lvlJc w:val="start"/>
      <w:pPr>
        <w:tabs>
          <w:tab w:val="num" w:pos="1800"/>
        </w:tabs>
        <w:ind w:start="0" w:firstLine="144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720" w:firstLine="720"/>
      </w:pPr>
    </w:lvl>
    <w:lvl w:ilvl="5">
      <w:start w:val="1"/>
      <w:pStyle w:val="Heading6"/>
      <w:numFmt w:val="decimal"/>
      <w:lvlText w:val="(%6)"/>
      <w:lvlJc w:val="start"/>
      <w:pPr>
        <w:tabs>
          <w:tab w:val="num" w:pos="2520"/>
        </w:tabs>
        <w:ind w:start="1440" w:firstLine="720"/>
      </w:pPr>
    </w:lvl>
    <w:lvl w:ilvl="6">
      <w:start w:val="1"/>
      <w:pStyle w:val="Heading7"/>
      <w:numFmt w:val="lowerRoman"/>
      <w:lvlText w:val="(%7)"/>
      <w:lvlJc w:val="end"/>
      <w:pPr>
        <w:tabs>
          <w:tab w:val="num" w:pos="2160"/>
        </w:tabs>
        <w:ind w:start="2160" w:hanging="720"/>
      </w:pPr>
    </w:lvl>
    <w:lvl w:ilvl="7">
      <w:start w:val="1"/>
      <w:pStyle w:val="Heading8"/>
      <w:numFmt w:val="upperLetter"/>
      <w:lvlText w:val="(%8)"/>
      <w:lvlJc w:val="start"/>
      <w:pPr>
        <w:tabs>
          <w:tab w:val="num" w:pos="2880"/>
        </w:tabs>
        <w:ind w:start="2880" w:hanging="720"/>
      </w:pPr>
    </w:lvl>
    <w:lvl w:ilvl="8">
      <w:start w:val="1"/>
      <w:pStyle w:val="Heading9"/>
      <w:numFmt w:val="lowerRoman"/>
      <w:lvlText w:val="%9."/>
      <w:lvlJc w:val="end"/>
      <w:pPr>
        <w:tabs>
          <w:tab w:val="num" w:pos="1584"/>
        </w:tabs>
        <w:ind w:start="1584" w:hanging="14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jc w:val="center"/>
      <w:outlineLvl w:val="0"/>
    </w:pPr>
    <w:rPr>
      <w:rFonts w:ascii="Times New Roman Bold" w:hAnsi="Times New Roman Bold" w:cs="Times New Roman Bold"/>
      <w:b/>
      <w:lang w:eastAsia="en-CA"/>
    </w:rPr>
  </w:style>
  <w:style w:type="paragraph" w:styleId="Heading2">
    <w:name w:val="heading 2"/>
    <w:basedOn w:val="Normal"/>
    <w:next w:val="Normal"/>
    <w:qFormat/>
    <w:pPr>
      <w:keepNext w:val="true"/>
      <w:widowControl/>
      <w:numPr>
        <w:ilvl w:val="1"/>
        <w:numId w:val="1"/>
      </w:numPr>
      <w:tabs>
        <w:tab w:val="clear" w:pos="720"/>
        <w:tab w:val="left" w:pos="1440" w:leader="none"/>
      </w:tabs>
      <w:jc w:val="both"/>
      <w:outlineLvl w:val="1"/>
    </w:pPr>
    <w:rPr>
      <w:lang w:eastAsia="en-CA"/>
    </w:rPr>
  </w:style>
  <w:style w:type="paragraph" w:styleId="Heading3">
    <w:name w:val="heading 3"/>
    <w:basedOn w:val="Normal"/>
    <w:next w:val="Normal"/>
    <w:qFormat/>
    <w:pPr>
      <w:keepNext w:val="true"/>
      <w:widowControl/>
      <w:numPr>
        <w:ilvl w:val="2"/>
        <w:numId w:val="1"/>
      </w:numPr>
      <w:jc w:val="both"/>
      <w:outlineLvl w:val="2"/>
    </w:pPr>
    <w:rPr>
      <w:lang w:eastAsia="en-CA"/>
    </w:rPr>
  </w:style>
  <w:style w:type="paragraph" w:styleId="Heading4">
    <w:name w:val="heading 4"/>
    <w:basedOn w:val="Normal"/>
    <w:next w:val="Normal"/>
    <w:qFormat/>
    <w:pPr>
      <w:keepNext w:val="true"/>
      <w:numPr>
        <w:ilvl w:val="3"/>
        <w:numId w:val="1"/>
      </w:numPr>
      <w:tabs>
        <w:tab w:val="clear" w:pos="720"/>
        <w:tab w:val="left" w:pos="2160" w:leader="none"/>
      </w:tabs>
      <w:spacing w:before="240" w:after="60"/>
      <w:jc w:val="both"/>
      <w:outlineLvl w:val="3"/>
    </w:pPr>
    <w:rPr/>
  </w:style>
  <w:style w:type="paragraph" w:styleId="Heading5">
    <w:name w:val="heading 5"/>
    <w:basedOn w:val="Normal"/>
    <w:next w:val="Normal"/>
    <w:qFormat/>
    <w:pPr>
      <w:numPr>
        <w:ilvl w:val="4"/>
        <w:numId w:val="1"/>
      </w:numPr>
      <w:spacing w:before="240" w:after="60"/>
      <w:jc w:val="both"/>
      <w:outlineLvl w:val="4"/>
    </w:pPr>
    <w:rPr/>
  </w:style>
  <w:style w:type="paragraph" w:styleId="Heading6">
    <w:name w:val="heading 6"/>
    <w:basedOn w:val="Normal"/>
    <w:next w:val="Normal"/>
    <w:qFormat/>
    <w:pPr>
      <w:numPr>
        <w:ilvl w:val="5"/>
        <w:numId w:val="1"/>
      </w:numPr>
      <w:tabs>
        <w:tab w:val="clear" w:pos="720"/>
        <w:tab w:val="left" w:pos="2880" w:leader="none"/>
      </w:tabs>
      <w:spacing w:before="240" w:after="60"/>
      <w:jc w:val="both"/>
      <w:outlineLvl w:val="5"/>
    </w:pPr>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 w:hAnsi="Times New Roman" w:cs="Times New Roman"/>
      <w:b/>
      <w:i w:val="false"/>
      <w:caps w:val="false"/>
      <w:smallCaps w:val="false"/>
      <w:color w:val="auto"/>
      <w:sz w:val="24"/>
      <w:u w:val="none"/>
    </w:rPr>
  </w:style>
  <w:style w:type="character" w:styleId="WW8Num12z1">
    <w:name w:val="WW8Num12z1"/>
    <w:qFormat/>
    <w:rPr>
      <w:rFonts w:ascii="Times New Roman" w:hAnsi="Times New Roman" w:cs="Times New Roman"/>
      <w:b w:val="false"/>
      <w:i w:val="false"/>
      <w:caps w:val="false"/>
      <w:smallCaps w:val="false"/>
      <w:color w:val="auto"/>
      <w:sz w:val="24"/>
      <w:u w:val="none"/>
    </w:rPr>
  </w:style>
  <w:style w:type="character" w:styleId="WW8Num12z8">
    <w:name w:val="WW8Num12z8"/>
    <w:qFormat/>
    <w:rPr>
      <w:rFonts w:ascii="Times New Roman" w:hAnsi="Times New Roman" w:cs="Times New Roman"/>
      <w:sz w:val="24"/>
    </w:rPr>
  </w:style>
  <w:style w:type="character" w:styleId="WW8Num13z0">
    <w:name w:val="WW8Num13z0"/>
    <w:qFormat/>
    <w:rPr>
      <w:rFonts w:ascii="Times New Roman Bold" w:hAnsi="Times New Roman Bold" w:cs="Times New Roman Bold"/>
      <w:b/>
      <w:i w:val="false"/>
      <w:caps/>
      <w:sz w:val="24"/>
    </w:rPr>
  </w:style>
  <w:style w:type="character" w:styleId="WW8Num13z1">
    <w:name w:val="WW8Num13z1"/>
    <w:qFormat/>
    <w:rPr>
      <w:rFonts w:ascii="Times New Roman" w:hAnsi="Times New Roman" w:cs="Times New Roman"/>
      <w:b w:val="false"/>
      <w:i w:val="false"/>
      <w:sz w:val="24"/>
    </w:rPr>
  </w:style>
  <w:style w:type="character" w:styleId="WW8Num15z0">
    <w:name w:val="WW8Num15z0"/>
    <w:qFormat/>
    <w:rPr>
      <w:rFonts w:ascii="Times New Roman Bold" w:hAnsi="Times New Roman Bold" w:cs="Times New Roman Bold"/>
      <w:b/>
      <w:i w:val="false"/>
      <w:caps/>
      <w:sz w:val="24"/>
    </w:rPr>
  </w:style>
  <w:style w:type="character" w:styleId="WW8Num15z1">
    <w:name w:val="WW8Num15z1"/>
    <w:qFormat/>
    <w:rPr>
      <w:rFonts w:ascii="Times New Roman" w:hAnsi="Times New Roman" w:cs="Times New Roman"/>
      <w:b w:val="false"/>
      <w:i w:val="false"/>
      <w:sz w:val="24"/>
    </w:rPr>
  </w:style>
  <w:style w:type="character" w:styleId="WW8Num16z0">
    <w:name w:val="WW8Num16z0"/>
    <w:qFormat/>
    <w:rPr>
      <w:rFonts w:ascii="Times New Roman Bold" w:hAnsi="Times New Roman Bold" w:cs="Times New Roman Bold"/>
      <w:b/>
      <w:i w:val="false"/>
      <w:caps/>
      <w:sz w:val="24"/>
    </w:rPr>
  </w:style>
  <w:style w:type="character" w:styleId="WW8Num16z1">
    <w:name w:val="WW8Num16z1"/>
    <w:qFormat/>
    <w:rPr>
      <w:rFonts w:ascii="Times New Roman" w:hAnsi="Times New Roman" w:cs="Times New Roman"/>
      <w:b w:val="false"/>
      <w:i w:val="false"/>
      <w:sz w:val="24"/>
    </w:rPr>
  </w:style>
  <w:style w:type="character" w:styleId="WW8Num17z0">
    <w:name w:val="WW8Num17z0"/>
    <w:qFormat/>
    <w:rPr>
      <w:rFonts w:ascii="Times New Roman Bold" w:hAnsi="Times New Roman Bold" w:cs="Times New Roman Bold"/>
      <w:b/>
      <w:i w:val="false"/>
      <w:caps/>
      <w:sz w:val="24"/>
    </w:rPr>
  </w:style>
  <w:style w:type="character" w:styleId="WW8Num17z1">
    <w:name w:val="WW8Num17z1"/>
    <w:qFormat/>
    <w:rPr>
      <w:rFonts w:ascii="Times New Roman" w:hAnsi="Times New Roman" w:cs="Times New Roman"/>
      <w:b w:val="false"/>
      <w:i w:val="false"/>
      <w:sz w:val="24"/>
    </w:rPr>
  </w:style>
  <w:style w:type="character" w:styleId="WW8Num18z0">
    <w:name w:val="WW8Num18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8z1">
    <w:name w:val="WW8Num18z1"/>
    <w:qFormat/>
    <w:rPr>
      <w:rFonts w:ascii="Times New Roman" w:hAnsi="Times New Roman" w:cs="Times New Roman"/>
      <w:b w:val="false"/>
      <w:i w:val="false"/>
      <w:sz w:val="24"/>
    </w:rPr>
  </w:style>
  <w:style w:type="character" w:styleId="WW8Num20z0">
    <w:name w:val="WW8Num20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4z0">
    <w:name w:val="WW8Num24z0"/>
    <w:qFormat/>
    <w:rPr>
      <w:rFonts w:ascii="Times New Roman" w:hAnsi="Times New Roman" w:cs="Times New Roman"/>
      <w:b w:val="false"/>
      <w:i w:val="false"/>
      <w:caps w:val="false"/>
      <w:smallCaps w:val="false"/>
      <w:color w:val="auto"/>
      <w:sz w:val="24"/>
      <w:u w:val="none"/>
    </w:rPr>
  </w:style>
  <w:style w:type="character" w:styleId="WW8Num24z7">
    <w:name w:val="WW8Num24z7"/>
    <w:qFormat/>
    <w:rPr>
      <w:rFonts w:ascii="Times New Roman" w:hAnsi="Times New Roman" w:cs="Times New Roman"/>
      <w:sz w:val="24"/>
    </w:rPr>
  </w:style>
  <w:style w:type="character" w:styleId="WW8NumSt27z0">
    <w:name w:val="WW8NumSt27z0"/>
    <w:qFormat/>
    <w:rPr>
      <w:rFonts w:ascii="Times New Roman Bold" w:hAnsi="Times New Roman Bold" w:cs="Times New Roman Bold"/>
      <w:b/>
      <w:i w:val="false"/>
      <w:caps/>
      <w:sz w:val="24"/>
    </w:rPr>
  </w:style>
  <w:style w:type="character" w:styleId="WW8NumSt27z1">
    <w:name w:val="WW8NumSt27z1"/>
    <w:qFormat/>
    <w:rPr>
      <w:rFonts w:ascii="Times New Roman" w:hAnsi="Times New Roman" w:cs="Times New Roman"/>
      <w:b w:val="false"/>
      <w:i w:val="false"/>
      <w:sz w:val="24"/>
    </w:rPr>
  </w:style>
  <w:style w:type="character" w:styleId="WW8NumSt29z0">
    <w:name w:val="WW8NumSt29z0"/>
    <w:qFormat/>
    <w:rPr>
      <w:rFonts w:ascii="Times New Roman Bold" w:hAnsi="Times New Roman Bold" w:cs="Times New Roman Bold"/>
      <w:b/>
      <w:i w:val="false"/>
      <w:caps/>
      <w:sz w:val="24"/>
    </w:rPr>
  </w:style>
  <w:style w:type="character" w:styleId="WW8NumSt29z1">
    <w:name w:val="WW8NumSt29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ListBullet">
    <w:name w:val="List Bullet"/>
    <w:basedOn w:val="Normal"/>
    <w:qFormat/>
    <w:pPr>
      <w:widowControl/>
      <w:numPr>
        <w:ilvl w:val="0"/>
        <w:numId w:val="2"/>
      </w:numPr>
      <w:tabs>
        <w:tab w:val="left" w:pos="720" w:leader="none"/>
      </w:tabs>
      <w:spacing w:before="0" w:after="240"/>
      <w:ind w:hanging="720" w:start="720" w:end="0"/>
    </w:pPr>
    <w:rPr>
      <w:lang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2001-04-24T17:22:00Z</dcterms:created>
  <dc:creator>Carolyn Campbell</dc:creator>
  <dc:description>Houston-136643 v8</dc:description>
  <dc:language>en-CA</dc:language>
  <cp:lastModifiedBy>Carolyn Campbell</cp:lastModifiedBy>
  <cp:lastPrinted>2001-04-24T15:01:00Z</cp:lastPrinted>
  <dcterms:modified xsi:type="dcterms:W3CDTF">2001-04-27T12:53:00Z</dcterms:modified>
  <cp:revision>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