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Spawn Energy,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Spawn Energy,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Delta Power Company LLC, a limited liability company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Delta has become a Member of the Company, and ENA and Delta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Spawn Energy</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Spawn Energy</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Delta to enter into this Agreement, ENA represents, warrants, covenants and agrees with Delta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one LM6000 enhanced SPRINT dual-fuel combustion turbine generator set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Delta</w:t>
      </w:r>
      <w:r>
        <w:rPr/>
        <w:t>.  In order to induce ENA to enter into this Agreement, Delta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Delta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Delta has full power and authority to enter into and perform this Agreement.  The Board of Managers of Delta has taken all actions required by law, Delta’s Certificate of Formation, its Limited Liability Company Agreement or otherwise to be taken to authorize the execution, delivery and performance of this Agreement by Delta, and this Agreement has been duly executed and delivered by Delta and constitutes the legal, valid and binding agreement of Delta,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Delta will violate any provision of the Certificate of Formation or Limited Liability Company Agreement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Delta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Delta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Delta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Delta has contributed cash in the amount of Eight Hundred and No/100 Dollars ($800.00) to the capital of the Company.  The Members acknowledge that ENA owns a 20% membership interest in the Company and Delta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Delta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Delta, until the cumulative Losses allocated to Delta for the current and all prior Fiscal Years is equal to the excess of (A) the cumulative allocations of Profits allocated to Delta pursuant to Section 5.2(a)(iv) for all prior Fiscal Years, over (B) the cumulative distributions of Distributable Cash made to Delta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Delta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Delta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Delta shall have the right in its sole discretion to purchase the ENA Interest (the “</w:t>
      </w:r>
      <w:r>
        <w:rPr>
          <w:u w:val="single"/>
        </w:rPr>
        <w:t>Call Right</w:t>
      </w:r>
      <w:r>
        <w:rPr/>
        <w:t>”) at any time on or after (i) the date on which the GE Equipment achieves Take Over, or (ii) the breach of the Turbine Contract by any party thereto, or (iii) December 31, 2001.  The price to be paid by Delta for the ENA Interest at the Call Closing following exercise of the Call Right by Delta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Delta may exercise its Call Right by delivering no less than five (5) Business Days prior written notice to ENA in accordance with this Agreement.  If Delta exercises the Call Right, then Delta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Delta to revoke its exercise of the Call Right at any time, which revocation shall not limit Delta’s right to exercise the Call Right again.  At the Call Closing, Delta shall pay to ENA the Call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Delta to purchase the ENA Interest (the “</w:t>
      </w:r>
      <w:r>
        <w:rPr>
          <w:u w:val="single"/>
        </w:rPr>
        <w:t>Put Right</w:t>
      </w:r>
      <w:r>
        <w:rPr/>
        <w:t>”) at any time on or after (i) the date on which the GE Equipment achieves Take Over, or (ii) December 31, 2002.  The price to be paid by Delta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Delta in accordance with this Agreement.  If ENA exercises the Put Right, then Delta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Delta shall pay to ENA the Put Price, and ENA shall deliver to Delta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Delta all certificates, if any, representing the ENA Interest and an assignment of the ENA Interest to Delta (in form reasonably acceptable to Delta) duly executed by ENA and any other then owner of the ENA Interest, and (2) represent and warrant to Delta that upon the delivery of the assignment of the ENA Interest to Delta as contemplated by this Agreement and payment therefor as contemplated by this Agreement, Delta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Delta, to:</w:t>
      </w:r>
    </w:p>
    <w:p>
      <w:pPr>
        <w:pStyle w:val="Normal"/>
        <w:keepNext w:val="true"/>
        <w:widowControl/>
        <w:rPr/>
      </w:pPr>
      <w:r>
        <w:rPr/>
      </w:r>
    </w:p>
    <w:p>
      <w:pPr>
        <w:pStyle w:val="Normal"/>
        <w:keepNext w:val="true"/>
        <w:widowControl/>
        <w:ind w:firstLine="2160" w:end="0"/>
        <w:rPr/>
      </w:pPr>
      <w:r>
        <w:rPr/>
        <w:t>Delta Power Company LLC</w:t>
      </w:r>
    </w:p>
    <w:p>
      <w:pPr>
        <w:pStyle w:val="Normal"/>
        <w:keepNext w:val="true"/>
        <w:widowControl/>
        <w:ind w:firstLine="2160" w:end="0"/>
        <w:rPr/>
      </w:pPr>
      <w:r>
        <w:rPr/>
        <w:t xml:space="preserve">89 Headquarter Plaza </w:t>
      </w:r>
    </w:p>
    <w:p>
      <w:pPr>
        <w:pStyle w:val="Normal"/>
        <w:keepNext w:val="true"/>
        <w:widowControl/>
        <w:ind w:firstLine="2160" w:end="0"/>
        <w:rPr/>
      </w:pPr>
      <w:r>
        <w:rPr/>
        <w:t>North Tower, 14</w:t>
      </w:r>
      <w:r>
        <w:rPr>
          <w:vertAlign w:val="superscript"/>
        </w:rPr>
        <w:t>th</w:t>
      </w:r>
      <w:r>
        <w:rPr/>
        <w:t xml:space="preserve"> Floor</w:t>
      </w:r>
    </w:p>
    <w:p>
      <w:pPr>
        <w:pStyle w:val="Normal"/>
        <w:keepNext w:val="true"/>
        <w:widowControl/>
        <w:ind w:firstLine="2160" w:end="0"/>
        <w:rPr/>
      </w:pPr>
      <w:r>
        <w:rPr/>
        <w:t>Morristown, New Jersey  07960</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 xml:space="preserve">DELTA POWER COMPANY LLC </w:t>
      </w:r>
    </w:p>
    <w:p>
      <w:pPr>
        <w:pStyle w:val="Normal"/>
        <w:widowControl/>
        <w:tabs>
          <w:tab w:val="clear" w:pos="720"/>
          <w:tab w:val="left" w:pos="4320" w:leader="none"/>
          <w:tab w:val="left" w:pos="4680" w:leader="none"/>
        </w:tabs>
        <w:ind w:firstLine="4320" w:end="0"/>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Delta</w:t>
      </w:r>
      <w:r>
        <w:rPr/>
        <w:t>” is defined in the preamble.</w:t>
      </w:r>
    </w:p>
    <w:p>
      <w:pPr>
        <w:pStyle w:val="Normal"/>
        <w:widowControl/>
        <w:rPr/>
      </w:pPr>
      <w:r>
        <w:rPr/>
      </w:r>
    </w:p>
    <w:p>
      <w:pPr>
        <w:pStyle w:val="Normal"/>
        <w:widowControl/>
        <w:ind w:firstLine="1440" w:end="0"/>
        <w:rPr/>
      </w:pPr>
      <w:r>
        <w:rPr/>
        <w:t>“</w:t>
      </w:r>
      <w:r>
        <w:rPr>
          <w:u w:val="single"/>
        </w:rPr>
        <w:t>Delta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Delta,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Delta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Delta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Take Over</w:t>
      </w:r>
      <w:r>
        <w:rPr/>
        <w:t xml:space="preserve">” is defined as that point in time at which the Performance Tests (as defined in the Turbine Contract) have been conducted for the GE Equipment for the purpose of placing the GE Equipment into Commercial Operation (as defined in the Turbine Contract). </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Delta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Delta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Delta Confidential Information</w:t>
      </w:r>
      <w:r>
        <w:rPr/>
        <w:t>” shall mean any and all information, including trade secrets and know</w:t>
        <w:noBreakHyphen/>
        <w:t>how proprietary to Delta, that is disclosed to ENA by Delta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5">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6">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v2</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v2</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Houston-136643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Houston-136643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2001-03-05T19:41:00Z</dcterms:created>
  <dc:creator>Carolyn Campbell</dc:creator>
  <dc:description>Houston-136643 v2</dc:description>
  <dc:language>en-CA</dc:language>
  <cp:lastModifiedBy>Carolyn Campbell</cp:lastModifiedBy>
  <cp:lastPrinted>2001-03-06T12:22:00Z</cp:lastPrinted>
  <dcterms:modified xsi:type="dcterms:W3CDTF">2001-03-06T15:53:00Z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